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79FB" w14:textId="77777777" w:rsidR="00A57D54" w:rsidRDefault="00DD3074">
      <w:pPr>
        <w:ind w:right="-574"/>
      </w:pPr>
      <w:r>
        <w:rPr>
          <w:noProof/>
        </w:rPr>
        <w:drawing>
          <wp:anchor distT="0" distB="0" distL="114300" distR="114300" simplePos="0" relativeHeight="251658240" behindDoc="0" locked="0" layoutInCell="1" hidden="0" allowOverlap="1" wp14:anchorId="64BC3FBD" wp14:editId="24E6326B">
            <wp:simplePos x="0" y="0"/>
            <wp:positionH relativeFrom="column">
              <wp:posOffset>-1078862</wp:posOffset>
            </wp:positionH>
            <wp:positionV relativeFrom="paragraph">
              <wp:posOffset>-350450</wp:posOffset>
            </wp:positionV>
            <wp:extent cx="7581265" cy="101917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3825FD0" w14:textId="77777777" w:rsidR="00A57D54" w:rsidRDefault="00A57D54">
      <w:pPr>
        <w:ind w:right="-574"/>
        <w:jc w:val="right"/>
        <w:rPr>
          <w:rFonts w:ascii="National" w:eastAsia="National" w:hAnsi="National" w:cs="National"/>
          <w:color w:val="303AB2"/>
          <w:sz w:val="36"/>
          <w:szCs w:val="36"/>
        </w:rPr>
      </w:pPr>
    </w:p>
    <w:p w14:paraId="5BA268EE" w14:textId="77777777" w:rsidR="00A57D54" w:rsidRDefault="00A57D54">
      <w:pPr>
        <w:ind w:right="-574"/>
        <w:jc w:val="right"/>
        <w:rPr>
          <w:rFonts w:ascii="National" w:eastAsia="National" w:hAnsi="National" w:cs="National"/>
          <w:color w:val="303AB2"/>
          <w:sz w:val="36"/>
          <w:szCs w:val="36"/>
        </w:rPr>
      </w:pPr>
    </w:p>
    <w:p w14:paraId="00A05F69" w14:textId="77777777" w:rsidR="00A57D54" w:rsidRDefault="00A57D54">
      <w:pPr>
        <w:ind w:right="-574"/>
        <w:rPr>
          <w:rFonts w:ascii="National" w:eastAsia="National" w:hAnsi="National" w:cs="National"/>
          <w:color w:val="303AB2"/>
          <w:sz w:val="20"/>
          <w:szCs w:val="20"/>
          <w:vertAlign w:val="superscript"/>
        </w:rPr>
      </w:pPr>
    </w:p>
    <w:p w14:paraId="2378F6AB" w14:textId="77777777" w:rsidR="00A57D54" w:rsidRDefault="00DD3074">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ABRIL: PRECIO VIVIENDA EN ALQUILER</w:t>
      </w:r>
    </w:p>
    <w:p w14:paraId="729BC873" w14:textId="77777777" w:rsidR="00A57D54" w:rsidRDefault="00DD3074">
      <w:pPr>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El precio del alquiler se dispara en toda España en abril y sube un 4,7% interanual </w:t>
      </w:r>
    </w:p>
    <w:p w14:paraId="5D65D04F" w14:textId="77777777" w:rsidR="00A57D54" w:rsidRDefault="00A57D54">
      <w:pPr>
        <w:ind w:right="-574"/>
        <w:jc w:val="both"/>
        <w:rPr>
          <w:rFonts w:ascii="National" w:eastAsia="National" w:hAnsi="National" w:cs="National"/>
          <w:b/>
          <w:color w:val="303AB2"/>
          <w:sz w:val="20"/>
          <w:szCs w:val="20"/>
        </w:rPr>
      </w:pPr>
    </w:p>
    <w:p w14:paraId="25F557EB" w14:textId="77777777" w:rsidR="00A57D54" w:rsidRDefault="00DD307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3,4% en abril y se sitúa en 10,89 €/m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503A9774" w14:textId="77777777" w:rsidR="00A57D54" w:rsidRDefault="00DD307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abril siete comunidades superan los precios máximos alcanzados hasta el momento</w:t>
      </w:r>
    </w:p>
    <w:p w14:paraId="72D1291C" w14:textId="77777777" w:rsidR="00A57D54" w:rsidRDefault="00DD307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Todas las provincias de España incrementan su precio interanual, excepto Córdoba</w:t>
      </w:r>
      <w:r>
        <w:rPr>
          <w:rFonts w:ascii="Open Sans" w:eastAsia="Open Sans" w:hAnsi="Open Sans" w:cs="Open Sans"/>
          <w:color w:val="303AB2"/>
        </w:rPr>
        <w:t>, Ciudad Real y Navarra</w:t>
      </w:r>
    </w:p>
    <w:p w14:paraId="5D230D8F" w14:textId="77777777" w:rsidR="00A57D54" w:rsidRDefault="00DD3074">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alquiler se recupera en todo el país y en un año las ciudades de Alicante, Segovia, Barcelona y Málaga alcanzan subidas de más del 15% </w:t>
      </w:r>
    </w:p>
    <w:p w14:paraId="24CC007E" w14:textId="77777777" w:rsidR="00A57D54" w:rsidRPr="00001134" w:rsidRDefault="00DD3074">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9">
        <w:r w:rsidRPr="00001134">
          <w:rPr>
            <w:rFonts w:ascii="Open Sans" w:eastAsia="Open Sans" w:hAnsi="Open Sans" w:cs="Open Sans"/>
            <w:b/>
            <w:bCs/>
            <w:color w:val="1155CC"/>
            <w:u w:val="single"/>
          </w:rPr>
          <w:t>Aquí se puede ver l</w:t>
        </w:r>
        <w:r w:rsidRPr="00001134">
          <w:rPr>
            <w:rFonts w:ascii="Open Sans" w:eastAsia="Open Sans" w:hAnsi="Open Sans" w:cs="Open Sans"/>
            <w:b/>
            <w:bCs/>
            <w:color w:val="1155CC"/>
            <w:u w:val="single"/>
          </w:rPr>
          <w:t>a</w:t>
        </w:r>
        <w:r w:rsidRPr="00001134">
          <w:rPr>
            <w:rFonts w:ascii="Open Sans" w:eastAsia="Open Sans" w:hAnsi="Open Sans" w:cs="Open Sans"/>
            <w:b/>
            <w:bCs/>
            <w:color w:val="1155CC"/>
            <w:u w:val="single"/>
          </w:rPr>
          <w:t xml:space="preserve"> valoración en vídeo de la directora de Estudios de Fotocasa</w:t>
        </w:r>
      </w:hyperlink>
    </w:p>
    <w:p w14:paraId="413B9792" w14:textId="77777777" w:rsidR="00A57D54" w:rsidRDefault="00A57D54">
      <w:pPr>
        <w:pBdr>
          <w:top w:val="nil"/>
          <w:left w:val="nil"/>
          <w:bottom w:val="nil"/>
          <w:right w:val="nil"/>
          <w:between w:val="nil"/>
        </w:pBdr>
        <w:spacing w:line="276" w:lineRule="auto"/>
        <w:ind w:right="-574"/>
        <w:jc w:val="both"/>
        <w:rPr>
          <w:rFonts w:ascii="Open Sans" w:eastAsia="Open Sans" w:hAnsi="Open Sans" w:cs="Open Sans"/>
          <w:color w:val="303AB2"/>
        </w:rPr>
      </w:pPr>
    </w:p>
    <w:p w14:paraId="2632A5EA" w14:textId="77777777" w:rsidR="00A57D54" w:rsidRDefault="00DD3074">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Madrid, 18 de mayo de 2022</w:t>
      </w:r>
    </w:p>
    <w:p w14:paraId="0013CEBD"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3,4% en su variación mensual y un 4,7% en su variación interanual, situando su precio en 10,89 €/m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abril, según los datos del Índice Inmobiliario </w:t>
      </w:r>
      <w:hyperlink r:id="rId10">
        <w:r>
          <w:rPr>
            <w:rFonts w:ascii="Open Sans" w:eastAsia="Open Sans" w:hAnsi="Open Sans" w:cs="Open Sans"/>
            <w:color w:val="0000FF"/>
            <w:u w:val="single"/>
          </w:rPr>
          <w:t>F</w:t>
        </w:r>
        <w:r>
          <w:rPr>
            <w:rFonts w:ascii="Open Sans" w:eastAsia="Open Sans" w:hAnsi="Open Sans" w:cs="Open Sans"/>
            <w:color w:val="0000FF"/>
            <w:u w:val="single"/>
          </w:rPr>
          <w:t>otocasa</w:t>
        </w:r>
      </w:hyperlink>
      <w:r>
        <w:rPr>
          <w:rFonts w:ascii="Open Sans" w:eastAsia="Open Sans" w:hAnsi="Open Sans" w:cs="Open Sans"/>
          <w:color w:val="000000"/>
        </w:rPr>
        <w:t>. Este último valor (4,7%) coloca el precio del alquiler de abril, muy cerca al precio máximo detectado hace dos años, en abril de 2020 (11,02 €/m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
    <w:p w14:paraId="12EEDC24" w14:textId="77777777" w:rsidR="00A57D54" w:rsidRDefault="00A57D54">
      <w:pPr>
        <w:spacing w:line="276" w:lineRule="auto"/>
        <w:ind w:right="-574"/>
        <w:jc w:val="both"/>
        <w:rPr>
          <w:rFonts w:ascii="Open Sans" w:eastAsia="Open Sans" w:hAnsi="Open Sans" w:cs="Open Sans"/>
          <w:color w:val="000000"/>
        </w:rPr>
      </w:pPr>
    </w:p>
    <w:p w14:paraId="707FFC63" w14:textId="77777777" w:rsidR="00A57D54" w:rsidRDefault="00DD3074">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79024902" w14:textId="77777777" w:rsidR="00A57D54" w:rsidRDefault="00DD3074">
      <w:pPr>
        <w:spacing w:line="276" w:lineRule="auto"/>
        <w:ind w:right="-574"/>
        <w:jc w:val="center"/>
        <w:rPr>
          <w:rFonts w:ascii="Open Sans" w:eastAsia="Open Sans" w:hAnsi="Open Sans" w:cs="Open Sans"/>
          <w:color w:val="000000"/>
        </w:rPr>
      </w:pPr>
      <w:r>
        <w:rPr>
          <w:noProof/>
        </w:rPr>
        <w:drawing>
          <wp:inline distT="0" distB="0" distL="0" distR="0" wp14:anchorId="2E28F6E8" wp14:editId="7494F96C">
            <wp:extent cx="5097557" cy="2119313"/>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7C0D8" w14:textId="3BA64F5B" w:rsidR="00A57D54" w:rsidRDefault="00DD3074">
      <w:pPr>
        <w:spacing w:line="276" w:lineRule="auto"/>
        <w:ind w:right="-574"/>
        <w:jc w:val="both"/>
        <w:rPr>
          <w:rFonts w:ascii="Open Sans" w:eastAsia="Open Sans" w:hAnsi="Open Sans" w:cs="Open Sans"/>
        </w:rPr>
      </w:pPr>
      <w:bookmarkStart w:id="0" w:name="_heading=h.30j0zll" w:colFirst="0" w:colLast="0"/>
      <w:bookmarkEnd w:id="0"/>
      <w:r>
        <w:rPr>
          <w:rFonts w:ascii="Open Sans" w:eastAsia="Open Sans" w:hAnsi="Open Sans" w:cs="Open Sans"/>
        </w:rPr>
        <w:lastRenderedPageBreak/>
        <w:t>“Se produce una fuerte subida en el precio de l</w:t>
      </w:r>
      <w:r>
        <w:rPr>
          <w:rFonts w:ascii="Open Sans" w:eastAsia="Open Sans" w:hAnsi="Open Sans" w:cs="Open Sans"/>
        </w:rPr>
        <w:t>as rentas que marca la nueva tendencia del alquiler. Volvemos a entrar en la vorágine de la escalada de precios, tras la única y mayor caída de los últimos 5 años que detectamos en 2021. Este mes de abril marca un punto de inflexión en la evolución históri</w:t>
      </w:r>
      <w:r>
        <w:rPr>
          <w:rFonts w:ascii="Open Sans" w:eastAsia="Open Sans" w:hAnsi="Open Sans" w:cs="Open Sans"/>
        </w:rPr>
        <w:t>ca del coste del alquiler, ya que, en algunas de las principales plazas, el precio bate récords históricos, superando los niveles alcanzados en 2007. En comunidades como Madrid o Cataluña todavía no ha sucedido, pero el precio por metro cuadrado ya está mu</w:t>
      </w:r>
      <w:r>
        <w:rPr>
          <w:rFonts w:ascii="Open Sans" w:eastAsia="Open Sans" w:hAnsi="Open Sans" w:cs="Open Sans"/>
        </w:rPr>
        <w:t xml:space="preserve">y cerca de llegar a máximos debido a las significativas subidas de más del 5% interanual. Las razones de este gran cambio podrían deberse a la inflación, y también al descenso de la oferta, que se ha reducido de manera muy importante en los últimos meses. </w:t>
      </w:r>
      <w:r>
        <w:rPr>
          <w:rFonts w:ascii="Open Sans" w:eastAsia="Open Sans" w:hAnsi="Open Sans" w:cs="Open Sans"/>
        </w:rPr>
        <w:t xml:space="preserve">Este aspecto hace todavía más difícil el acceso a la vivienda, ya que cada vez hay menos stock y presentan precios más altos”, </w:t>
      </w:r>
      <w:hyperlink r:id="rId12" w:history="1">
        <w:r w:rsidRPr="00626BFF">
          <w:rPr>
            <w:rStyle w:val="Hipervnculo"/>
            <w:rFonts w:ascii="Open Sans" w:eastAsia="Open Sans" w:hAnsi="Open Sans" w:cs="Open Sans"/>
          </w:rPr>
          <w:t>explica María Matos</w:t>
        </w:r>
      </w:hyperlink>
      <w:r>
        <w:rPr>
          <w:rFonts w:ascii="Open Sans" w:eastAsia="Open Sans" w:hAnsi="Open Sans" w:cs="Open Sans"/>
        </w:rPr>
        <w:t xml:space="preserve">,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0F6E06B3" w14:textId="77777777" w:rsidR="00A57D54" w:rsidRDefault="00A57D54">
      <w:pPr>
        <w:spacing w:line="276" w:lineRule="auto"/>
        <w:ind w:right="-574"/>
        <w:jc w:val="both"/>
        <w:rPr>
          <w:rFonts w:ascii="Open Sans" w:eastAsia="Open Sans" w:hAnsi="Open Sans" w:cs="Open Sans"/>
        </w:rPr>
      </w:pPr>
    </w:p>
    <w:p w14:paraId="5A1B66BD" w14:textId="0E7980EE" w:rsidR="00564AE2" w:rsidRDefault="00626BFF">
      <w:pPr>
        <w:spacing w:line="276" w:lineRule="auto"/>
        <w:ind w:right="-574"/>
        <w:jc w:val="both"/>
        <w:rPr>
          <w:rFonts w:ascii="Open Sans" w:eastAsia="Open Sans" w:hAnsi="Open Sans" w:cs="Open Sans"/>
          <w:color w:val="000000"/>
        </w:rPr>
      </w:pPr>
      <w:r>
        <w:rPr>
          <w:rFonts w:ascii="Open Sans Light" w:eastAsia="Open Sans Light" w:hAnsi="Open Sans Light" w:cs="Open Sans Light"/>
          <w:b/>
          <w:noProof/>
          <w:color w:val="303AB2"/>
        </w:rPr>
        <w:drawing>
          <wp:inline distT="114300" distB="114300" distL="114300" distR="114300" wp14:anchorId="6653E73A" wp14:editId="15FB03F4">
            <wp:extent cx="5732891" cy="3180522"/>
            <wp:effectExtent l="0" t="0" r="1270" b="1270"/>
            <wp:docPr id="21" name="image2.jpg" descr="Interfaz de usuario gráfica, Aplicación, Teams&#10;&#10;Descripción generada automáticamente">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21" name="image2.jpg" descr="Interfaz de usuario gráfica, Aplicación, Teams&#10;&#10;Descripción generada automáticamente">
                      <a:hlinkClick r:id="rId12"/>
                    </pic:cNvPr>
                    <pic:cNvPicPr preferRelativeResize="0"/>
                  </pic:nvPicPr>
                  <pic:blipFill>
                    <a:blip r:embed="rId14"/>
                    <a:srcRect/>
                    <a:stretch>
                      <a:fillRect/>
                    </a:stretch>
                  </pic:blipFill>
                  <pic:spPr>
                    <a:xfrm>
                      <a:off x="0" y="0"/>
                      <a:ext cx="5739513" cy="3184196"/>
                    </a:xfrm>
                    <a:prstGeom prst="rect">
                      <a:avLst/>
                    </a:prstGeom>
                    <a:ln/>
                  </pic:spPr>
                </pic:pic>
              </a:graphicData>
            </a:graphic>
          </wp:inline>
        </w:drawing>
      </w:r>
    </w:p>
    <w:p w14:paraId="2AB2E38F" w14:textId="77777777" w:rsidR="00564AE2" w:rsidRDefault="00564AE2">
      <w:pPr>
        <w:spacing w:line="276" w:lineRule="auto"/>
        <w:ind w:right="-574"/>
        <w:jc w:val="both"/>
        <w:rPr>
          <w:rFonts w:ascii="Open Sans" w:eastAsia="Open Sans" w:hAnsi="Open Sans" w:cs="Open Sans"/>
          <w:color w:val="000000"/>
        </w:rPr>
      </w:pPr>
    </w:p>
    <w:p w14:paraId="0B03A78B" w14:textId="684142F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16 comunidades incrementan el precio interanual en abril. En cuatro comunidades se superan los dos dígitos y en concreto</w:t>
      </w:r>
      <w:r>
        <w:rPr>
          <w:rFonts w:ascii="Open Sans" w:eastAsia="Open Sans" w:hAnsi="Open Sans" w:cs="Open Sans"/>
          <w:color w:val="000000"/>
        </w:rPr>
        <w:t xml:space="preserve"> en Comunitat Valenciana se supera el 15% interanual. El orden de las zonas de España con incrementos interanuales es:</w:t>
      </w:r>
      <w:r>
        <w:t xml:space="preserve"> </w:t>
      </w:r>
      <w:r>
        <w:rPr>
          <w:rFonts w:ascii="Open Sans" w:eastAsia="Open Sans" w:hAnsi="Open Sans" w:cs="Open Sans"/>
          <w:color w:val="000000"/>
        </w:rPr>
        <w:t>Comunitat Valenciana (15,6%), Región de Murcia (12,3%), Cantabria (11,4%), Extremadura (10,3%), Castilla-La Mancha (9,9%), La Rioja (8,5%</w:t>
      </w:r>
      <w:r>
        <w:rPr>
          <w:rFonts w:ascii="Open Sans" w:eastAsia="Open Sans" w:hAnsi="Open Sans" w:cs="Open Sans"/>
          <w:color w:val="000000"/>
        </w:rPr>
        <w:t>), Baleares (8,1%), Galicia (7,0%), Canarias (6,9%), Cataluña (5,7%), Madrid (5,4%), Aragón (5,4%), Castilla y León (5,2%), Asturias (4,9%), Andalucía (4,0%) y País Vasco (3,3%).</w:t>
      </w:r>
    </w:p>
    <w:p w14:paraId="263F40E9" w14:textId="77777777" w:rsidR="00A57D54" w:rsidRDefault="00A57D54">
      <w:pPr>
        <w:spacing w:line="276" w:lineRule="auto"/>
        <w:ind w:right="-574"/>
        <w:jc w:val="both"/>
        <w:rPr>
          <w:rFonts w:ascii="Open Sans" w:eastAsia="Open Sans" w:hAnsi="Open Sans" w:cs="Open Sans"/>
          <w:color w:val="000000"/>
        </w:rPr>
      </w:pPr>
    </w:p>
    <w:p w14:paraId="63A9F413"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abril de 2022 siete comunidades superan los precios máximos del alquiler </w:t>
      </w:r>
      <w:r>
        <w:rPr>
          <w:rFonts w:ascii="Open Sans" w:eastAsia="Open Sans" w:hAnsi="Open Sans" w:cs="Open Sans"/>
          <w:color w:val="000000"/>
        </w:rPr>
        <w:t>por metro cuadrado al mes. Las zonas de España con los máximos precios de toda la serie histórica son País Vasco (13,53 €/m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(10,02 €/m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(9,46 €/m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(7,95 €/m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(7,76 </w:t>
      </w:r>
      <w:r>
        <w:rPr>
          <w:rFonts w:ascii="Open Sans" w:eastAsia="Open Sans" w:hAnsi="Open Sans" w:cs="Open Sans"/>
          <w:color w:val="000000"/>
        </w:rPr>
        <w:t>€/m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(7,75 €/m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Castilla y León (7,74 €/m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A05570B"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Catalu</w:t>
      </w:r>
      <w:r>
        <w:rPr>
          <w:rFonts w:ascii="Open Sans" w:eastAsia="Open Sans" w:hAnsi="Open Sans" w:cs="Open Sans"/>
          <w:color w:val="000000"/>
        </w:rPr>
        <w:t>ña y Madrid, con los precios de 14,60 €/m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14,55 €/m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País Vasco con 13,53 €/m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12,25 €/m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10,02 €/m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9,89 €/m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9,88 €/m</w:t>
      </w:r>
      <w:r>
        <w:rPr>
          <w:rFonts w:ascii="Open Sans" w:eastAsia="Open Sans" w:hAnsi="Open Sans" w:cs="Open Sans"/>
          <w:color w:val="000000"/>
          <w:vertAlign w:val="superscript"/>
        </w:rPr>
        <w:t>2</w:t>
      </w:r>
      <w:r>
        <w:rPr>
          <w:rFonts w:ascii="Open Sans" w:eastAsia="Open Sans" w:hAnsi="Open Sans" w:cs="Open Sans"/>
          <w:color w:val="000000"/>
        </w:rPr>
        <w:t xml:space="preserve"> a</w:t>
      </w:r>
      <w:r>
        <w:rPr>
          <w:rFonts w:ascii="Open Sans" w:eastAsia="Open Sans" w:hAnsi="Open Sans" w:cs="Open Sans"/>
          <w:color w:val="000000"/>
        </w:rPr>
        <w:t>l mes, Comunitat Valenciana con 9,46 €/m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8,82 €/m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8,76 €/m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8,30 €/m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7,95 €/m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7,76 €/m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7,75 €/m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w:t>
      </w:r>
      <w:r>
        <w:rPr>
          <w:rFonts w:ascii="Open Sans" w:eastAsia="Open Sans" w:hAnsi="Open Sans" w:cs="Open Sans"/>
          <w:color w:val="000000"/>
        </w:rPr>
        <w:t>n con 7,74 €/m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6,54 €/m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5,87 €/m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9E9082E"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CCAA con variación mensual e interanual </w:t>
      </w:r>
    </w:p>
    <w:tbl>
      <w:tblPr>
        <w:tblStyle w:val="ad"/>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A57D54" w14:paraId="4818391C" w14:textId="77777777" w:rsidTr="00A57D5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BEB959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27D79E20"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5D9EF4B"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vAlign w:val="center"/>
          </w:tcPr>
          <w:p w14:paraId="64BDD687"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140" w:type="dxa"/>
            <w:vAlign w:val="center"/>
          </w:tcPr>
          <w:p w14:paraId="61DBE16B"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Abril 2022 </w:t>
            </w:r>
          </w:p>
          <w:p w14:paraId="4B63A0AF"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r>
      <w:tr w:rsidR="00A57D54" w14:paraId="3BED431A"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453B15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79C79CC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126" w:type="dxa"/>
            <w:vAlign w:val="bottom"/>
          </w:tcPr>
          <w:p w14:paraId="79D6DC1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w:t>
            </w:r>
          </w:p>
        </w:tc>
        <w:tc>
          <w:tcPr>
            <w:tcW w:w="2140" w:type="dxa"/>
            <w:vAlign w:val="bottom"/>
          </w:tcPr>
          <w:p w14:paraId="42C5DE4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9,46 €</w:t>
            </w:r>
          </w:p>
        </w:tc>
      </w:tr>
      <w:tr w:rsidR="00A57D54" w14:paraId="1FF2AEB0"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834193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21B7DB2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126" w:type="dxa"/>
            <w:vAlign w:val="bottom"/>
          </w:tcPr>
          <w:p w14:paraId="255F12E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12,3%</w:t>
            </w:r>
          </w:p>
        </w:tc>
        <w:tc>
          <w:tcPr>
            <w:tcW w:w="2140" w:type="dxa"/>
            <w:vAlign w:val="bottom"/>
          </w:tcPr>
          <w:p w14:paraId="4B65EAE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7,95 €</w:t>
            </w:r>
          </w:p>
        </w:tc>
      </w:tr>
      <w:tr w:rsidR="00A57D54" w14:paraId="5027B4DC"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C2463F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5B1ACB6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26" w:type="dxa"/>
            <w:vAlign w:val="bottom"/>
          </w:tcPr>
          <w:p w14:paraId="2DF9E06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11,4%</w:t>
            </w:r>
          </w:p>
        </w:tc>
        <w:tc>
          <w:tcPr>
            <w:tcW w:w="2140" w:type="dxa"/>
            <w:vAlign w:val="bottom"/>
          </w:tcPr>
          <w:p w14:paraId="6622627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9,89 €</w:t>
            </w:r>
          </w:p>
        </w:tc>
      </w:tr>
      <w:tr w:rsidR="00A57D54" w14:paraId="7E6BDDCD"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E524905"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55C80A4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763F07E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10,3%</w:t>
            </w:r>
          </w:p>
        </w:tc>
        <w:tc>
          <w:tcPr>
            <w:tcW w:w="2140" w:type="dxa"/>
            <w:vAlign w:val="bottom"/>
          </w:tcPr>
          <w:p w14:paraId="6B1E248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5,87 €</w:t>
            </w:r>
          </w:p>
        </w:tc>
      </w:tr>
      <w:tr w:rsidR="00A57D54" w14:paraId="2ACB0D8D"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B28F97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3DF5E9D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2126" w:type="dxa"/>
            <w:vAlign w:val="bottom"/>
          </w:tcPr>
          <w:p w14:paraId="1E17F69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2140" w:type="dxa"/>
            <w:vAlign w:val="bottom"/>
          </w:tcPr>
          <w:p w14:paraId="185C5F9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6,54 €</w:t>
            </w:r>
          </w:p>
        </w:tc>
      </w:tr>
      <w:tr w:rsidR="00A57D54" w14:paraId="033CE7A8"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AD3A5D3"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348D740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26" w:type="dxa"/>
            <w:vAlign w:val="bottom"/>
          </w:tcPr>
          <w:p w14:paraId="31AA263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c>
          <w:tcPr>
            <w:tcW w:w="2140" w:type="dxa"/>
            <w:vAlign w:val="bottom"/>
          </w:tcPr>
          <w:p w14:paraId="6788B96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7,75 €</w:t>
            </w:r>
          </w:p>
        </w:tc>
      </w:tr>
      <w:tr w:rsidR="00A57D54" w14:paraId="6468DA76"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28FBF9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6FB6007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343CA25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8,1%</w:t>
            </w:r>
          </w:p>
        </w:tc>
        <w:tc>
          <w:tcPr>
            <w:tcW w:w="2140" w:type="dxa"/>
            <w:vAlign w:val="bottom"/>
          </w:tcPr>
          <w:p w14:paraId="152C6D4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12,25 €</w:t>
            </w:r>
          </w:p>
        </w:tc>
      </w:tr>
      <w:tr w:rsidR="00A57D54" w14:paraId="6A9D031B"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591DE6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680CC5D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26" w:type="dxa"/>
            <w:vAlign w:val="bottom"/>
          </w:tcPr>
          <w:p w14:paraId="4D0FA9F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2140" w:type="dxa"/>
            <w:vAlign w:val="bottom"/>
          </w:tcPr>
          <w:p w14:paraId="6CF769A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7,76 €</w:t>
            </w:r>
          </w:p>
        </w:tc>
      </w:tr>
      <w:tr w:rsidR="00A57D54" w14:paraId="1AFA00B9"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48D221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55627D5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3E6E4A8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2140" w:type="dxa"/>
            <w:vAlign w:val="bottom"/>
          </w:tcPr>
          <w:p w14:paraId="282E803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10,02 €</w:t>
            </w:r>
          </w:p>
        </w:tc>
      </w:tr>
      <w:tr w:rsidR="00A57D54" w14:paraId="13E59F70"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3FA6FE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39A3E1B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126" w:type="dxa"/>
            <w:vAlign w:val="bottom"/>
          </w:tcPr>
          <w:p w14:paraId="5F15DE9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140" w:type="dxa"/>
            <w:vAlign w:val="bottom"/>
          </w:tcPr>
          <w:p w14:paraId="65088BB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14,60 €</w:t>
            </w:r>
          </w:p>
        </w:tc>
      </w:tr>
      <w:tr w:rsidR="00A57D54" w14:paraId="7B9DA6B7"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B2253F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1EFD1BF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26" w:type="dxa"/>
            <w:vAlign w:val="bottom"/>
          </w:tcPr>
          <w:p w14:paraId="6F27247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5,4%</w:t>
            </w:r>
          </w:p>
        </w:tc>
        <w:tc>
          <w:tcPr>
            <w:tcW w:w="2140" w:type="dxa"/>
            <w:vAlign w:val="bottom"/>
          </w:tcPr>
          <w:p w14:paraId="4BAE5FC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14,55 €</w:t>
            </w:r>
          </w:p>
        </w:tc>
      </w:tr>
      <w:tr w:rsidR="00A57D54" w14:paraId="4BBB4E91"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11AE9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4364D23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0DE17AA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140" w:type="dxa"/>
            <w:vAlign w:val="bottom"/>
          </w:tcPr>
          <w:p w14:paraId="1E29FC2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8,76 €</w:t>
            </w:r>
          </w:p>
        </w:tc>
      </w:tr>
      <w:tr w:rsidR="00A57D54" w14:paraId="7F6E6AF5"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BC1E7D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08E7204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25CE3E9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140" w:type="dxa"/>
            <w:vAlign w:val="bottom"/>
          </w:tcPr>
          <w:p w14:paraId="7444689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7,74 €</w:t>
            </w:r>
          </w:p>
        </w:tc>
      </w:tr>
      <w:tr w:rsidR="00A57D54" w14:paraId="5EDBF76E"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A0A390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053BB84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5F18A49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140" w:type="dxa"/>
            <w:vAlign w:val="bottom"/>
          </w:tcPr>
          <w:p w14:paraId="4F6E8B1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r>
      <w:tr w:rsidR="00A57D54" w14:paraId="61C2E845"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7B028A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7C13710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2126" w:type="dxa"/>
            <w:vAlign w:val="bottom"/>
          </w:tcPr>
          <w:p w14:paraId="10E3A01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w:t>
            </w:r>
          </w:p>
        </w:tc>
        <w:tc>
          <w:tcPr>
            <w:tcW w:w="2140" w:type="dxa"/>
            <w:vAlign w:val="bottom"/>
          </w:tcPr>
          <w:p w14:paraId="0780582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8,82 €</w:t>
            </w:r>
          </w:p>
        </w:tc>
      </w:tr>
      <w:tr w:rsidR="00A57D54" w14:paraId="66BC001B"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D5594E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273F3D9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2126" w:type="dxa"/>
            <w:vAlign w:val="bottom"/>
          </w:tcPr>
          <w:p w14:paraId="402A762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2140" w:type="dxa"/>
            <w:vAlign w:val="bottom"/>
          </w:tcPr>
          <w:p w14:paraId="380303F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13,53 €</w:t>
            </w:r>
          </w:p>
        </w:tc>
      </w:tr>
      <w:tr w:rsidR="00A57D54" w14:paraId="5BBE9780" w14:textId="77777777" w:rsidTr="00A57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5D02C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6C4110A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w:t>
            </w:r>
          </w:p>
        </w:tc>
        <w:tc>
          <w:tcPr>
            <w:tcW w:w="2126" w:type="dxa"/>
            <w:vAlign w:val="bottom"/>
          </w:tcPr>
          <w:p w14:paraId="172951A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2140" w:type="dxa"/>
            <w:vAlign w:val="bottom"/>
          </w:tcPr>
          <w:p w14:paraId="272F46D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9,88 €</w:t>
            </w:r>
          </w:p>
        </w:tc>
      </w:tr>
      <w:tr w:rsidR="00A57D54" w14:paraId="089E3BFA" w14:textId="77777777" w:rsidTr="00A57D5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9C6F61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España</w:t>
            </w:r>
          </w:p>
        </w:tc>
        <w:tc>
          <w:tcPr>
            <w:tcW w:w="2093" w:type="dxa"/>
            <w:vAlign w:val="bottom"/>
          </w:tcPr>
          <w:p w14:paraId="20DAF1F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3,4%</w:t>
            </w:r>
          </w:p>
        </w:tc>
        <w:tc>
          <w:tcPr>
            <w:tcW w:w="2126" w:type="dxa"/>
            <w:vAlign w:val="bottom"/>
          </w:tcPr>
          <w:p w14:paraId="0A80AFD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4,7%</w:t>
            </w:r>
          </w:p>
        </w:tc>
        <w:tc>
          <w:tcPr>
            <w:tcW w:w="2140" w:type="dxa"/>
            <w:vAlign w:val="bottom"/>
          </w:tcPr>
          <w:p w14:paraId="05E6F6F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10,89 €</w:t>
            </w:r>
          </w:p>
        </w:tc>
      </w:tr>
    </w:tbl>
    <w:p w14:paraId="396FA729"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de España</w:t>
      </w:r>
    </w:p>
    <w:p w14:paraId="0B6C925C"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bookmarkStart w:id="1" w:name="_heading=h.gjdgxs" w:colFirst="0" w:colLast="0"/>
      <w:bookmarkEnd w:id="1"/>
      <w:r>
        <w:rPr>
          <w:rFonts w:ascii="Open Sans" w:eastAsia="Open Sans" w:hAnsi="Open Sans" w:cs="Open Sans"/>
          <w:color w:val="000000"/>
        </w:rPr>
        <w:t xml:space="preserve">El precio del alquiler sube en 40 de las 43 provincias analizadas (93%) por, dos descienden y una mantiene el mismo valor respecto a abril de 2021. </w:t>
      </w:r>
    </w:p>
    <w:p w14:paraId="5F378B51"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40 de las 43 provincias ana</w:t>
      </w:r>
      <w:r>
        <w:rPr>
          <w:rFonts w:ascii="Open Sans" w:eastAsia="Open Sans" w:hAnsi="Open Sans" w:cs="Open Sans"/>
          <w:color w:val="000000"/>
        </w:rPr>
        <w:t xml:space="preserve">lizadas (93%) incrementan el precio interanual en abril, según el Índice Inmobiliario </w:t>
      </w:r>
      <w:hyperlink r:id="rId15">
        <w:r>
          <w:rPr>
            <w:rFonts w:ascii="Open Sans" w:eastAsia="Open Sans" w:hAnsi="Open Sans" w:cs="Open Sans"/>
            <w:color w:val="0000FF"/>
            <w:u w:val="single"/>
          </w:rPr>
          <w:t>Fotocasa</w:t>
        </w:r>
      </w:hyperlink>
      <w:r>
        <w:rPr>
          <w:rFonts w:ascii="Open Sans" w:eastAsia="Open Sans" w:hAnsi="Open Sans" w:cs="Open Sans"/>
          <w:color w:val="000000"/>
        </w:rPr>
        <w:t xml:space="preserve">. En 11 provincias se superan los dos dígitos y en concreto en Huelva se supera el 40% interanual. </w:t>
      </w:r>
    </w:p>
    <w:p w14:paraId="70E88F98"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orden de las 11 </w:t>
      </w:r>
      <w:r>
        <w:rPr>
          <w:rFonts w:ascii="Open Sans" w:eastAsia="Open Sans" w:hAnsi="Open Sans" w:cs="Open Sans"/>
          <w:color w:val="000000"/>
        </w:rPr>
        <w:t>provincias con los incrementos interanuales más altos es: Huelva (41,1%), Lugo (18,7%), Segovia (17,7%), Málaga (17,2%), Alicante (15,5%), Girona (13,9%), Badajoz (13,5%), Pontevedra (12,6%), Valencia (12,4%), Murcia (12,3%) y Cantabria (11,4%). Por otro l</w:t>
      </w:r>
      <w:r>
        <w:rPr>
          <w:rFonts w:ascii="Open Sans" w:eastAsia="Open Sans" w:hAnsi="Open Sans" w:cs="Open Sans"/>
          <w:color w:val="000000"/>
        </w:rPr>
        <w:t>ado, solo en dos provincias se presentan descensos y son: Navarra con -2,5% y Ciudad Real con -0,2%.</w:t>
      </w:r>
    </w:p>
    <w:p w14:paraId="24D9AD03"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11 provincias superan los 10,00 euros el metro cuadrado al mes. La provincia más cara es Gipuzkoa con 15,65 €/m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w:t>
      </w:r>
      <w:r>
        <w:rPr>
          <w:rFonts w:ascii="Open Sans" w:eastAsia="Open Sans" w:hAnsi="Open Sans" w:cs="Open Sans"/>
          <w:color w:val="000000"/>
        </w:rPr>
        <w:t>e Barcelona con 15,56 €/m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con 14,55 €/m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con 13,09 €/m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12,25 €/m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Times New Roman" w:eastAsia="Times New Roman" w:hAnsi="Times New Roman" w:cs="Times New Roman"/>
          <w:color w:val="000000"/>
        </w:rPr>
        <w:t xml:space="preserve"> </w:t>
      </w:r>
      <w:r>
        <w:rPr>
          <w:rFonts w:ascii="Open Sans" w:eastAsia="Open Sans" w:hAnsi="Open Sans" w:cs="Open Sans"/>
          <w:color w:val="000000"/>
        </w:rPr>
        <w:t>Huelva con 12,15 €/m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con 10,92 €/m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con 10,79 €/m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con 10,51 €/m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Times New Roman" w:eastAsia="Times New Roman" w:hAnsi="Times New Roman" w:cs="Times New Roman"/>
          <w:color w:val="000000"/>
        </w:rPr>
        <w:t xml:space="preserve"> </w:t>
      </w:r>
      <w:r>
        <w:rPr>
          <w:rFonts w:ascii="Open Sans" w:eastAsia="Open Sans" w:hAnsi="Open Sans" w:cs="Open Sans"/>
          <w:color w:val="000000"/>
        </w:rPr>
        <w:t>Valencia con 10,07 €/m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Sevilla con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DCF0A0E"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con variación mensual, interanual y precio</w:t>
      </w:r>
    </w:p>
    <w:tbl>
      <w:tblPr>
        <w:tblStyle w:val="ae"/>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A57D54" w14:paraId="165DE308" w14:textId="77777777" w:rsidTr="00A57D5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AC19D3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10BA2B6B"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1205DD2"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tcPr>
          <w:p w14:paraId="61BC12BC"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64" w:type="dxa"/>
            <w:vAlign w:val="center"/>
          </w:tcPr>
          <w:p w14:paraId="0727A126"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A57D54" w14:paraId="6D61EEB9"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DB748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012825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126" w:type="dxa"/>
            <w:vAlign w:val="bottom"/>
          </w:tcPr>
          <w:p w14:paraId="211E090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41,1%</w:t>
            </w:r>
          </w:p>
        </w:tc>
        <w:tc>
          <w:tcPr>
            <w:tcW w:w="2064" w:type="dxa"/>
            <w:vAlign w:val="bottom"/>
          </w:tcPr>
          <w:p w14:paraId="184D6D2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12,15 €</w:t>
            </w:r>
          </w:p>
        </w:tc>
      </w:tr>
      <w:tr w:rsidR="00A57D54" w14:paraId="04FD3CA3"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1022D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4314B69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0CAEAD8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18,7%</w:t>
            </w:r>
          </w:p>
        </w:tc>
        <w:tc>
          <w:tcPr>
            <w:tcW w:w="2064" w:type="dxa"/>
            <w:vAlign w:val="bottom"/>
          </w:tcPr>
          <w:p w14:paraId="2444F87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6,66 €</w:t>
            </w:r>
          </w:p>
        </w:tc>
      </w:tr>
      <w:tr w:rsidR="00A57D54" w14:paraId="3C00012C"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0BE44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1D42227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26" w:type="dxa"/>
            <w:vAlign w:val="bottom"/>
          </w:tcPr>
          <w:p w14:paraId="0D30BD1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17,7%</w:t>
            </w:r>
          </w:p>
        </w:tc>
        <w:tc>
          <w:tcPr>
            <w:tcW w:w="2064" w:type="dxa"/>
            <w:vAlign w:val="bottom"/>
          </w:tcPr>
          <w:p w14:paraId="21D3235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9,31 €</w:t>
            </w:r>
          </w:p>
        </w:tc>
      </w:tr>
      <w:tr w:rsidR="00A57D54" w14:paraId="458DF946"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739C7C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2EB2127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126" w:type="dxa"/>
            <w:vAlign w:val="bottom"/>
          </w:tcPr>
          <w:p w14:paraId="007BD5D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17,2%</w:t>
            </w:r>
          </w:p>
        </w:tc>
        <w:tc>
          <w:tcPr>
            <w:tcW w:w="2064" w:type="dxa"/>
            <w:vAlign w:val="bottom"/>
          </w:tcPr>
          <w:p w14:paraId="29C6AAA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10,92 €</w:t>
            </w:r>
          </w:p>
        </w:tc>
      </w:tr>
      <w:tr w:rsidR="00A57D54" w14:paraId="4E1953FC"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2A0DCA3"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203D587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vAlign w:val="bottom"/>
          </w:tcPr>
          <w:p w14:paraId="6C76D15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15,5%</w:t>
            </w:r>
          </w:p>
        </w:tc>
        <w:tc>
          <w:tcPr>
            <w:tcW w:w="2064" w:type="dxa"/>
            <w:vAlign w:val="bottom"/>
          </w:tcPr>
          <w:p w14:paraId="254B200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8,40 €</w:t>
            </w:r>
          </w:p>
        </w:tc>
      </w:tr>
      <w:tr w:rsidR="00A57D54" w14:paraId="6D797D01"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B7CC6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72296DC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126" w:type="dxa"/>
            <w:vAlign w:val="bottom"/>
          </w:tcPr>
          <w:p w14:paraId="3A6617E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13,9%</w:t>
            </w:r>
          </w:p>
        </w:tc>
        <w:tc>
          <w:tcPr>
            <w:tcW w:w="2064" w:type="dxa"/>
            <w:vAlign w:val="bottom"/>
          </w:tcPr>
          <w:p w14:paraId="79AFEF3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10,79 €</w:t>
            </w:r>
          </w:p>
        </w:tc>
      </w:tr>
      <w:tr w:rsidR="00A57D54" w14:paraId="436176D3"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8BD6FC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4676B64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533AD0F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13,5%</w:t>
            </w:r>
          </w:p>
        </w:tc>
        <w:tc>
          <w:tcPr>
            <w:tcW w:w="2064" w:type="dxa"/>
            <w:vAlign w:val="bottom"/>
          </w:tcPr>
          <w:p w14:paraId="126EE55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6,14 €</w:t>
            </w:r>
          </w:p>
        </w:tc>
      </w:tr>
      <w:tr w:rsidR="00A57D54" w14:paraId="353BA292"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18614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7B58DED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2126" w:type="dxa"/>
            <w:vAlign w:val="bottom"/>
          </w:tcPr>
          <w:p w14:paraId="1B690C1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12,6%</w:t>
            </w:r>
          </w:p>
        </w:tc>
        <w:tc>
          <w:tcPr>
            <w:tcW w:w="2064" w:type="dxa"/>
            <w:vAlign w:val="bottom"/>
          </w:tcPr>
          <w:p w14:paraId="2800795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9,32 €</w:t>
            </w:r>
          </w:p>
        </w:tc>
      </w:tr>
      <w:tr w:rsidR="00A57D54" w14:paraId="50FD24D0"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D89C1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FE840F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1C12440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12,4%</w:t>
            </w:r>
          </w:p>
        </w:tc>
        <w:tc>
          <w:tcPr>
            <w:tcW w:w="2064" w:type="dxa"/>
            <w:vAlign w:val="bottom"/>
          </w:tcPr>
          <w:p w14:paraId="03C8FF7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10,07 €</w:t>
            </w:r>
          </w:p>
        </w:tc>
      </w:tr>
      <w:tr w:rsidR="00A57D54" w14:paraId="691C4C2D"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7A1C5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599D710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126" w:type="dxa"/>
            <w:vAlign w:val="bottom"/>
          </w:tcPr>
          <w:p w14:paraId="0806AB7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12,3%</w:t>
            </w:r>
          </w:p>
        </w:tc>
        <w:tc>
          <w:tcPr>
            <w:tcW w:w="2064" w:type="dxa"/>
            <w:vAlign w:val="bottom"/>
          </w:tcPr>
          <w:p w14:paraId="02ED6A8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7,95 €</w:t>
            </w:r>
          </w:p>
        </w:tc>
      </w:tr>
      <w:tr w:rsidR="00A57D54" w14:paraId="07C88286"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DA34EB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7D0F905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26" w:type="dxa"/>
            <w:vAlign w:val="bottom"/>
          </w:tcPr>
          <w:p w14:paraId="5920DC3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11,4%</w:t>
            </w:r>
          </w:p>
        </w:tc>
        <w:tc>
          <w:tcPr>
            <w:tcW w:w="2064" w:type="dxa"/>
            <w:vAlign w:val="bottom"/>
          </w:tcPr>
          <w:p w14:paraId="5CAD84B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9,89 €</w:t>
            </w:r>
          </w:p>
        </w:tc>
      </w:tr>
      <w:tr w:rsidR="00A57D54" w14:paraId="135AF14C"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2440AB3"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775B3B7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2126" w:type="dxa"/>
            <w:vAlign w:val="bottom"/>
          </w:tcPr>
          <w:p w14:paraId="0204EDD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2064" w:type="dxa"/>
            <w:vAlign w:val="bottom"/>
          </w:tcPr>
          <w:p w14:paraId="12243D9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7,03 €</w:t>
            </w:r>
          </w:p>
        </w:tc>
      </w:tr>
      <w:tr w:rsidR="00A57D54" w14:paraId="1E2B36D8"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E7A04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2AFC184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2126" w:type="dxa"/>
            <w:vAlign w:val="bottom"/>
          </w:tcPr>
          <w:p w14:paraId="243B87B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9,1%</w:t>
            </w:r>
          </w:p>
        </w:tc>
        <w:tc>
          <w:tcPr>
            <w:tcW w:w="2064" w:type="dxa"/>
            <w:vAlign w:val="bottom"/>
          </w:tcPr>
          <w:p w14:paraId="1AD2A5B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5,66 €</w:t>
            </w:r>
          </w:p>
        </w:tc>
      </w:tr>
      <w:tr w:rsidR="00A57D54" w14:paraId="7DDB9AF3"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AE3B12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0C0FA68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4F73FA4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c>
          <w:tcPr>
            <w:tcW w:w="2064" w:type="dxa"/>
            <w:vAlign w:val="bottom"/>
          </w:tcPr>
          <w:p w14:paraId="2F557E5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10,51 €</w:t>
            </w:r>
          </w:p>
        </w:tc>
      </w:tr>
      <w:tr w:rsidR="00A57D54" w14:paraId="08CB7930"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D45EF3"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lastRenderedPageBreak/>
              <w:t>Burgos</w:t>
            </w:r>
          </w:p>
        </w:tc>
        <w:tc>
          <w:tcPr>
            <w:tcW w:w="2268" w:type="dxa"/>
            <w:vAlign w:val="bottom"/>
          </w:tcPr>
          <w:p w14:paraId="2A4B881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126" w:type="dxa"/>
            <w:vAlign w:val="bottom"/>
          </w:tcPr>
          <w:p w14:paraId="2EB09EE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c>
          <w:tcPr>
            <w:tcW w:w="2064" w:type="dxa"/>
            <w:vAlign w:val="bottom"/>
          </w:tcPr>
          <w:p w14:paraId="48CD589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7,88 €</w:t>
            </w:r>
          </w:p>
        </w:tc>
      </w:tr>
      <w:tr w:rsidR="00A57D54" w14:paraId="0D5E5990"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F4D6F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4BE89CB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26" w:type="dxa"/>
            <w:vAlign w:val="bottom"/>
          </w:tcPr>
          <w:p w14:paraId="35D145D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c>
          <w:tcPr>
            <w:tcW w:w="2064" w:type="dxa"/>
            <w:vAlign w:val="bottom"/>
          </w:tcPr>
          <w:p w14:paraId="387220B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7,75 €</w:t>
            </w:r>
          </w:p>
        </w:tc>
      </w:tr>
      <w:tr w:rsidR="00A57D54" w14:paraId="74CEC710"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9EA28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1BCF191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7302A32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c>
          <w:tcPr>
            <w:tcW w:w="2064" w:type="dxa"/>
            <w:vAlign w:val="bottom"/>
          </w:tcPr>
          <w:p w14:paraId="47391B0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12,25 €</w:t>
            </w:r>
          </w:p>
        </w:tc>
      </w:tr>
      <w:tr w:rsidR="00A57D54" w14:paraId="3D68270F"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BB7A3C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0F11EF2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3E11061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2064" w:type="dxa"/>
            <w:vAlign w:val="bottom"/>
          </w:tcPr>
          <w:p w14:paraId="2E24309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7,63 €</w:t>
            </w:r>
          </w:p>
        </w:tc>
      </w:tr>
      <w:tr w:rsidR="00A57D54" w14:paraId="0FD78F15"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AF320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5F1E3C1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25F4DFA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c>
          <w:tcPr>
            <w:tcW w:w="2064" w:type="dxa"/>
            <w:vAlign w:val="bottom"/>
          </w:tcPr>
          <w:p w14:paraId="3E34EF9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r>
      <w:tr w:rsidR="00A57D54" w14:paraId="6A6DB8CE"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98C05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0E17ADC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26" w:type="dxa"/>
            <w:vAlign w:val="bottom"/>
          </w:tcPr>
          <w:p w14:paraId="3D72CC3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6,9%</w:t>
            </w:r>
          </w:p>
        </w:tc>
        <w:tc>
          <w:tcPr>
            <w:tcW w:w="2064" w:type="dxa"/>
            <w:vAlign w:val="bottom"/>
          </w:tcPr>
          <w:p w14:paraId="7812204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15,56 €</w:t>
            </w:r>
          </w:p>
        </w:tc>
      </w:tr>
      <w:tr w:rsidR="00A57D54" w14:paraId="0CC84DF6"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E57B5D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55E7CE5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126" w:type="dxa"/>
            <w:vAlign w:val="bottom"/>
          </w:tcPr>
          <w:p w14:paraId="38E5077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2064" w:type="dxa"/>
            <w:vAlign w:val="bottom"/>
          </w:tcPr>
          <w:p w14:paraId="455C9B8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8,80 €</w:t>
            </w:r>
          </w:p>
        </w:tc>
      </w:tr>
      <w:tr w:rsidR="00A57D54" w14:paraId="531846D8"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6392C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360205C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126" w:type="dxa"/>
            <w:vAlign w:val="bottom"/>
          </w:tcPr>
          <w:p w14:paraId="06A3788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2064" w:type="dxa"/>
            <w:vAlign w:val="bottom"/>
          </w:tcPr>
          <w:p w14:paraId="4853D4D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7,60 €</w:t>
            </w:r>
          </w:p>
        </w:tc>
      </w:tr>
      <w:tr w:rsidR="00A57D54" w14:paraId="64149CA4"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629C0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1309281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126" w:type="dxa"/>
            <w:vAlign w:val="bottom"/>
          </w:tcPr>
          <w:p w14:paraId="6153C8E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2064" w:type="dxa"/>
            <w:vAlign w:val="bottom"/>
          </w:tcPr>
          <w:p w14:paraId="664E475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10,00 €</w:t>
            </w:r>
          </w:p>
        </w:tc>
      </w:tr>
      <w:tr w:rsidR="00A57D54" w14:paraId="090D041F"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5CA21F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3685A0C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3F76A86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2064" w:type="dxa"/>
            <w:vAlign w:val="bottom"/>
          </w:tcPr>
          <w:p w14:paraId="462809C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15,65 €</w:t>
            </w:r>
          </w:p>
        </w:tc>
      </w:tr>
      <w:tr w:rsidR="00A57D54" w14:paraId="739E5431"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63DC6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390B054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2126" w:type="dxa"/>
            <w:vAlign w:val="bottom"/>
          </w:tcPr>
          <w:p w14:paraId="76D7496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2064" w:type="dxa"/>
            <w:vAlign w:val="bottom"/>
          </w:tcPr>
          <w:p w14:paraId="3C285DA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6,80 €</w:t>
            </w:r>
          </w:p>
        </w:tc>
      </w:tr>
      <w:tr w:rsidR="00A57D54" w14:paraId="2520B74E"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10CB4C"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B53E0E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26" w:type="dxa"/>
            <w:vAlign w:val="bottom"/>
          </w:tcPr>
          <w:p w14:paraId="6BE6C90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2064" w:type="dxa"/>
            <w:vAlign w:val="bottom"/>
          </w:tcPr>
          <w:p w14:paraId="0FBB726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14,55 €</w:t>
            </w:r>
          </w:p>
        </w:tc>
      </w:tr>
      <w:tr w:rsidR="00A57D54" w14:paraId="0CFDC7D2"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24F5A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6BF15BC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255B36E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064" w:type="dxa"/>
            <w:vAlign w:val="bottom"/>
          </w:tcPr>
          <w:p w14:paraId="3756837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r>
      <w:tr w:rsidR="00A57D54" w14:paraId="495DAA51"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E76C1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0F2BE13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vAlign w:val="bottom"/>
          </w:tcPr>
          <w:p w14:paraId="216CC44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064" w:type="dxa"/>
            <w:vAlign w:val="bottom"/>
          </w:tcPr>
          <w:p w14:paraId="64B330A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7,69 €</w:t>
            </w:r>
          </w:p>
        </w:tc>
      </w:tr>
      <w:tr w:rsidR="00A57D54" w14:paraId="012846E0"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5BBBB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3F3E4B7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2126" w:type="dxa"/>
            <w:vAlign w:val="bottom"/>
          </w:tcPr>
          <w:p w14:paraId="53E17C6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064" w:type="dxa"/>
            <w:vAlign w:val="bottom"/>
          </w:tcPr>
          <w:p w14:paraId="0C6E5E6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5,39 €</w:t>
            </w:r>
          </w:p>
        </w:tc>
      </w:tr>
      <w:tr w:rsidR="00A57D54" w14:paraId="2ED40464"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133AE5C"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36B4AEA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126" w:type="dxa"/>
            <w:vAlign w:val="bottom"/>
          </w:tcPr>
          <w:p w14:paraId="4C9C261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064" w:type="dxa"/>
            <w:vAlign w:val="bottom"/>
          </w:tcPr>
          <w:p w14:paraId="1D6E62E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8,43 €</w:t>
            </w:r>
          </w:p>
        </w:tc>
      </w:tr>
      <w:tr w:rsidR="00A57D54" w14:paraId="51764CF3"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B9421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5C28B34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2071DB7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2064" w:type="dxa"/>
            <w:vAlign w:val="bottom"/>
          </w:tcPr>
          <w:p w14:paraId="4AFC708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7,24 €</w:t>
            </w:r>
          </w:p>
        </w:tc>
      </w:tr>
      <w:tr w:rsidR="00A57D54" w14:paraId="0CFFD055"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272F8E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4FC425C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32E9943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2064" w:type="dxa"/>
            <w:vAlign w:val="bottom"/>
          </w:tcPr>
          <w:p w14:paraId="45E8BF4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9,03 €</w:t>
            </w:r>
          </w:p>
        </w:tc>
      </w:tr>
      <w:tr w:rsidR="00A57D54" w14:paraId="1845D48F"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E7FAC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7A8DBE4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2ACA676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2064" w:type="dxa"/>
            <w:vAlign w:val="bottom"/>
          </w:tcPr>
          <w:p w14:paraId="31EE267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7,99 €</w:t>
            </w:r>
          </w:p>
        </w:tc>
      </w:tr>
      <w:tr w:rsidR="00A57D54" w14:paraId="24512E16"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F8301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5158C5E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vAlign w:val="bottom"/>
          </w:tcPr>
          <w:p w14:paraId="55AD24E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c>
          <w:tcPr>
            <w:tcW w:w="2064" w:type="dxa"/>
            <w:vAlign w:val="bottom"/>
          </w:tcPr>
          <w:p w14:paraId="6E6E9B8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13,09 €</w:t>
            </w:r>
          </w:p>
        </w:tc>
      </w:tr>
      <w:tr w:rsidR="00A57D54" w14:paraId="7F7C95C6"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61C3B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169DB5B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3B50375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64" w:type="dxa"/>
            <w:vAlign w:val="bottom"/>
          </w:tcPr>
          <w:p w14:paraId="0F670D7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8,35 €</w:t>
            </w:r>
          </w:p>
        </w:tc>
      </w:tr>
      <w:tr w:rsidR="00A57D54" w14:paraId="11DCF2AD"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98ABD5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0A8DDE5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7F966FA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64" w:type="dxa"/>
            <w:vAlign w:val="bottom"/>
          </w:tcPr>
          <w:p w14:paraId="4945B27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9,36 €</w:t>
            </w:r>
          </w:p>
        </w:tc>
      </w:tr>
      <w:tr w:rsidR="00A57D54" w14:paraId="16E368E0"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456901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67E2B9D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26" w:type="dxa"/>
            <w:vAlign w:val="bottom"/>
          </w:tcPr>
          <w:p w14:paraId="000148A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2064" w:type="dxa"/>
            <w:vAlign w:val="bottom"/>
          </w:tcPr>
          <w:p w14:paraId="4C4BE6D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7,27 €</w:t>
            </w:r>
          </w:p>
        </w:tc>
      </w:tr>
      <w:tr w:rsidR="00A57D54" w14:paraId="4CAA4B13"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D3B258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511A8E5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vAlign w:val="bottom"/>
          </w:tcPr>
          <w:p w14:paraId="02D2AC1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c>
          <w:tcPr>
            <w:tcW w:w="2064" w:type="dxa"/>
            <w:vAlign w:val="bottom"/>
          </w:tcPr>
          <w:p w14:paraId="671FDE9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5,89 €</w:t>
            </w:r>
          </w:p>
        </w:tc>
      </w:tr>
      <w:tr w:rsidR="00A57D54" w14:paraId="16CF19D1"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0F060C"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2767D4A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5555B96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c>
          <w:tcPr>
            <w:tcW w:w="2064" w:type="dxa"/>
            <w:vAlign w:val="bottom"/>
          </w:tcPr>
          <w:p w14:paraId="54B74B4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6,63 €</w:t>
            </w:r>
          </w:p>
        </w:tc>
      </w:tr>
      <w:tr w:rsidR="00A57D54" w14:paraId="564D8328"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1E1D8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78606DA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265BB22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0,5%</w:t>
            </w:r>
          </w:p>
        </w:tc>
        <w:tc>
          <w:tcPr>
            <w:tcW w:w="2064" w:type="dxa"/>
            <w:vAlign w:val="bottom"/>
          </w:tcPr>
          <w:p w14:paraId="26CE603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6,36 €</w:t>
            </w:r>
          </w:p>
        </w:tc>
      </w:tr>
      <w:tr w:rsidR="00A57D54" w14:paraId="72528D09"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AD6E5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66E22F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7A4156F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c>
          <w:tcPr>
            <w:tcW w:w="2064" w:type="dxa"/>
            <w:vAlign w:val="bottom"/>
          </w:tcPr>
          <w:p w14:paraId="37B33DB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7,13 €</w:t>
            </w:r>
          </w:p>
        </w:tc>
      </w:tr>
      <w:tr w:rsidR="00A57D54" w14:paraId="665752B0" w14:textId="77777777" w:rsidTr="00A57D5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F9750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740B509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7120139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c>
          <w:tcPr>
            <w:tcW w:w="2064" w:type="dxa"/>
            <w:vAlign w:val="bottom"/>
          </w:tcPr>
          <w:p w14:paraId="769C543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5,29 €</w:t>
            </w:r>
          </w:p>
        </w:tc>
      </w:tr>
      <w:tr w:rsidR="00A57D54" w14:paraId="2E63311A" w14:textId="77777777" w:rsidTr="00A57D5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F0C174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4DE5195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126" w:type="dxa"/>
            <w:vAlign w:val="bottom"/>
          </w:tcPr>
          <w:p w14:paraId="6909FAB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w:t>
            </w:r>
          </w:p>
        </w:tc>
        <w:tc>
          <w:tcPr>
            <w:tcW w:w="2064" w:type="dxa"/>
            <w:vAlign w:val="bottom"/>
          </w:tcPr>
          <w:p w14:paraId="3EE33B3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9,88 €</w:t>
            </w:r>
          </w:p>
        </w:tc>
      </w:tr>
    </w:tbl>
    <w:p w14:paraId="2E5F8BE9" w14:textId="77777777" w:rsidR="00A57D54" w:rsidRDefault="00A57D54">
      <w:pPr>
        <w:spacing w:line="276" w:lineRule="auto"/>
        <w:ind w:right="-574"/>
        <w:rPr>
          <w:rFonts w:ascii="Open Sans Light" w:eastAsia="Open Sans Light" w:hAnsi="Open Sans Light" w:cs="Open Sans Light"/>
          <w:b/>
          <w:color w:val="303AB2"/>
          <w:sz w:val="28"/>
          <w:szCs w:val="28"/>
        </w:rPr>
      </w:pPr>
    </w:p>
    <w:p w14:paraId="22873ED7" w14:textId="77777777" w:rsidR="00A57D54" w:rsidRDefault="00DD3074">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398285BD" w14:textId="77777777" w:rsidR="00A57D54" w:rsidRDefault="00A57D54">
      <w:pPr>
        <w:spacing w:line="276" w:lineRule="auto"/>
        <w:ind w:right="-574"/>
        <w:jc w:val="both"/>
        <w:rPr>
          <w:rFonts w:ascii="Open Sans" w:eastAsia="Open Sans" w:hAnsi="Open Sans" w:cs="Open Sans"/>
          <w:color w:val="000000"/>
        </w:rPr>
      </w:pPr>
    </w:p>
    <w:p w14:paraId="5F517003"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el 94% de los municipios analizados en España por </w:t>
      </w:r>
      <w:hyperlink r:id="rId16">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de provincia, se contabilizan 38 ciudades con subidas interanuales, 11 de ellas con subidas de dos dígitos en un año. La ciudad de Alicante es la que más incrementos acumula en abril, un 21,7%. Muy de cerca le siguen la</w:t>
      </w:r>
      <w:r>
        <w:rPr>
          <w:rFonts w:ascii="Open Sans" w:eastAsia="Open Sans" w:hAnsi="Open Sans" w:cs="Open Sans"/>
          <w:color w:val="000000"/>
        </w:rPr>
        <w:t>s capitales con incrementos superiores al 15% en un año y son: Segovia (19,5%), Barcelona (18%) y Málaga (15%).</w:t>
      </w:r>
    </w:p>
    <w:p w14:paraId="52430073" w14:textId="77777777" w:rsidR="00A57D54" w:rsidRDefault="00A57D54">
      <w:pPr>
        <w:spacing w:line="276" w:lineRule="auto"/>
        <w:ind w:right="-574"/>
        <w:jc w:val="both"/>
        <w:rPr>
          <w:rFonts w:ascii="Open Sans" w:eastAsia="Open Sans" w:hAnsi="Open Sans" w:cs="Open Sans"/>
          <w:color w:val="000000"/>
        </w:rPr>
      </w:pPr>
    </w:p>
    <w:p w14:paraId="6F75220D"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tan solo en cuatro ciudades analizadas en toda España se producen descensos interanuales y son Avilés con -4,2%, Pamplona / Iruñ</w:t>
      </w:r>
      <w:r>
        <w:rPr>
          <w:rFonts w:ascii="Open Sans" w:eastAsia="Open Sans" w:hAnsi="Open Sans" w:cs="Open Sans"/>
          <w:color w:val="000000"/>
        </w:rPr>
        <w:t xml:space="preserve">a con -2,2%, Alcalá de Henares con -0,3% y Palencia capital con -0,2%. </w:t>
      </w:r>
    </w:p>
    <w:p w14:paraId="7BA84A99" w14:textId="77777777" w:rsidR="00A57D54" w:rsidRDefault="00DD3074">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mayor incremento interanual</w:t>
      </w:r>
    </w:p>
    <w:tbl>
      <w:tblPr>
        <w:tblStyle w:val="af"/>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6"/>
        <w:gridCol w:w="284"/>
        <w:gridCol w:w="1842"/>
        <w:gridCol w:w="1843"/>
        <w:gridCol w:w="1843"/>
        <w:gridCol w:w="1928"/>
      </w:tblGrid>
      <w:tr w:rsidR="00A57D54" w14:paraId="00002064" w14:textId="77777777" w:rsidTr="00A57D5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60" w:type="dxa"/>
            <w:gridSpan w:val="2"/>
            <w:vAlign w:val="center"/>
          </w:tcPr>
          <w:p w14:paraId="0242D5C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Provincia</w:t>
            </w:r>
          </w:p>
        </w:tc>
        <w:tc>
          <w:tcPr>
            <w:tcW w:w="1842" w:type="dxa"/>
            <w:vAlign w:val="center"/>
          </w:tcPr>
          <w:p w14:paraId="5910196B" w14:textId="77777777" w:rsidR="00A57D54" w:rsidRDefault="00DD3074">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59AC0DD1"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89AE3A4"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291BE6D1"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28" w:type="dxa"/>
            <w:vAlign w:val="center"/>
          </w:tcPr>
          <w:p w14:paraId="2E72AA68"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A57D54" w14:paraId="19F9128F"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1FE7502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gridSpan w:val="2"/>
            <w:vAlign w:val="bottom"/>
          </w:tcPr>
          <w:p w14:paraId="07FBC2DE"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843" w:type="dxa"/>
            <w:vAlign w:val="bottom"/>
          </w:tcPr>
          <w:p w14:paraId="606F6AD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9,8%</w:t>
            </w:r>
          </w:p>
        </w:tc>
        <w:tc>
          <w:tcPr>
            <w:tcW w:w="1843" w:type="dxa"/>
            <w:vAlign w:val="bottom"/>
          </w:tcPr>
          <w:p w14:paraId="2D6333D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29,3%</w:t>
            </w:r>
          </w:p>
        </w:tc>
        <w:tc>
          <w:tcPr>
            <w:tcW w:w="1928" w:type="dxa"/>
            <w:vAlign w:val="bottom"/>
          </w:tcPr>
          <w:p w14:paraId="51C8A89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14,68 €</w:t>
            </w:r>
          </w:p>
        </w:tc>
      </w:tr>
      <w:tr w:rsidR="00A57D54" w14:paraId="37D4909F"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0349C00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gridSpan w:val="2"/>
            <w:vAlign w:val="bottom"/>
          </w:tcPr>
          <w:p w14:paraId="3F58C2B5"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843" w:type="dxa"/>
            <w:vAlign w:val="bottom"/>
          </w:tcPr>
          <w:p w14:paraId="4B325E6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15,5%</w:t>
            </w:r>
          </w:p>
        </w:tc>
        <w:tc>
          <w:tcPr>
            <w:tcW w:w="1843" w:type="dxa"/>
            <w:vAlign w:val="bottom"/>
          </w:tcPr>
          <w:p w14:paraId="665BFB7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25,4%</w:t>
            </w:r>
          </w:p>
        </w:tc>
        <w:tc>
          <w:tcPr>
            <w:tcW w:w="1928" w:type="dxa"/>
            <w:vAlign w:val="bottom"/>
          </w:tcPr>
          <w:p w14:paraId="71CBF07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6,71 €</w:t>
            </w:r>
          </w:p>
        </w:tc>
      </w:tr>
      <w:tr w:rsidR="00A57D54" w14:paraId="75F5EF6E"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70BCEE9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gridSpan w:val="2"/>
            <w:vAlign w:val="bottom"/>
          </w:tcPr>
          <w:p w14:paraId="1B1AE87C"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843" w:type="dxa"/>
            <w:vAlign w:val="bottom"/>
          </w:tcPr>
          <w:p w14:paraId="7255A2C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w:t>
            </w:r>
          </w:p>
        </w:tc>
        <w:tc>
          <w:tcPr>
            <w:tcW w:w="1843" w:type="dxa"/>
            <w:vAlign w:val="bottom"/>
          </w:tcPr>
          <w:p w14:paraId="5A5396C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24,4%</w:t>
            </w:r>
          </w:p>
        </w:tc>
        <w:tc>
          <w:tcPr>
            <w:tcW w:w="1928" w:type="dxa"/>
            <w:vAlign w:val="bottom"/>
          </w:tcPr>
          <w:p w14:paraId="53CCE18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11,25 €</w:t>
            </w:r>
          </w:p>
        </w:tc>
      </w:tr>
      <w:tr w:rsidR="00A57D54" w14:paraId="0D82DB87"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76EF4FE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gridSpan w:val="2"/>
            <w:vAlign w:val="bottom"/>
          </w:tcPr>
          <w:p w14:paraId="55D98EB6"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843" w:type="dxa"/>
            <w:vAlign w:val="bottom"/>
          </w:tcPr>
          <w:p w14:paraId="1644B9B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1843" w:type="dxa"/>
            <w:vAlign w:val="bottom"/>
          </w:tcPr>
          <w:p w14:paraId="6595033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21,7%</w:t>
            </w:r>
          </w:p>
        </w:tc>
        <w:tc>
          <w:tcPr>
            <w:tcW w:w="1928" w:type="dxa"/>
            <w:vAlign w:val="bottom"/>
          </w:tcPr>
          <w:p w14:paraId="20A8F9C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9,49 €</w:t>
            </w:r>
          </w:p>
        </w:tc>
      </w:tr>
      <w:tr w:rsidR="00A57D54" w14:paraId="1F32DED7"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702C7F2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gridSpan w:val="2"/>
            <w:vAlign w:val="bottom"/>
          </w:tcPr>
          <w:p w14:paraId="76176624"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Benidorm</w:t>
            </w:r>
          </w:p>
        </w:tc>
        <w:tc>
          <w:tcPr>
            <w:tcW w:w="1843" w:type="dxa"/>
            <w:vAlign w:val="bottom"/>
          </w:tcPr>
          <w:p w14:paraId="7AB664E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w:t>
            </w:r>
          </w:p>
        </w:tc>
        <w:tc>
          <w:tcPr>
            <w:tcW w:w="1843" w:type="dxa"/>
            <w:vAlign w:val="bottom"/>
          </w:tcPr>
          <w:p w14:paraId="42497BB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20,7%</w:t>
            </w:r>
          </w:p>
        </w:tc>
        <w:tc>
          <w:tcPr>
            <w:tcW w:w="1928" w:type="dxa"/>
            <w:vAlign w:val="bottom"/>
          </w:tcPr>
          <w:p w14:paraId="181CAD5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10,79 €</w:t>
            </w:r>
          </w:p>
        </w:tc>
      </w:tr>
      <w:tr w:rsidR="00A57D54" w14:paraId="5E529646"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7D9B97B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gridSpan w:val="2"/>
            <w:vAlign w:val="bottom"/>
          </w:tcPr>
          <w:p w14:paraId="55188832"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843" w:type="dxa"/>
            <w:vAlign w:val="bottom"/>
          </w:tcPr>
          <w:p w14:paraId="292DC6E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1843" w:type="dxa"/>
            <w:vAlign w:val="bottom"/>
          </w:tcPr>
          <w:p w14:paraId="5C342C2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19,5%</w:t>
            </w:r>
          </w:p>
        </w:tc>
        <w:tc>
          <w:tcPr>
            <w:tcW w:w="1928" w:type="dxa"/>
            <w:vAlign w:val="bottom"/>
          </w:tcPr>
          <w:p w14:paraId="588E189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9,91 €</w:t>
            </w:r>
          </w:p>
        </w:tc>
      </w:tr>
      <w:tr w:rsidR="00A57D54" w14:paraId="503E28FA"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215BDC7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gridSpan w:val="2"/>
            <w:vAlign w:val="bottom"/>
          </w:tcPr>
          <w:p w14:paraId="5C257D52"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843" w:type="dxa"/>
            <w:vAlign w:val="bottom"/>
          </w:tcPr>
          <w:p w14:paraId="2545A68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1843" w:type="dxa"/>
            <w:vAlign w:val="bottom"/>
          </w:tcPr>
          <w:p w14:paraId="7C13616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18,0%</w:t>
            </w:r>
          </w:p>
        </w:tc>
        <w:tc>
          <w:tcPr>
            <w:tcW w:w="1928" w:type="dxa"/>
            <w:vAlign w:val="bottom"/>
          </w:tcPr>
          <w:p w14:paraId="0E8CF27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18,00 €</w:t>
            </w:r>
          </w:p>
        </w:tc>
      </w:tr>
      <w:tr w:rsidR="00A57D54" w14:paraId="7EB20436"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7BB6DAA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gridSpan w:val="2"/>
            <w:vAlign w:val="bottom"/>
          </w:tcPr>
          <w:p w14:paraId="30F03993"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843" w:type="dxa"/>
            <w:vAlign w:val="bottom"/>
          </w:tcPr>
          <w:p w14:paraId="0ADD99B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843" w:type="dxa"/>
            <w:vAlign w:val="bottom"/>
          </w:tcPr>
          <w:p w14:paraId="725DD43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15,0%</w:t>
            </w:r>
          </w:p>
        </w:tc>
        <w:tc>
          <w:tcPr>
            <w:tcW w:w="1928" w:type="dxa"/>
            <w:vAlign w:val="bottom"/>
          </w:tcPr>
          <w:p w14:paraId="14A4508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10,82 €</w:t>
            </w:r>
          </w:p>
        </w:tc>
      </w:tr>
      <w:tr w:rsidR="00A57D54" w14:paraId="5511817E"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0E587C2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gridSpan w:val="2"/>
            <w:vAlign w:val="bottom"/>
          </w:tcPr>
          <w:p w14:paraId="73A00423"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843" w:type="dxa"/>
            <w:vAlign w:val="bottom"/>
          </w:tcPr>
          <w:p w14:paraId="5CCBAB5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w:t>
            </w:r>
          </w:p>
        </w:tc>
        <w:tc>
          <w:tcPr>
            <w:tcW w:w="1843" w:type="dxa"/>
            <w:vAlign w:val="bottom"/>
          </w:tcPr>
          <w:p w14:paraId="0C79604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14,6%</w:t>
            </w:r>
          </w:p>
        </w:tc>
        <w:tc>
          <w:tcPr>
            <w:tcW w:w="1928" w:type="dxa"/>
            <w:vAlign w:val="bottom"/>
          </w:tcPr>
          <w:p w14:paraId="276E7F2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11,76 €</w:t>
            </w:r>
          </w:p>
        </w:tc>
      </w:tr>
      <w:tr w:rsidR="00A57D54" w14:paraId="2E2E38E0"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276" w:type="dxa"/>
            <w:vAlign w:val="bottom"/>
          </w:tcPr>
          <w:p w14:paraId="1BA195B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gridSpan w:val="2"/>
            <w:vAlign w:val="bottom"/>
          </w:tcPr>
          <w:p w14:paraId="20F875C1"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Girona capital</w:t>
            </w:r>
          </w:p>
        </w:tc>
        <w:tc>
          <w:tcPr>
            <w:tcW w:w="1843" w:type="dxa"/>
            <w:vAlign w:val="bottom"/>
          </w:tcPr>
          <w:p w14:paraId="76CA276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1843" w:type="dxa"/>
            <w:vAlign w:val="bottom"/>
          </w:tcPr>
          <w:p w14:paraId="4456A6C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14,2%</w:t>
            </w:r>
          </w:p>
        </w:tc>
        <w:tc>
          <w:tcPr>
            <w:tcW w:w="1928" w:type="dxa"/>
            <w:vAlign w:val="bottom"/>
          </w:tcPr>
          <w:p w14:paraId="4B48428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14,68 €</w:t>
            </w:r>
          </w:p>
        </w:tc>
      </w:tr>
    </w:tbl>
    <w:p w14:paraId="0926F297" w14:textId="77777777" w:rsidR="00626BFF" w:rsidRDefault="00626BF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03B31D7E" w14:textId="649026A2" w:rsidR="00A57D54" w:rsidRDefault="00DD307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descenso interanual</w:t>
      </w:r>
    </w:p>
    <w:tbl>
      <w:tblPr>
        <w:tblStyle w:val="af0"/>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079"/>
        <w:gridCol w:w="1953"/>
        <w:gridCol w:w="1684"/>
        <w:gridCol w:w="1882"/>
      </w:tblGrid>
      <w:tr w:rsidR="00A57D54" w14:paraId="08532B85" w14:textId="77777777" w:rsidTr="00A57D5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97F0C6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Provincia</w:t>
            </w:r>
          </w:p>
        </w:tc>
        <w:tc>
          <w:tcPr>
            <w:tcW w:w="2079" w:type="dxa"/>
            <w:vAlign w:val="center"/>
          </w:tcPr>
          <w:p w14:paraId="6A0C2DB3" w14:textId="77777777" w:rsidR="00A57D54" w:rsidRDefault="00DD3074">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53" w:type="dxa"/>
          </w:tcPr>
          <w:p w14:paraId="70421B25"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3184298"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4" w:type="dxa"/>
          </w:tcPr>
          <w:p w14:paraId="44BF8747"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82" w:type="dxa"/>
            <w:vAlign w:val="center"/>
          </w:tcPr>
          <w:p w14:paraId="02B58244"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 xml:space="preserve">al mes) </w:t>
            </w:r>
          </w:p>
        </w:tc>
      </w:tr>
      <w:tr w:rsidR="00A57D54" w14:paraId="163423ED"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B9455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Asturias</w:t>
            </w:r>
          </w:p>
        </w:tc>
        <w:tc>
          <w:tcPr>
            <w:tcW w:w="2079" w:type="dxa"/>
            <w:vAlign w:val="bottom"/>
          </w:tcPr>
          <w:p w14:paraId="53A6EC86"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Avilés</w:t>
            </w:r>
          </w:p>
        </w:tc>
        <w:tc>
          <w:tcPr>
            <w:tcW w:w="1953" w:type="dxa"/>
            <w:vAlign w:val="bottom"/>
          </w:tcPr>
          <w:p w14:paraId="45CCA30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684" w:type="dxa"/>
            <w:vAlign w:val="bottom"/>
          </w:tcPr>
          <w:p w14:paraId="56970EE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-4,2%</w:t>
            </w:r>
          </w:p>
        </w:tc>
        <w:tc>
          <w:tcPr>
            <w:tcW w:w="1882" w:type="dxa"/>
            <w:vAlign w:val="bottom"/>
          </w:tcPr>
          <w:p w14:paraId="7C24433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6,55 €</w:t>
            </w:r>
          </w:p>
        </w:tc>
      </w:tr>
      <w:tr w:rsidR="00A57D54" w14:paraId="1AE7B027"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952E76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Navarra</w:t>
            </w:r>
          </w:p>
        </w:tc>
        <w:tc>
          <w:tcPr>
            <w:tcW w:w="2079" w:type="dxa"/>
            <w:vAlign w:val="bottom"/>
          </w:tcPr>
          <w:p w14:paraId="2C835B7E"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53" w:type="dxa"/>
            <w:vAlign w:val="bottom"/>
          </w:tcPr>
          <w:p w14:paraId="4659AFC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684" w:type="dxa"/>
            <w:vAlign w:val="bottom"/>
          </w:tcPr>
          <w:p w14:paraId="79B9A90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-2,2%</w:t>
            </w:r>
          </w:p>
        </w:tc>
        <w:tc>
          <w:tcPr>
            <w:tcW w:w="1882" w:type="dxa"/>
            <w:vAlign w:val="bottom"/>
          </w:tcPr>
          <w:p w14:paraId="6295764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10,31 €</w:t>
            </w:r>
          </w:p>
        </w:tc>
      </w:tr>
      <w:tr w:rsidR="00A57D54" w14:paraId="4D77494B"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5D95A5"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079" w:type="dxa"/>
            <w:vAlign w:val="bottom"/>
          </w:tcPr>
          <w:p w14:paraId="3242ADBD"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Alcalá de Henares</w:t>
            </w:r>
          </w:p>
        </w:tc>
        <w:tc>
          <w:tcPr>
            <w:tcW w:w="1953" w:type="dxa"/>
            <w:vAlign w:val="bottom"/>
          </w:tcPr>
          <w:p w14:paraId="430FFA7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684" w:type="dxa"/>
            <w:vAlign w:val="bottom"/>
          </w:tcPr>
          <w:p w14:paraId="5709442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-0,3%</w:t>
            </w:r>
          </w:p>
        </w:tc>
        <w:tc>
          <w:tcPr>
            <w:tcW w:w="1882" w:type="dxa"/>
            <w:vAlign w:val="bottom"/>
          </w:tcPr>
          <w:p w14:paraId="1989907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9,54 €</w:t>
            </w:r>
          </w:p>
        </w:tc>
      </w:tr>
      <w:tr w:rsidR="00A57D54" w14:paraId="38D0AA4F"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443A0F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Palencia</w:t>
            </w:r>
          </w:p>
        </w:tc>
        <w:tc>
          <w:tcPr>
            <w:tcW w:w="2079" w:type="dxa"/>
            <w:vAlign w:val="bottom"/>
          </w:tcPr>
          <w:p w14:paraId="6182A142"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53" w:type="dxa"/>
            <w:vAlign w:val="bottom"/>
          </w:tcPr>
          <w:p w14:paraId="6B713B1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1684" w:type="dxa"/>
            <w:vAlign w:val="bottom"/>
          </w:tcPr>
          <w:p w14:paraId="71F5B51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-0,2%</w:t>
            </w:r>
          </w:p>
        </w:tc>
        <w:tc>
          <w:tcPr>
            <w:tcW w:w="1882" w:type="dxa"/>
            <w:vAlign w:val="bottom"/>
          </w:tcPr>
          <w:p w14:paraId="7A30AFA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6,53 €</w:t>
            </w:r>
          </w:p>
        </w:tc>
      </w:tr>
      <w:tr w:rsidR="00A57D54" w14:paraId="7518B388"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8227B8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Tarragona</w:t>
            </w:r>
          </w:p>
        </w:tc>
        <w:tc>
          <w:tcPr>
            <w:tcW w:w="2079" w:type="dxa"/>
            <w:vAlign w:val="bottom"/>
          </w:tcPr>
          <w:p w14:paraId="1DE9DA4A"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53" w:type="dxa"/>
            <w:vAlign w:val="bottom"/>
          </w:tcPr>
          <w:p w14:paraId="2F68001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684" w:type="dxa"/>
            <w:vAlign w:val="bottom"/>
          </w:tcPr>
          <w:p w14:paraId="43D8E0A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0,6%</w:t>
            </w:r>
          </w:p>
        </w:tc>
        <w:tc>
          <w:tcPr>
            <w:tcW w:w="1882" w:type="dxa"/>
            <w:vAlign w:val="bottom"/>
          </w:tcPr>
          <w:p w14:paraId="722E4BA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8,95 €</w:t>
            </w:r>
          </w:p>
        </w:tc>
      </w:tr>
      <w:tr w:rsidR="00A57D54" w14:paraId="430A7A8D"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FAC6A6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Pontevedra</w:t>
            </w:r>
          </w:p>
        </w:tc>
        <w:tc>
          <w:tcPr>
            <w:tcW w:w="2079" w:type="dxa"/>
            <w:vAlign w:val="bottom"/>
          </w:tcPr>
          <w:p w14:paraId="247AF751"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Vigo</w:t>
            </w:r>
          </w:p>
        </w:tc>
        <w:tc>
          <w:tcPr>
            <w:tcW w:w="1953" w:type="dxa"/>
            <w:vAlign w:val="bottom"/>
          </w:tcPr>
          <w:p w14:paraId="1C6EA89B"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1684" w:type="dxa"/>
            <w:vAlign w:val="bottom"/>
          </w:tcPr>
          <w:p w14:paraId="5C47156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0,6%</w:t>
            </w:r>
          </w:p>
        </w:tc>
        <w:tc>
          <w:tcPr>
            <w:tcW w:w="1882" w:type="dxa"/>
            <w:vAlign w:val="bottom"/>
          </w:tcPr>
          <w:p w14:paraId="2E0CFB1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8,92 €</w:t>
            </w:r>
          </w:p>
        </w:tc>
      </w:tr>
      <w:tr w:rsidR="00A57D54" w14:paraId="4910BE85"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40C461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Castellón</w:t>
            </w:r>
          </w:p>
        </w:tc>
        <w:tc>
          <w:tcPr>
            <w:tcW w:w="2079" w:type="dxa"/>
            <w:vAlign w:val="bottom"/>
          </w:tcPr>
          <w:p w14:paraId="65E9DC82"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53" w:type="dxa"/>
            <w:vAlign w:val="bottom"/>
          </w:tcPr>
          <w:p w14:paraId="57BD669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684" w:type="dxa"/>
            <w:vAlign w:val="bottom"/>
          </w:tcPr>
          <w:p w14:paraId="18161A0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1882" w:type="dxa"/>
            <w:vAlign w:val="bottom"/>
          </w:tcPr>
          <w:p w14:paraId="22F26B7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6,70 €</w:t>
            </w:r>
          </w:p>
        </w:tc>
      </w:tr>
      <w:tr w:rsidR="00A57D54" w14:paraId="72CB5C28"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269C07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079" w:type="dxa"/>
            <w:vAlign w:val="bottom"/>
          </w:tcPr>
          <w:p w14:paraId="4E089DDF"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L'Hospitalet de Llobregat</w:t>
            </w:r>
          </w:p>
        </w:tc>
        <w:tc>
          <w:tcPr>
            <w:tcW w:w="1953" w:type="dxa"/>
            <w:vAlign w:val="bottom"/>
          </w:tcPr>
          <w:p w14:paraId="3B9D404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1684" w:type="dxa"/>
            <w:vAlign w:val="bottom"/>
          </w:tcPr>
          <w:p w14:paraId="1AB82D4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w:t>
            </w:r>
          </w:p>
        </w:tc>
        <w:tc>
          <w:tcPr>
            <w:tcW w:w="1882" w:type="dxa"/>
            <w:vAlign w:val="bottom"/>
          </w:tcPr>
          <w:p w14:paraId="26ADC0D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13,64 €</w:t>
            </w:r>
          </w:p>
        </w:tc>
      </w:tr>
      <w:tr w:rsidR="00A57D54" w14:paraId="2C30F4C1" w14:textId="77777777" w:rsidTr="00A57D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E9B4DE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Córdoba</w:t>
            </w:r>
          </w:p>
        </w:tc>
        <w:tc>
          <w:tcPr>
            <w:tcW w:w="2079" w:type="dxa"/>
            <w:vAlign w:val="bottom"/>
          </w:tcPr>
          <w:p w14:paraId="2707D1E9"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Córdoba capital</w:t>
            </w:r>
          </w:p>
        </w:tc>
        <w:tc>
          <w:tcPr>
            <w:tcW w:w="1953" w:type="dxa"/>
            <w:vAlign w:val="bottom"/>
          </w:tcPr>
          <w:p w14:paraId="720CA66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684" w:type="dxa"/>
            <w:vAlign w:val="bottom"/>
          </w:tcPr>
          <w:p w14:paraId="6A5846D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w:t>
            </w:r>
          </w:p>
        </w:tc>
        <w:tc>
          <w:tcPr>
            <w:tcW w:w="1882" w:type="dxa"/>
            <w:vAlign w:val="bottom"/>
          </w:tcPr>
          <w:p w14:paraId="57A33B9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7,42 €</w:t>
            </w:r>
          </w:p>
        </w:tc>
      </w:tr>
      <w:tr w:rsidR="00A57D54" w14:paraId="1C13C1B6" w14:textId="77777777" w:rsidTr="00A57D54">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D2A6A1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Ourense</w:t>
            </w:r>
          </w:p>
        </w:tc>
        <w:tc>
          <w:tcPr>
            <w:tcW w:w="2079" w:type="dxa"/>
            <w:vAlign w:val="bottom"/>
          </w:tcPr>
          <w:p w14:paraId="0F35470F"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Ourense capital</w:t>
            </w:r>
          </w:p>
        </w:tc>
        <w:tc>
          <w:tcPr>
            <w:tcW w:w="1953" w:type="dxa"/>
            <w:vAlign w:val="bottom"/>
          </w:tcPr>
          <w:p w14:paraId="09F3B53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684" w:type="dxa"/>
            <w:vAlign w:val="bottom"/>
          </w:tcPr>
          <w:p w14:paraId="657C8DC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1,4%</w:t>
            </w:r>
          </w:p>
        </w:tc>
        <w:tc>
          <w:tcPr>
            <w:tcW w:w="1882" w:type="dxa"/>
            <w:vAlign w:val="bottom"/>
          </w:tcPr>
          <w:p w14:paraId="7657A9A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5,93 €</w:t>
            </w:r>
          </w:p>
        </w:tc>
      </w:tr>
    </w:tbl>
    <w:p w14:paraId="3CFB2162" w14:textId="77777777" w:rsidR="00A57D54" w:rsidRDefault="00DD3074">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abril, vemos que 26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w:t>
      </w:r>
      <w:r>
        <w:rPr>
          <w:rFonts w:ascii="Times New Roman" w:eastAsia="Times New Roman" w:hAnsi="Times New Roman" w:cs="Times New Roman"/>
          <w:color w:val="000000"/>
        </w:rPr>
        <w:t xml:space="preserve"> </w:t>
      </w:r>
      <w:r>
        <w:rPr>
          <w:rFonts w:ascii="Open Sans" w:eastAsia="Open Sans" w:hAnsi="Open Sans" w:cs="Open Sans"/>
          <w:color w:val="000000"/>
        </w:rPr>
        <w:t>Barcelona capital con 18,00 €/m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16,68 €/m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15,70 €/m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15,25 €/m</w:t>
      </w:r>
      <w:r>
        <w:rPr>
          <w:rFonts w:ascii="Open Sans" w:eastAsia="Open Sans" w:hAnsi="Open Sans" w:cs="Open Sans"/>
          <w:color w:val="000000"/>
          <w:vertAlign w:val="superscript"/>
        </w:rPr>
        <w:t xml:space="preserve">2 </w:t>
      </w:r>
      <w:r>
        <w:rPr>
          <w:rFonts w:ascii="Open Sans" w:eastAsia="Open Sans" w:hAnsi="Open Sans" w:cs="Open Sans"/>
          <w:color w:val="000000"/>
        </w:rPr>
        <w:t>al mes, Marbella con 14,68 €/m</w:t>
      </w:r>
      <w:r>
        <w:rPr>
          <w:rFonts w:ascii="Open Sans" w:eastAsia="Open Sans" w:hAnsi="Open Sans" w:cs="Open Sans"/>
          <w:color w:val="000000"/>
          <w:vertAlign w:val="superscript"/>
        </w:rPr>
        <w:t xml:space="preserve">2 </w:t>
      </w:r>
      <w:r>
        <w:rPr>
          <w:rFonts w:ascii="Open Sans" w:eastAsia="Open Sans" w:hAnsi="Open Sans" w:cs="Open Sans"/>
          <w:color w:val="000000"/>
        </w:rPr>
        <w:t>al mes, Pozuelo de Alarcón con 13,83 €/m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13,64 €/m</w:t>
      </w:r>
      <w:r>
        <w:rPr>
          <w:rFonts w:ascii="Open Sans" w:eastAsia="Open Sans" w:hAnsi="Open Sans" w:cs="Open Sans"/>
          <w:color w:val="000000"/>
          <w:vertAlign w:val="superscript"/>
        </w:rPr>
        <w:t xml:space="preserve">2 </w:t>
      </w:r>
      <w:r>
        <w:rPr>
          <w:rFonts w:ascii="Open Sans" w:eastAsia="Open Sans" w:hAnsi="Open Sans" w:cs="Open Sans"/>
          <w:color w:val="000000"/>
        </w:rPr>
        <w:t>a</w:t>
      </w:r>
      <w:r>
        <w:rPr>
          <w:rFonts w:ascii="Open Sans" w:eastAsia="Open Sans" w:hAnsi="Open Sans" w:cs="Open Sans"/>
          <w:color w:val="000000"/>
        </w:rPr>
        <w:t>l mes, Villaviciosa de Odón con 13,64 €/m</w:t>
      </w:r>
      <w:r>
        <w:rPr>
          <w:rFonts w:ascii="Open Sans" w:eastAsia="Open Sans" w:hAnsi="Open Sans" w:cs="Open Sans"/>
          <w:color w:val="000000"/>
          <w:vertAlign w:val="superscript"/>
        </w:rPr>
        <w:t xml:space="preserve">2 </w:t>
      </w:r>
      <w:r>
        <w:rPr>
          <w:rFonts w:ascii="Open Sans" w:eastAsia="Open Sans" w:hAnsi="Open Sans" w:cs="Open Sans"/>
          <w:color w:val="000000"/>
        </w:rPr>
        <w:t>al mes, Getxo con 13,57 €/m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Bilbao  con 13,45 €/m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093C8445" w14:textId="77777777" w:rsidR="00A57D54" w:rsidRDefault="00DD307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Municipios con mayor precio </w:t>
      </w:r>
    </w:p>
    <w:tbl>
      <w:tblPr>
        <w:tblStyle w:val="af1"/>
        <w:tblW w:w="94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976"/>
        <w:gridCol w:w="1560"/>
        <w:gridCol w:w="1701"/>
        <w:gridCol w:w="1701"/>
      </w:tblGrid>
      <w:tr w:rsidR="00A57D54" w14:paraId="1A1D7CE8" w14:textId="77777777" w:rsidTr="00A57D5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1AB127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Provincia</w:t>
            </w:r>
          </w:p>
        </w:tc>
        <w:tc>
          <w:tcPr>
            <w:tcW w:w="2976" w:type="dxa"/>
            <w:vAlign w:val="center"/>
          </w:tcPr>
          <w:p w14:paraId="4AF089C4" w14:textId="77777777" w:rsidR="00A57D54" w:rsidRDefault="00DD3074">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560" w:type="dxa"/>
            <w:vAlign w:val="center"/>
          </w:tcPr>
          <w:p w14:paraId="08E20DEE"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701" w:type="dxa"/>
          </w:tcPr>
          <w:p w14:paraId="633D2240"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B57D355"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335334CD"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7D54" w14:paraId="32D2F3DB" w14:textId="77777777" w:rsidTr="00A57D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4DA15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5533E810"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560" w:type="dxa"/>
            <w:vAlign w:val="bottom"/>
          </w:tcPr>
          <w:p w14:paraId="435A9D1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18,00 €</w:t>
            </w:r>
          </w:p>
        </w:tc>
        <w:tc>
          <w:tcPr>
            <w:tcW w:w="1701" w:type="dxa"/>
            <w:vAlign w:val="bottom"/>
          </w:tcPr>
          <w:p w14:paraId="0648FE5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701" w:type="dxa"/>
            <w:vAlign w:val="bottom"/>
          </w:tcPr>
          <w:p w14:paraId="3952A6B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18,0%</w:t>
            </w:r>
          </w:p>
        </w:tc>
      </w:tr>
      <w:tr w:rsidR="00A57D54" w14:paraId="21D92930" w14:textId="77777777" w:rsidTr="00A57D54">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E1DA9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Gipuzkoa</w:t>
            </w:r>
          </w:p>
        </w:tc>
        <w:tc>
          <w:tcPr>
            <w:tcW w:w="2976" w:type="dxa"/>
            <w:vAlign w:val="bottom"/>
          </w:tcPr>
          <w:p w14:paraId="308AEDDA"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560" w:type="dxa"/>
            <w:vAlign w:val="bottom"/>
          </w:tcPr>
          <w:p w14:paraId="5CD3A3B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16,68 €</w:t>
            </w:r>
          </w:p>
        </w:tc>
        <w:tc>
          <w:tcPr>
            <w:tcW w:w="1701" w:type="dxa"/>
            <w:vAlign w:val="bottom"/>
          </w:tcPr>
          <w:p w14:paraId="3E3D071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701" w:type="dxa"/>
            <w:vAlign w:val="bottom"/>
          </w:tcPr>
          <w:p w14:paraId="4646B6A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w:t>
            </w:r>
          </w:p>
        </w:tc>
      </w:tr>
      <w:tr w:rsidR="00A57D54" w14:paraId="1EAB8B35" w14:textId="77777777" w:rsidTr="00A57D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0DE31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66CDBC39"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560" w:type="dxa"/>
            <w:vAlign w:val="bottom"/>
          </w:tcPr>
          <w:p w14:paraId="7DBAD2D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15,70 €</w:t>
            </w:r>
          </w:p>
        </w:tc>
        <w:tc>
          <w:tcPr>
            <w:tcW w:w="1701" w:type="dxa"/>
            <w:vAlign w:val="bottom"/>
          </w:tcPr>
          <w:p w14:paraId="0338414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701" w:type="dxa"/>
            <w:vAlign w:val="bottom"/>
          </w:tcPr>
          <w:p w14:paraId="202DF8B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r>
      <w:tr w:rsidR="00A57D54" w14:paraId="6C888AD4" w14:textId="77777777" w:rsidTr="00A57D54">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082B0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7266620F"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560" w:type="dxa"/>
            <w:vAlign w:val="bottom"/>
          </w:tcPr>
          <w:p w14:paraId="5CCCC91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15,25 €</w:t>
            </w:r>
          </w:p>
        </w:tc>
        <w:tc>
          <w:tcPr>
            <w:tcW w:w="1701" w:type="dxa"/>
            <w:vAlign w:val="bottom"/>
          </w:tcPr>
          <w:p w14:paraId="374B6A1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701" w:type="dxa"/>
            <w:vAlign w:val="bottom"/>
          </w:tcPr>
          <w:p w14:paraId="633111E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r>
      <w:tr w:rsidR="00A57D54" w14:paraId="21C709C0" w14:textId="77777777" w:rsidTr="00A57D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42E4E5"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Málaga</w:t>
            </w:r>
          </w:p>
        </w:tc>
        <w:tc>
          <w:tcPr>
            <w:tcW w:w="2976" w:type="dxa"/>
            <w:vAlign w:val="bottom"/>
          </w:tcPr>
          <w:p w14:paraId="1A540507"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560" w:type="dxa"/>
            <w:vAlign w:val="bottom"/>
          </w:tcPr>
          <w:p w14:paraId="24519D3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14,68 €</w:t>
            </w:r>
          </w:p>
        </w:tc>
        <w:tc>
          <w:tcPr>
            <w:tcW w:w="1701" w:type="dxa"/>
            <w:vAlign w:val="bottom"/>
          </w:tcPr>
          <w:p w14:paraId="6A09C96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9,8%</w:t>
            </w:r>
          </w:p>
        </w:tc>
        <w:tc>
          <w:tcPr>
            <w:tcW w:w="1701" w:type="dxa"/>
            <w:vAlign w:val="bottom"/>
          </w:tcPr>
          <w:p w14:paraId="148086F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29,3%</w:t>
            </w:r>
          </w:p>
        </w:tc>
      </w:tr>
      <w:tr w:rsidR="00A57D54" w14:paraId="4C439DD0" w14:textId="77777777" w:rsidTr="00A57D54">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CDD7EC"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52E17C62"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560" w:type="dxa"/>
            <w:vAlign w:val="bottom"/>
          </w:tcPr>
          <w:p w14:paraId="2F6D9AF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13,83 €</w:t>
            </w:r>
          </w:p>
        </w:tc>
        <w:tc>
          <w:tcPr>
            <w:tcW w:w="1701" w:type="dxa"/>
            <w:vAlign w:val="bottom"/>
          </w:tcPr>
          <w:p w14:paraId="1ADF982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701" w:type="dxa"/>
            <w:vAlign w:val="bottom"/>
          </w:tcPr>
          <w:p w14:paraId="0EDCEB8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w:t>
            </w:r>
          </w:p>
        </w:tc>
      </w:tr>
      <w:tr w:rsidR="00A57D54" w14:paraId="5CC5E9EC" w14:textId="77777777" w:rsidTr="00A57D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0A084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70EBA1B1"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560" w:type="dxa"/>
            <w:vAlign w:val="bottom"/>
          </w:tcPr>
          <w:p w14:paraId="1AA6FBB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13,64 €</w:t>
            </w:r>
          </w:p>
        </w:tc>
        <w:tc>
          <w:tcPr>
            <w:tcW w:w="1701" w:type="dxa"/>
            <w:vAlign w:val="bottom"/>
          </w:tcPr>
          <w:p w14:paraId="13134B1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-4,2%</w:t>
            </w:r>
          </w:p>
        </w:tc>
        <w:tc>
          <w:tcPr>
            <w:tcW w:w="1701" w:type="dxa"/>
            <w:vAlign w:val="bottom"/>
          </w:tcPr>
          <w:p w14:paraId="66336566"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r>
      <w:tr w:rsidR="00A57D54" w14:paraId="3FA94AF3" w14:textId="77777777" w:rsidTr="00A57D54">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FABE3D8"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70509887"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Villaviciosa de Odón</w:t>
            </w:r>
          </w:p>
        </w:tc>
        <w:tc>
          <w:tcPr>
            <w:tcW w:w="1560" w:type="dxa"/>
            <w:vAlign w:val="bottom"/>
          </w:tcPr>
          <w:p w14:paraId="5EF862A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13,64 €</w:t>
            </w:r>
          </w:p>
        </w:tc>
        <w:tc>
          <w:tcPr>
            <w:tcW w:w="1701" w:type="dxa"/>
            <w:vAlign w:val="bottom"/>
          </w:tcPr>
          <w:p w14:paraId="79EEC64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701" w:type="dxa"/>
            <w:vAlign w:val="bottom"/>
          </w:tcPr>
          <w:p w14:paraId="5839E23E"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10,8%</w:t>
            </w:r>
          </w:p>
        </w:tc>
      </w:tr>
      <w:tr w:rsidR="00A57D54" w14:paraId="2DF4C947" w14:textId="77777777" w:rsidTr="00A57D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CAD31B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7B59AA85" w14:textId="77777777" w:rsidR="00A57D54" w:rsidRDefault="00DD3074">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560" w:type="dxa"/>
            <w:vAlign w:val="bottom"/>
          </w:tcPr>
          <w:p w14:paraId="39EFBD7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13,57 €</w:t>
            </w:r>
          </w:p>
        </w:tc>
        <w:tc>
          <w:tcPr>
            <w:tcW w:w="1701" w:type="dxa"/>
            <w:vAlign w:val="bottom"/>
          </w:tcPr>
          <w:p w14:paraId="3D44F99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1701" w:type="dxa"/>
            <w:vAlign w:val="bottom"/>
          </w:tcPr>
          <w:p w14:paraId="1A28E56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10,7%</w:t>
            </w:r>
          </w:p>
        </w:tc>
      </w:tr>
      <w:tr w:rsidR="00A57D54" w14:paraId="1AF98BBD" w14:textId="77777777" w:rsidTr="00A57D54">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DA791E"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326542F3" w14:textId="77777777" w:rsidR="00A57D54" w:rsidRDefault="00DD3074">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560" w:type="dxa"/>
            <w:vAlign w:val="bottom"/>
          </w:tcPr>
          <w:p w14:paraId="71C62FF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13,45 €</w:t>
            </w:r>
          </w:p>
        </w:tc>
        <w:tc>
          <w:tcPr>
            <w:tcW w:w="1701" w:type="dxa"/>
            <w:vAlign w:val="bottom"/>
          </w:tcPr>
          <w:p w14:paraId="5B2A8F0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701" w:type="dxa"/>
            <w:vAlign w:val="bottom"/>
          </w:tcPr>
          <w:p w14:paraId="0ABD4B2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r>
    </w:tbl>
    <w:p w14:paraId="72728056" w14:textId="77777777" w:rsidR="00A57D54" w:rsidRDefault="00A57D54">
      <w:pPr>
        <w:spacing w:line="276" w:lineRule="auto"/>
        <w:ind w:right="-574"/>
        <w:rPr>
          <w:rFonts w:ascii="Open Sans Light" w:eastAsia="Open Sans Light" w:hAnsi="Open Sans Light" w:cs="Open Sans Light"/>
          <w:b/>
          <w:color w:val="303AB2"/>
          <w:sz w:val="28"/>
          <w:szCs w:val="28"/>
        </w:rPr>
      </w:pPr>
    </w:p>
    <w:p w14:paraId="2DB269AA" w14:textId="77777777" w:rsidR="00A57D54" w:rsidRDefault="00A57D54">
      <w:pPr>
        <w:spacing w:line="276" w:lineRule="auto"/>
        <w:ind w:right="-574"/>
        <w:rPr>
          <w:rFonts w:ascii="Open Sans Light" w:eastAsia="Open Sans Light" w:hAnsi="Open Sans Light" w:cs="Open Sans Light"/>
          <w:b/>
          <w:color w:val="303AB2"/>
          <w:sz w:val="28"/>
          <w:szCs w:val="28"/>
        </w:rPr>
      </w:pPr>
    </w:p>
    <w:p w14:paraId="308C7381" w14:textId="77777777" w:rsidR="00A57D54" w:rsidRDefault="00DD3074">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1737E00D" w14:textId="77777777" w:rsidR="00A57D54" w:rsidRDefault="00A57D54">
      <w:pPr>
        <w:ind w:right="-574"/>
        <w:rPr>
          <w:rFonts w:ascii="Open Sans Light" w:eastAsia="Open Sans Light" w:hAnsi="Open Sans Light" w:cs="Open Sans Light"/>
          <w:b/>
          <w:color w:val="303AB2"/>
          <w:sz w:val="28"/>
          <w:szCs w:val="28"/>
        </w:rPr>
      </w:pPr>
    </w:p>
    <w:p w14:paraId="559B1170"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abril en todos los distritos respecto al año anterior. En seis de los distritos analizados el precio del alquiler tiene un incremento interanual superior a los 10%. El distrito Centro y La Latina tienen una subida de un 12,3%</w:t>
      </w:r>
      <w:r>
        <w:rPr>
          <w:rFonts w:ascii="Open Sans" w:eastAsia="Open Sans" w:hAnsi="Open Sans" w:cs="Open Sans"/>
          <w:color w:val="000000"/>
        </w:rPr>
        <w:t xml:space="preserve"> y un 11,6%, respectivamente. </w:t>
      </w:r>
    </w:p>
    <w:p w14:paraId="38F8D0CD" w14:textId="77777777" w:rsidR="00A57D54" w:rsidRDefault="00A57D54">
      <w:pPr>
        <w:spacing w:line="276" w:lineRule="auto"/>
        <w:ind w:right="-574"/>
        <w:jc w:val="both"/>
        <w:rPr>
          <w:rFonts w:ascii="Open Sans" w:eastAsia="Open Sans" w:hAnsi="Open Sans" w:cs="Open Sans"/>
          <w:color w:val="000000"/>
        </w:rPr>
      </w:pPr>
    </w:p>
    <w:p w14:paraId="3C6F1D84"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ocho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El distrito más caro para vivir en alquiler es </w:t>
      </w:r>
    </w:p>
    <w:p w14:paraId="0DCC3104"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Salamanca con 18,90 €/m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1</w:t>
      </w:r>
      <w:r>
        <w:rPr>
          <w:rFonts w:ascii="Open Sans" w:eastAsia="Open Sans" w:hAnsi="Open Sans" w:cs="Open Sans"/>
          <w:color w:val="000000"/>
        </w:rPr>
        <w:t>8,69 €/m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18,16 €/m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16,61 €/m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16,31 €/m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16,21 €/m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15,49 €/m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Tetuán con 15,43 €/m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D8114AE" w14:textId="77777777" w:rsidR="00A57D54" w:rsidRDefault="00A57D54">
      <w:pPr>
        <w:spacing w:line="276" w:lineRule="auto"/>
        <w:ind w:right="-574"/>
        <w:jc w:val="both"/>
        <w:rPr>
          <w:rFonts w:ascii="Open Sans" w:eastAsia="Open Sans" w:hAnsi="Open Sans" w:cs="Open Sans"/>
          <w:color w:val="000000"/>
        </w:rPr>
      </w:pPr>
    </w:p>
    <w:p w14:paraId="0C035A30" w14:textId="77777777" w:rsidR="00A57D54" w:rsidRDefault="00DD3074">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con variación in</w:t>
      </w:r>
      <w:r>
        <w:rPr>
          <w:rFonts w:ascii="Open Sans Light" w:eastAsia="Open Sans Light" w:hAnsi="Open Sans Light" w:cs="Open Sans Light"/>
          <w:b/>
          <w:color w:val="303AB2"/>
          <w:sz w:val="28"/>
          <w:szCs w:val="28"/>
        </w:rPr>
        <w:t>teranual, mensual y precio</w:t>
      </w:r>
    </w:p>
    <w:p w14:paraId="77A7AA64" w14:textId="77777777" w:rsidR="00A57D54" w:rsidRDefault="00A57D54">
      <w:pPr>
        <w:spacing w:line="276" w:lineRule="auto"/>
        <w:ind w:right="-574"/>
        <w:jc w:val="both"/>
        <w:rPr>
          <w:rFonts w:ascii="Open Sans Light" w:eastAsia="Open Sans Light" w:hAnsi="Open Sans Light" w:cs="Open Sans Light"/>
          <w:b/>
          <w:color w:val="303AB2"/>
          <w:sz w:val="28"/>
          <w:szCs w:val="28"/>
        </w:rPr>
      </w:pPr>
    </w:p>
    <w:tbl>
      <w:tblPr>
        <w:tblStyle w:val="af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A57D54" w14:paraId="77020C32" w14:textId="77777777" w:rsidTr="00A57D5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640BF0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Distrito</w:t>
            </w:r>
          </w:p>
        </w:tc>
        <w:tc>
          <w:tcPr>
            <w:tcW w:w="2552" w:type="dxa"/>
            <w:vAlign w:val="center"/>
          </w:tcPr>
          <w:p w14:paraId="2CEE5853"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4EBF32B5"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8091955"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301D819C"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7D54" w14:paraId="2094C69D"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49AC1C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6009445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18,69 €</w:t>
            </w:r>
          </w:p>
        </w:tc>
        <w:tc>
          <w:tcPr>
            <w:tcW w:w="2126" w:type="dxa"/>
            <w:vAlign w:val="bottom"/>
          </w:tcPr>
          <w:p w14:paraId="5E8E9A6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0,1 %</w:t>
            </w:r>
          </w:p>
        </w:tc>
        <w:tc>
          <w:tcPr>
            <w:tcW w:w="1910" w:type="dxa"/>
            <w:vAlign w:val="bottom"/>
          </w:tcPr>
          <w:p w14:paraId="1FC696D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12,3 %</w:t>
            </w:r>
          </w:p>
        </w:tc>
      </w:tr>
      <w:tr w:rsidR="00A57D54" w14:paraId="3CABB9F1"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694441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0104CBAD"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13,37 €</w:t>
            </w:r>
          </w:p>
        </w:tc>
        <w:tc>
          <w:tcPr>
            <w:tcW w:w="2126" w:type="dxa"/>
            <w:vAlign w:val="bottom"/>
          </w:tcPr>
          <w:p w14:paraId="30064A7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7,5 %</w:t>
            </w:r>
          </w:p>
        </w:tc>
        <w:tc>
          <w:tcPr>
            <w:tcW w:w="1910" w:type="dxa"/>
            <w:vAlign w:val="bottom"/>
          </w:tcPr>
          <w:p w14:paraId="7C64A8C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11,6 %</w:t>
            </w:r>
          </w:p>
        </w:tc>
      </w:tr>
      <w:tr w:rsidR="00A57D54" w14:paraId="269D34C9"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309141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52" w:type="dxa"/>
            <w:vAlign w:val="bottom"/>
          </w:tcPr>
          <w:p w14:paraId="2E5573E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18,90 €</w:t>
            </w:r>
          </w:p>
        </w:tc>
        <w:tc>
          <w:tcPr>
            <w:tcW w:w="2126" w:type="dxa"/>
            <w:vAlign w:val="bottom"/>
          </w:tcPr>
          <w:p w14:paraId="1F4C36D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0,4 %</w:t>
            </w:r>
          </w:p>
        </w:tc>
        <w:tc>
          <w:tcPr>
            <w:tcW w:w="1910" w:type="dxa"/>
            <w:vAlign w:val="bottom"/>
          </w:tcPr>
          <w:p w14:paraId="49DFB7D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10,7 %</w:t>
            </w:r>
          </w:p>
        </w:tc>
      </w:tr>
      <w:tr w:rsidR="00A57D54" w14:paraId="3F58015D"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7FECFE5"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057A6BF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13,04 €</w:t>
            </w:r>
          </w:p>
        </w:tc>
        <w:tc>
          <w:tcPr>
            <w:tcW w:w="2126" w:type="dxa"/>
            <w:vAlign w:val="bottom"/>
          </w:tcPr>
          <w:p w14:paraId="448CD29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2,0 %</w:t>
            </w:r>
          </w:p>
        </w:tc>
        <w:tc>
          <w:tcPr>
            <w:tcW w:w="1910" w:type="dxa"/>
            <w:vAlign w:val="bottom"/>
          </w:tcPr>
          <w:p w14:paraId="697818B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10,6 %</w:t>
            </w:r>
          </w:p>
        </w:tc>
      </w:tr>
      <w:tr w:rsidR="00A57D54" w14:paraId="46AD4AC6"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E39161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52" w:type="dxa"/>
            <w:vAlign w:val="bottom"/>
          </w:tcPr>
          <w:p w14:paraId="5F10566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16,21 €</w:t>
            </w:r>
          </w:p>
        </w:tc>
        <w:tc>
          <w:tcPr>
            <w:tcW w:w="2126" w:type="dxa"/>
            <w:vAlign w:val="bottom"/>
          </w:tcPr>
          <w:p w14:paraId="10CE96A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1,6 %</w:t>
            </w:r>
          </w:p>
        </w:tc>
        <w:tc>
          <w:tcPr>
            <w:tcW w:w="1910" w:type="dxa"/>
            <w:vAlign w:val="bottom"/>
          </w:tcPr>
          <w:p w14:paraId="6076BFE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10,4 %</w:t>
            </w:r>
          </w:p>
        </w:tc>
      </w:tr>
      <w:tr w:rsidR="00A57D54" w14:paraId="7CD337C3"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1A74C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6EFFEBB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16,61 €</w:t>
            </w:r>
          </w:p>
        </w:tc>
        <w:tc>
          <w:tcPr>
            <w:tcW w:w="2126" w:type="dxa"/>
            <w:vAlign w:val="bottom"/>
          </w:tcPr>
          <w:p w14:paraId="6B03708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0,7 %</w:t>
            </w:r>
          </w:p>
        </w:tc>
        <w:tc>
          <w:tcPr>
            <w:tcW w:w="1910" w:type="dxa"/>
            <w:vAlign w:val="bottom"/>
          </w:tcPr>
          <w:p w14:paraId="7E00B95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10,0 %</w:t>
            </w:r>
          </w:p>
        </w:tc>
      </w:tr>
      <w:tr w:rsidR="00A57D54" w14:paraId="431FB502"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E0F291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lastRenderedPageBreak/>
              <w:t>Usera</w:t>
            </w:r>
          </w:p>
        </w:tc>
        <w:tc>
          <w:tcPr>
            <w:tcW w:w="2552" w:type="dxa"/>
            <w:vAlign w:val="bottom"/>
          </w:tcPr>
          <w:p w14:paraId="36A8AEA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12,38 €</w:t>
            </w:r>
          </w:p>
        </w:tc>
        <w:tc>
          <w:tcPr>
            <w:tcW w:w="2126" w:type="dxa"/>
            <w:vAlign w:val="bottom"/>
          </w:tcPr>
          <w:p w14:paraId="0040045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1,3 %</w:t>
            </w:r>
          </w:p>
        </w:tc>
        <w:tc>
          <w:tcPr>
            <w:tcW w:w="1910" w:type="dxa"/>
            <w:vAlign w:val="bottom"/>
          </w:tcPr>
          <w:p w14:paraId="32F3841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9,9 %</w:t>
            </w:r>
          </w:p>
        </w:tc>
      </w:tr>
      <w:tr w:rsidR="00A57D54" w14:paraId="27CE1549"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26FF49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Chamberí</w:t>
            </w:r>
          </w:p>
        </w:tc>
        <w:tc>
          <w:tcPr>
            <w:tcW w:w="2552" w:type="dxa"/>
            <w:vAlign w:val="bottom"/>
          </w:tcPr>
          <w:p w14:paraId="0C07A0D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18,16 €</w:t>
            </w:r>
          </w:p>
        </w:tc>
        <w:tc>
          <w:tcPr>
            <w:tcW w:w="2126" w:type="dxa"/>
            <w:vAlign w:val="bottom"/>
          </w:tcPr>
          <w:p w14:paraId="1BB263B3"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2,5 %</w:t>
            </w:r>
          </w:p>
        </w:tc>
        <w:tc>
          <w:tcPr>
            <w:tcW w:w="1910" w:type="dxa"/>
            <w:vAlign w:val="bottom"/>
          </w:tcPr>
          <w:p w14:paraId="25A78CB7"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7,7 %</w:t>
            </w:r>
          </w:p>
        </w:tc>
      </w:tr>
      <w:tr w:rsidR="00A57D54" w14:paraId="08A07934"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8134BF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0756104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15,49 €</w:t>
            </w:r>
          </w:p>
        </w:tc>
        <w:tc>
          <w:tcPr>
            <w:tcW w:w="2126" w:type="dxa"/>
            <w:vAlign w:val="bottom"/>
          </w:tcPr>
          <w:p w14:paraId="0BBB73E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-0,3 %</w:t>
            </w:r>
          </w:p>
        </w:tc>
        <w:tc>
          <w:tcPr>
            <w:tcW w:w="1910" w:type="dxa"/>
            <w:vAlign w:val="bottom"/>
          </w:tcPr>
          <w:p w14:paraId="315AEF70"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7,6 %</w:t>
            </w:r>
          </w:p>
        </w:tc>
      </w:tr>
      <w:tr w:rsidR="00A57D54" w14:paraId="348CC0E7"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F56676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00C8C38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11,70 €</w:t>
            </w:r>
          </w:p>
        </w:tc>
        <w:tc>
          <w:tcPr>
            <w:tcW w:w="2126" w:type="dxa"/>
            <w:vAlign w:val="bottom"/>
          </w:tcPr>
          <w:p w14:paraId="3101592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0,6 %</w:t>
            </w:r>
          </w:p>
        </w:tc>
        <w:tc>
          <w:tcPr>
            <w:tcW w:w="1910" w:type="dxa"/>
            <w:vAlign w:val="bottom"/>
          </w:tcPr>
          <w:p w14:paraId="1BC6CBF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7,4 %</w:t>
            </w:r>
          </w:p>
        </w:tc>
      </w:tr>
      <w:tr w:rsidR="00A57D54" w14:paraId="69513B95"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6D1362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731711E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12,66 €</w:t>
            </w:r>
          </w:p>
        </w:tc>
        <w:tc>
          <w:tcPr>
            <w:tcW w:w="2126" w:type="dxa"/>
            <w:vAlign w:val="bottom"/>
          </w:tcPr>
          <w:p w14:paraId="5717A98B"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-3,1 %</w:t>
            </w:r>
          </w:p>
        </w:tc>
        <w:tc>
          <w:tcPr>
            <w:tcW w:w="1910" w:type="dxa"/>
            <w:vAlign w:val="bottom"/>
          </w:tcPr>
          <w:p w14:paraId="41D02611"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6,7 %</w:t>
            </w:r>
          </w:p>
        </w:tc>
      </w:tr>
      <w:tr w:rsidR="00A57D54" w14:paraId="4B59460A"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C67A21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52" w:type="dxa"/>
            <w:vAlign w:val="bottom"/>
          </w:tcPr>
          <w:p w14:paraId="5EC11EF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13,64 €</w:t>
            </w:r>
          </w:p>
        </w:tc>
        <w:tc>
          <w:tcPr>
            <w:tcW w:w="2126" w:type="dxa"/>
            <w:vAlign w:val="bottom"/>
          </w:tcPr>
          <w:p w14:paraId="31CE044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-2,0 %</w:t>
            </w:r>
          </w:p>
        </w:tc>
        <w:tc>
          <w:tcPr>
            <w:tcW w:w="1910" w:type="dxa"/>
            <w:vAlign w:val="bottom"/>
          </w:tcPr>
          <w:p w14:paraId="478819F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6,6 %</w:t>
            </w:r>
          </w:p>
        </w:tc>
      </w:tr>
      <w:tr w:rsidR="00A57D54" w14:paraId="6F12E404"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AE0CCA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5D1795B4"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15,43 €</w:t>
            </w:r>
          </w:p>
        </w:tc>
        <w:tc>
          <w:tcPr>
            <w:tcW w:w="2126" w:type="dxa"/>
            <w:vAlign w:val="bottom"/>
          </w:tcPr>
          <w:p w14:paraId="6CD70A5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-1,2 %</w:t>
            </w:r>
          </w:p>
        </w:tc>
        <w:tc>
          <w:tcPr>
            <w:tcW w:w="1910" w:type="dxa"/>
            <w:vAlign w:val="bottom"/>
          </w:tcPr>
          <w:p w14:paraId="10B446F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6,6 %</w:t>
            </w:r>
          </w:p>
        </w:tc>
      </w:tr>
      <w:tr w:rsidR="00A57D54" w14:paraId="74E6F277"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2C2647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3694079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16,31 €</w:t>
            </w:r>
          </w:p>
        </w:tc>
        <w:tc>
          <w:tcPr>
            <w:tcW w:w="2126" w:type="dxa"/>
            <w:vAlign w:val="bottom"/>
          </w:tcPr>
          <w:p w14:paraId="67F4CD3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-1,8 %</w:t>
            </w:r>
          </w:p>
        </w:tc>
        <w:tc>
          <w:tcPr>
            <w:tcW w:w="1910" w:type="dxa"/>
            <w:vAlign w:val="bottom"/>
          </w:tcPr>
          <w:p w14:paraId="357216F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6,1 %</w:t>
            </w:r>
          </w:p>
        </w:tc>
      </w:tr>
      <w:tr w:rsidR="00A57D54" w14:paraId="5D12B182"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AF0B40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Fuencarral</w:t>
            </w:r>
          </w:p>
        </w:tc>
        <w:tc>
          <w:tcPr>
            <w:tcW w:w="2552" w:type="dxa"/>
            <w:vAlign w:val="bottom"/>
          </w:tcPr>
          <w:p w14:paraId="5F37EAB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13,10 €</w:t>
            </w:r>
          </w:p>
        </w:tc>
        <w:tc>
          <w:tcPr>
            <w:tcW w:w="2126" w:type="dxa"/>
            <w:vAlign w:val="bottom"/>
          </w:tcPr>
          <w:p w14:paraId="7F34CE83"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2,7 %</w:t>
            </w:r>
          </w:p>
        </w:tc>
        <w:tc>
          <w:tcPr>
            <w:tcW w:w="1910" w:type="dxa"/>
            <w:vAlign w:val="bottom"/>
          </w:tcPr>
          <w:p w14:paraId="27E37BD7"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5,5 %</w:t>
            </w:r>
          </w:p>
        </w:tc>
      </w:tr>
      <w:tr w:rsidR="00A57D54" w14:paraId="219C7652"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30B03A"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San Blas</w:t>
            </w:r>
          </w:p>
        </w:tc>
        <w:tc>
          <w:tcPr>
            <w:tcW w:w="2552" w:type="dxa"/>
            <w:vAlign w:val="bottom"/>
          </w:tcPr>
          <w:p w14:paraId="33E57F68"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12,54 €</w:t>
            </w:r>
          </w:p>
        </w:tc>
        <w:tc>
          <w:tcPr>
            <w:tcW w:w="2126" w:type="dxa"/>
            <w:vAlign w:val="bottom"/>
          </w:tcPr>
          <w:p w14:paraId="0655869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0,9 %</w:t>
            </w:r>
          </w:p>
        </w:tc>
        <w:tc>
          <w:tcPr>
            <w:tcW w:w="1910" w:type="dxa"/>
            <w:vAlign w:val="bottom"/>
          </w:tcPr>
          <w:p w14:paraId="1A17E442"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5,5 %</w:t>
            </w:r>
          </w:p>
        </w:tc>
      </w:tr>
      <w:tr w:rsidR="00A57D54" w14:paraId="58D884D4"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A73E010"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1A67891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12,35 €</w:t>
            </w:r>
          </w:p>
        </w:tc>
        <w:tc>
          <w:tcPr>
            <w:tcW w:w="2126" w:type="dxa"/>
            <w:vAlign w:val="bottom"/>
          </w:tcPr>
          <w:p w14:paraId="1103624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1,4 %</w:t>
            </w:r>
          </w:p>
        </w:tc>
        <w:tc>
          <w:tcPr>
            <w:tcW w:w="1910" w:type="dxa"/>
            <w:vAlign w:val="bottom"/>
          </w:tcPr>
          <w:p w14:paraId="49DDB0E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4,6 %</w:t>
            </w:r>
          </w:p>
        </w:tc>
      </w:tr>
      <w:tr w:rsidR="00A57D54" w14:paraId="0CBFE34F" w14:textId="77777777" w:rsidTr="00A57D54">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56C9CF9"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32CEBBC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13,60 €</w:t>
            </w:r>
          </w:p>
        </w:tc>
        <w:tc>
          <w:tcPr>
            <w:tcW w:w="2126" w:type="dxa"/>
            <w:vAlign w:val="bottom"/>
          </w:tcPr>
          <w:p w14:paraId="4006611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0,4 %</w:t>
            </w:r>
          </w:p>
        </w:tc>
        <w:tc>
          <w:tcPr>
            <w:tcW w:w="1910" w:type="dxa"/>
            <w:vAlign w:val="bottom"/>
          </w:tcPr>
          <w:p w14:paraId="4FC67D40"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4,3 %</w:t>
            </w:r>
          </w:p>
        </w:tc>
      </w:tr>
      <w:tr w:rsidR="00A57D54" w14:paraId="6AE5E5CA" w14:textId="77777777" w:rsidTr="00A5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880061F"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2277A47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11,84 €</w:t>
            </w:r>
          </w:p>
        </w:tc>
        <w:tc>
          <w:tcPr>
            <w:tcW w:w="2126" w:type="dxa"/>
            <w:vAlign w:val="bottom"/>
          </w:tcPr>
          <w:p w14:paraId="62EDFEFD"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-1,4 %</w:t>
            </w:r>
          </w:p>
        </w:tc>
        <w:tc>
          <w:tcPr>
            <w:tcW w:w="1910" w:type="dxa"/>
            <w:vAlign w:val="bottom"/>
          </w:tcPr>
          <w:p w14:paraId="5F5C16D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1,5 %</w:t>
            </w:r>
          </w:p>
        </w:tc>
      </w:tr>
    </w:tbl>
    <w:p w14:paraId="65023FD5" w14:textId="77777777" w:rsidR="00A57D54" w:rsidRDefault="00A57D54">
      <w:pPr>
        <w:spacing w:line="276" w:lineRule="auto"/>
        <w:ind w:right="-574"/>
        <w:rPr>
          <w:rFonts w:ascii="Open Sans Light" w:eastAsia="Open Sans Light" w:hAnsi="Open Sans Light" w:cs="Open Sans Light"/>
          <w:b/>
          <w:color w:val="303AB2"/>
          <w:sz w:val="28"/>
          <w:szCs w:val="28"/>
        </w:rPr>
      </w:pPr>
    </w:p>
    <w:p w14:paraId="1B21B862" w14:textId="77777777" w:rsidR="00A57D54" w:rsidRDefault="00DD3074">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77AB5706" w14:textId="77777777" w:rsidR="00A57D54" w:rsidRDefault="00A57D54">
      <w:pPr>
        <w:spacing w:line="276" w:lineRule="auto"/>
        <w:ind w:right="-574"/>
        <w:jc w:val="both"/>
        <w:rPr>
          <w:rFonts w:ascii="Open Sans" w:eastAsia="Open Sans" w:hAnsi="Open Sans" w:cs="Open Sans"/>
          <w:color w:val="000000"/>
        </w:rPr>
      </w:pPr>
    </w:p>
    <w:p w14:paraId="03366FB4"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Ocho de los nueve distritos incrementan el precio de la vivienda interanual en dos dígitos en abril. El distrito con mayor incremento es San Martí con un 27,2%, seguida de Ciutat Vella con un 23,4%, Gràcia con un 22,8% y Eixample con un 22,4%. </w:t>
      </w:r>
    </w:p>
    <w:p w14:paraId="5A67FCDE" w14:textId="77777777" w:rsidR="00A57D54" w:rsidRDefault="00A57D54">
      <w:pPr>
        <w:spacing w:line="276" w:lineRule="auto"/>
        <w:ind w:right="-574"/>
        <w:jc w:val="both"/>
        <w:rPr>
          <w:rFonts w:ascii="Open Sans" w:eastAsia="Open Sans" w:hAnsi="Open Sans" w:cs="Open Sans"/>
          <w:color w:val="000000"/>
        </w:rPr>
      </w:pPr>
    </w:p>
    <w:p w14:paraId="625CBE7E" w14:textId="77777777" w:rsidR="00A57D54" w:rsidRDefault="00DD3074">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w:t>
      </w:r>
      <w:r>
        <w:rPr>
          <w:rFonts w:ascii="Open Sans" w:eastAsia="Open Sans" w:hAnsi="Open Sans" w:cs="Open Sans"/>
          <w:color w:val="000000"/>
        </w:rPr>
        <w:t>al precio por metro cuadrado, el distrito Ciutat Vella está a punto de superar los 20 euros el metro cuadrado al mes, en concreto se sitúa en 19,76 €/m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Sant Martí con 19,06 €/m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18,77 €/m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18,04 €</w:t>
      </w:r>
      <w:r>
        <w:rPr>
          <w:rFonts w:ascii="Open Sans" w:eastAsia="Open Sans" w:hAnsi="Open Sans" w:cs="Open Sans"/>
          <w:color w:val="000000"/>
        </w:rPr>
        <w:t>/m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17,99 €/m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Sants - Montjuïc con 17,42 €/m</w:t>
      </w:r>
      <w:r>
        <w:rPr>
          <w:rFonts w:ascii="Open Sans" w:eastAsia="Open Sans" w:hAnsi="Open Sans" w:cs="Open Sans"/>
          <w:color w:val="000000"/>
          <w:vertAlign w:val="superscript"/>
        </w:rPr>
        <w:t xml:space="preserve">2 </w:t>
      </w:r>
      <w:r>
        <w:rPr>
          <w:rFonts w:ascii="Open Sans" w:eastAsia="Open Sans" w:hAnsi="Open Sans" w:cs="Open Sans"/>
          <w:color w:val="000000"/>
        </w:rPr>
        <w:t>al mes, Les Corts con 16,89 €/m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Andreu con 15,01 €/m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Horta – Guinardó con 14,11 €/m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B04E38F" w14:textId="77777777" w:rsidR="00A57D54" w:rsidRDefault="00A57D54">
      <w:pPr>
        <w:spacing w:line="276" w:lineRule="auto"/>
        <w:ind w:right="-574"/>
        <w:jc w:val="both"/>
        <w:rPr>
          <w:rFonts w:ascii="Open Sans" w:eastAsia="Open Sans" w:hAnsi="Open Sans" w:cs="Open Sans"/>
          <w:color w:val="000000"/>
        </w:rPr>
      </w:pPr>
    </w:p>
    <w:p w14:paraId="259A9B20" w14:textId="77777777" w:rsidR="00A57D54" w:rsidRDefault="00DD3074">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 xml:space="preserve">Distritos de Barcelona con variación interanual, </w:t>
      </w:r>
      <w:r>
        <w:rPr>
          <w:rFonts w:ascii="Open Sans Light" w:eastAsia="Open Sans Light" w:hAnsi="Open Sans Light" w:cs="Open Sans Light"/>
          <w:b/>
          <w:color w:val="303AB2"/>
          <w:sz w:val="28"/>
          <w:szCs w:val="28"/>
        </w:rPr>
        <w:t>mensual y precio</w:t>
      </w:r>
    </w:p>
    <w:tbl>
      <w:tblPr>
        <w:tblStyle w:val="af3"/>
        <w:tblW w:w="92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422"/>
        <w:gridCol w:w="2046"/>
        <w:gridCol w:w="2116"/>
      </w:tblGrid>
      <w:tr w:rsidR="00A57D54" w14:paraId="4F50809A" w14:textId="77777777" w:rsidTr="00A57D54">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73DDA9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Municipio</w:t>
            </w:r>
          </w:p>
        </w:tc>
        <w:tc>
          <w:tcPr>
            <w:tcW w:w="2422" w:type="dxa"/>
            <w:vAlign w:val="center"/>
          </w:tcPr>
          <w:p w14:paraId="5AF89785"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46" w:type="dxa"/>
            <w:vAlign w:val="center"/>
          </w:tcPr>
          <w:p w14:paraId="0DD9A508"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19CE3F8"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16" w:type="dxa"/>
            <w:vAlign w:val="center"/>
          </w:tcPr>
          <w:p w14:paraId="2AE2868C" w14:textId="77777777" w:rsidR="00A57D54" w:rsidRDefault="00DD3074">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A57D54" w14:paraId="485B1757" w14:textId="77777777" w:rsidTr="00A57D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E62625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422" w:type="dxa"/>
            <w:vAlign w:val="bottom"/>
          </w:tcPr>
          <w:p w14:paraId="7F62BD7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14,03 €</w:t>
            </w:r>
          </w:p>
        </w:tc>
        <w:tc>
          <w:tcPr>
            <w:tcW w:w="2046" w:type="dxa"/>
            <w:vAlign w:val="bottom"/>
          </w:tcPr>
          <w:p w14:paraId="0A0BDB6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0,5 %</w:t>
            </w:r>
          </w:p>
        </w:tc>
        <w:tc>
          <w:tcPr>
            <w:tcW w:w="2116" w:type="dxa"/>
            <w:vAlign w:val="bottom"/>
          </w:tcPr>
          <w:p w14:paraId="03ED798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23,4 %</w:t>
            </w:r>
          </w:p>
        </w:tc>
      </w:tr>
      <w:tr w:rsidR="00A57D54" w14:paraId="16632A17" w14:textId="77777777" w:rsidTr="00A57D54">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99B3766"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22" w:type="dxa"/>
            <w:vAlign w:val="bottom"/>
          </w:tcPr>
          <w:p w14:paraId="02A9393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19,40 €</w:t>
            </w:r>
          </w:p>
        </w:tc>
        <w:tc>
          <w:tcPr>
            <w:tcW w:w="2046" w:type="dxa"/>
            <w:vAlign w:val="bottom"/>
          </w:tcPr>
          <w:p w14:paraId="3105DCA9"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10,6 %</w:t>
            </w:r>
          </w:p>
        </w:tc>
        <w:tc>
          <w:tcPr>
            <w:tcW w:w="2116" w:type="dxa"/>
            <w:vAlign w:val="bottom"/>
          </w:tcPr>
          <w:p w14:paraId="48EF10C5"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27,2 %</w:t>
            </w:r>
          </w:p>
        </w:tc>
      </w:tr>
      <w:tr w:rsidR="00A57D54" w14:paraId="56E25D94" w14:textId="77777777" w:rsidTr="00A57D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55263A2"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Eixample</w:t>
            </w:r>
          </w:p>
        </w:tc>
        <w:tc>
          <w:tcPr>
            <w:tcW w:w="2422" w:type="dxa"/>
            <w:vAlign w:val="bottom"/>
          </w:tcPr>
          <w:p w14:paraId="74C52F4A"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13,90 €</w:t>
            </w:r>
          </w:p>
        </w:tc>
        <w:tc>
          <w:tcPr>
            <w:tcW w:w="2046" w:type="dxa"/>
            <w:vAlign w:val="bottom"/>
          </w:tcPr>
          <w:p w14:paraId="4BB42A6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1,9 %</w:t>
            </w:r>
          </w:p>
        </w:tc>
        <w:tc>
          <w:tcPr>
            <w:tcW w:w="2116" w:type="dxa"/>
            <w:vAlign w:val="bottom"/>
          </w:tcPr>
          <w:p w14:paraId="59CADF3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22,4 %</w:t>
            </w:r>
          </w:p>
        </w:tc>
      </w:tr>
      <w:tr w:rsidR="00A57D54" w14:paraId="6107DF0E" w14:textId="77777777" w:rsidTr="00A57D54">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52CE8B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Gràcia</w:t>
            </w:r>
          </w:p>
        </w:tc>
        <w:tc>
          <w:tcPr>
            <w:tcW w:w="2422" w:type="dxa"/>
            <w:vAlign w:val="bottom"/>
          </w:tcPr>
          <w:p w14:paraId="66E93256"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17,36 €</w:t>
            </w:r>
          </w:p>
        </w:tc>
        <w:tc>
          <w:tcPr>
            <w:tcW w:w="2046" w:type="dxa"/>
            <w:vAlign w:val="bottom"/>
          </w:tcPr>
          <w:p w14:paraId="1B3CF65F"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3,6 %</w:t>
            </w:r>
          </w:p>
        </w:tc>
        <w:tc>
          <w:tcPr>
            <w:tcW w:w="2116" w:type="dxa"/>
            <w:vAlign w:val="bottom"/>
          </w:tcPr>
          <w:p w14:paraId="0CC447E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22,8 %</w:t>
            </w:r>
          </w:p>
        </w:tc>
      </w:tr>
      <w:tr w:rsidR="00A57D54" w14:paraId="193C6972" w14:textId="77777777" w:rsidTr="00A57D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6051061"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22" w:type="dxa"/>
            <w:vAlign w:val="bottom"/>
          </w:tcPr>
          <w:p w14:paraId="0B52091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16,42 €</w:t>
            </w:r>
          </w:p>
        </w:tc>
        <w:tc>
          <w:tcPr>
            <w:tcW w:w="2046" w:type="dxa"/>
            <w:vAlign w:val="bottom"/>
          </w:tcPr>
          <w:p w14:paraId="6534A05C"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2,6 %</w:t>
            </w:r>
          </w:p>
        </w:tc>
        <w:tc>
          <w:tcPr>
            <w:tcW w:w="2116" w:type="dxa"/>
            <w:vAlign w:val="bottom"/>
          </w:tcPr>
          <w:p w14:paraId="2EF8C8CF"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11,5 %</w:t>
            </w:r>
          </w:p>
        </w:tc>
      </w:tr>
      <w:tr w:rsidR="00A57D54" w14:paraId="4A931538" w14:textId="77777777" w:rsidTr="00A57D54">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DA5EF64"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22" w:type="dxa"/>
            <w:vAlign w:val="bottom"/>
          </w:tcPr>
          <w:p w14:paraId="21DD92E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16,28 €</w:t>
            </w:r>
          </w:p>
        </w:tc>
        <w:tc>
          <w:tcPr>
            <w:tcW w:w="2046" w:type="dxa"/>
            <w:vAlign w:val="bottom"/>
          </w:tcPr>
          <w:p w14:paraId="4C59EEB4"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1,0 %</w:t>
            </w:r>
          </w:p>
        </w:tc>
        <w:tc>
          <w:tcPr>
            <w:tcW w:w="2116" w:type="dxa"/>
            <w:vAlign w:val="bottom"/>
          </w:tcPr>
          <w:p w14:paraId="3127451C"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18,9 %</w:t>
            </w:r>
          </w:p>
        </w:tc>
      </w:tr>
      <w:tr w:rsidR="00A57D54" w14:paraId="025AD697" w14:textId="77777777" w:rsidTr="00A57D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7A1DB37"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Les Corts</w:t>
            </w:r>
          </w:p>
        </w:tc>
        <w:tc>
          <w:tcPr>
            <w:tcW w:w="2422" w:type="dxa"/>
            <w:vAlign w:val="bottom"/>
          </w:tcPr>
          <w:p w14:paraId="67638699"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17,13 €</w:t>
            </w:r>
          </w:p>
        </w:tc>
        <w:tc>
          <w:tcPr>
            <w:tcW w:w="2046" w:type="dxa"/>
            <w:vAlign w:val="bottom"/>
          </w:tcPr>
          <w:p w14:paraId="702F8F92"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3,5 %</w:t>
            </w:r>
          </w:p>
        </w:tc>
        <w:tc>
          <w:tcPr>
            <w:tcW w:w="2116" w:type="dxa"/>
            <w:vAlign w:val="bottom"/>
          </w:tcPr>
          <w:p w14:paraId="6BA3B4C5"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12,5 %</w:t>
            </w:r>
          </w:p>
        </w:tc>
      </w:tr>
      <w:tr w:rsidR="00A57D54" w14:paraId="052E6208" w14:textId="77777777" w:rsidTr="00A57D54">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1E71D6B"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22" w:type="dxa"/>
            <w:vAlign w:val="bottom"/>
          </w:tcPr>
          <w:p w14:paraId="4A60856A"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17,46 €</w:t>
            </w:r>
          </w:p>
        </w:tc>
        <w:tc>
          <w:tcPr>
            <w:tcW w:w="2046" w:type="dxa"/>
            <w:vAlign w:val="bottom"/>
          </w:tcPr>
          <w:p w14:paraId="73EB018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2116" w:type="dxa"/>
            <w:vAlign w:val="bottom"/>
          </w:tcPr>
          <w:p w14:paraId="19A5B571" w14:textId="77777777" w:rsidR="00A57D54" w:rsidRDefault="00DD307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17,4 %</w:t>
            </w:r>
          </w:p>
        </w:tc>
      </w:tr>
      <w:tr w:rsidR="00A57D54" w14:paraId="7F2A02DA" w14:textId="77777777" w:rsidTr="00A57D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F73864D" w14:textId="77777777" w:rsidR="00A57D54" w:rsidRDefault="00DD3074">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22" w:type="dxa"/>
            <w:vAlign w:val="bottom"/>
          </w:tcPr>
          <w:p w14:paraId="6DF4170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17,47 €</w:t>
            </w:r>
          </w:p>
        </w:tc>
        <w:tc>
          <w:tcPr>
            <w:tcW w:w="2046" w:type="dxa"/>
            <w:vAlign w:val="bottom"/>
          </w:tcPr>
          <w:p w14:paraId="4825612E"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-2,3 %</w:t>
            </w:r>
          </w:p>
        </w:tc>
        <w:tc>
          <w:tcPr>
            <w:tcW w:w="2116" w:type="dxa"/>
            <w:vAlign w:val="bottom"/>
          </w:tcPr>
          <w:p w14:paraId="5D0E0D88" w14:textId="77777777" w:rsidR="00A57D54" w:rsidRDefault="00DD307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2,8 %</w:t>
            </w:r>
          </w:p>
        </w:tc>
      </w:tr>
    </w:tbl>
    <w:p w14:paraId="5D0485FA" w14:textId="77777777" w:rsidR="00A57D54" w:rsidRDefault="00DD3074">
      <w:pPr>
        <w:pBdr>
          <w:top w:val="nil"/>
          <w:left w:val="nil"/>
          <w:bottom w:val="nil"/>
          <w:right w:val="nil"/>
          <w:between w:val="nil"/>
        </w:pBdr>
        <w:ind w:right="-716"/>
        <w:jc w:val="right"/>
        <w:rPr>
          <w:rFonts w:ascii="Times New Roman" w:eastAsia="Times New Roman" w:hAnsi="Times New Roman" w:cs="Times New Roman"/>
          <w:color w:val="000000"/>
        </w:rPr>
      </w:pPr>
      <w:bookmarkStart w:id="2" w:name="_heading=h.1fob9te" w:colFirst="0" w:colLast="0"/>
      <w:bookmarkEnd w:id="2"/>
      <w:r>
        <w:rPr>
          <w:rFonts w:ascii="Open Sans" w:eastAsia="Open Sans" w:hAnsi="Open Sans" w:cs="Open Sans"/>
          <w:color w:val="303AB2"/>
        </w:rPr>
        <w:lastRenderedPageBreak/>
        <w:t>Sobre Fotocasa</w:t>
      </w:r>
    </w:p>
    <w:p w14:paraId="11949E4A" w14:textId="77777777" w:rsidR="00A57D54" w:rsidRDefault="00A57D54">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p>
    <w:p w14:paraId="0D8947E4" w14:textId="77777777" w:rsidR="00A57D54" w:rsidRDefault="00DD3074">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697A27C" w14:textId="77777777" w:rsidR="00A57D54" w:rsidRDefault="00A57D5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624152C6" w14:textId="77777777" w:rsidR="00A57D54" w:rsidRDefault="00DD3074">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hyperlink r:id="rId18">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w:t>
      </w:r>
      <w:r>
        <w:rPr>
          <w:rFonts w:ascii="Open Sans" w:eastAsia="Open Sans" w:hAnsi="Open Sans" w:cs="Open Sans"/>
          <w:color w:val="000000"/>
          <w:sz w:val="22"/>
          <w:szCs w:val="22"/>
        </w:rPr>
        <w:t>enece 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w:t>
      </w:r>
      <w:r>
        <w:rPr>
          <w:rFonts w:ascii="Open Sans" w:eastAsia="Open Sans" w:hAnsi="Open Sans" w:cs="Open Sans"/>
          <w:color w:val="000000"/>
          <w:sz w:val="22"/>
          <w:szCs w:val="22"/>
        </w:rPr>
        <w:t xml:space="preserve"> de sus plataformas locales recibe un promedio de 1.500 millones de visitas cada mes.</w:t>
      </w:r>
    </w:p>
    <w:p w14:paraId="7F116D10" w14:textId="77777777" w:rsidR="00A57D54" w:rsidRDefault="00A57D5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5A91F7AC" w14:textId="77777777" w:rsidR="00A57D54" w:rsidRDefault="00DD3074">
      <w:pPr>
        <w:pBdr>
          <w:top w:val="nil"/>
          <w:left w:val="nil"/>
          <w:bottom w:val="nil"/>
          <w:right w:val="nil"/>
          <w:between w:val="nil"/>
        </w:pBdr>
        <w:shd w:val="clear" w:color="auto" w:fill="FFFFFF"/>
        <w:ind w:right="-716"/>
        <w:jc w:val="both"/>
        <w:rPr>
          <w:rFonts w:ascii="Open Sans" w:eastAsia="Open Sans" w:hAnsi="Open Sans" w:cs="Open Sans"/>
          <w:color w:val="000000"/>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2CD75AE0" w14:textId="77777777" w:rsidR="00A57D54" w:rsidRDefault="00A57D5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p>
    <w:p w14:paraId="5CC61199" w14:textId="77777777" w:rsidR="00A57D54" w:rsidRDefault="00DD307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Open Sans" w:eastAsia="Open Sans" w:hAnsi="Open Sans" w:cs="Open Sans"/>
          <w:color w:val="000000"/>
          <w:sz w:val="22"/>
          <w:szCs w:val="22"/>
        </w:rPr>
        <w:t>En España,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w:t>
      </w:r>
      <w:r>
        <w:rPr>
          <w:rFonts w:ascii="Open Sans" w:eastAsia="Open Sans" w:hAnsi="Open Sans" w:cs="Open Sans"/>
          <w:color w:val="000000"/>
          <w:sz w:val="22"/>
          <w:szCs w:val="22"/>
        </w:rPr>
        <w:t>ibsted Spain, es una de las principales empresas del sector tecnológico del país y un referente de transformación digital. En sus 40 años de trayectoria en el mercado español de clasificados, los negocios de Adevinta han evolucionado del papel al online ha</w:t>
      </w:r>
      <w:r>
        <w:rPr>
          <w:rFonts w:ascii="Open Sans" w:eastAsia="Open Sans" w:hAnsi="Open Sans" w:cs="Open Sans"/>
          <w:color w:val="000000"/>
          <w:sz w:val="22"/>
          <w:szCs w:val="22"/>
        </w:rPr>
        <w:t>sta convertirse en el referente de Internet en sectores relevantes como inmobiliaria (</w:t>
      </w:r>
      <w:hyperlink r:id="rId2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4">
        <w:r>
          <w:rPr>
            <w:rFonts w:ascii="Open Sans" w:eastAsia="Open Sans" w:hAnsi="Open Sans" w:cs="Open Sans"/>
            <w:color w:val="0000FF"/>
            <w:sz w:val="22"/>
            <w:szCs w:val="22"/>
            <w:u w:val="single"/>
          </w:rPr>
          <w:t>Inf</w:t>
        </w:r>
        <w:r>
          <w:rPr>
            <w:rFonts w:ascii="Open Sans" w:eastAsia="Open Sans" w:hAnsi="Open Sans" w:cs="Open Sans"/>
            <w:color w:val="0000FF"/>
            <w:sz w:val="22"/>
            <w:szCs w:val="22"/>
            <w:u w:val="single"/>
          </w:rPr>
          <w:t>ojobs.net</w:t>
        </w:r>
      </w:hyperlink>
      <w:r>
        <w:rPr>
          <w:rFonts w:ascii="Open Sans" w:eastAsia="Open Sans" w:hAnsi="Open Sans" w:cs="Open Sans"/>
          <w:color w:val="000000"/>
          <w:sz w:val="22"/>
          <w:szCs w:val="22"/>
        </w:rPr>
        <w:t>), motor (</w:t>
      </w:r>
      <w:hyperlink r:id="rId25">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6">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7">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359E0CB3" w14:textId="77777777" w:rsidR="00A57D54" w:rsidRDefault="00DD307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B59FB02" w14:textId="77777777" w:rsidR="00A57D54" w:rsidRDefault="00DD3074">
      <w:pPr>
        <w:pBdr>
          <w:top w:val="nil"/>
          <w:left w:val="nil"/>
          <w:bottom w:val="nil"/>
          <w:right w:val="nil"/>
          <w:between w:val="nil"/>
        </w:pBdr>
        <w:shd w:val="clear" w:color="auto" w:fill="FFFFFF"/>
        <w:ind w:right="-716"/>
        <w:jc w:val="both"/>
        <w:rPr>
          <w:rFonts w:ascii="Times New Roman" w:eastAsia="Times New Roman" w:hAnsi="Times New Roman" w:cs="Times New Roman"/>
          <w:color w:val="000000"/>
        </w:rPr>
      </w:pPr>
      <w:r>
        <w:rPr>
          <w:rFonts w:ascii="Open Sans" w:eastAsia="Open Sans" w:hAnsi="Open Sans" w:cs="Open Sans"/>
          <w:color w:val="000000"/>
          <w:sz w:val="21"/>
          <w:szCs w:val="21"/>
        </w:rPr>
        <w:t xml:space="preserve">Toda nuestra información la puedes encontrar en nuestra </w:t>
      </w:r>
      <w:hyperlink r:id="rId2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w:t>
      </w:r>
    </w:p>
    <w:p w14:paraId="15FF3640" w14:textId="77777777" w:rsidR="00A57D54" w:rsidRDefault="00A57D54">
      <w:pPr>
        <w:spacing w:after="240"/>
      </w:pPr>
    </w:p>
    <w:p w14:paraId="7AD0E367" w14:textId="77777777" w:rsidR="00A57D54" w:rsidRDefault="00DD3074">
      <w:pPr>
        <w:pBdr>
          <w:top w:val="nil"/>
          <w:left w:val="nil"/>
          <w:bottom w:val="nil"/>
          <w:right w:val="nil"/>
          <w:between w:val="nil"/>
        </w:pBdr>
        <w:ind w:right="-716"/>
        <w:rPr>
          <w:rFonts w:ascii="Times New Roman" w:eastAsia="Times New Roman" w:hAnsi="Times New Roman" w:cs="Times New Roman"/>
          <w:color w:val="000000"/>
        </w:rPr>
      </w:pPr>
      <w:r>
        <w:rPr>
          <w:rFonts w:ascii="Open Sans" w:eastAsia="Open Sans" w:hAnsi="Open Sans" w:cs="Open Sans"/>
          <w:color w:val="303AB2"/>
        </w:rPr>
        <w:t xml:space="preserve">Llorente y Cuenca    </w:t>
      </w:r>
      <w:r>
        <w:rPr>
          <w:rFonts w:ascii="Open Sans" w:eastAsia="Open Sans" w:hAnsi="Open Sans" w:cs="Open Sans"/>
          <w:color w:val="303AB2"/>
        </w:rPr>
        <w:tab/>
      </w:r>
      <w:r>
        <w:rPr>
          <w:rFonts w:ascii="Open Sans" w:eastAsia="Open Sans" w:hAnsi="Open Sans" w:cs="Open Sans"/>
          <w:color w:val="303AB2"/>
          <w:sz w:val="22"/>
          <w:szCs w:val="22"/>
        </w:rPr>
        <w:tab/>
      </w:r>
      <w:r>
        <w:rPr>
          <w:rFonts w:ascii="Open Sans" w:eastAsia="Open Sans" w:hAnsi="Open Sans" w:cs="Open Sans"/>
          <w:color w:val="303AB2"/>
          <w:sz w:val="22"/>
          <w:szCs w:val="22"/>
        </w:rPr>
        <w:tab/>
        <w:t xml:space="preserve">        </w:t>
      </w:r>
      <w:r>
        <w:rPr>
          <w:rFonts w:ascii="Open Sans" w:eastAsia="Open Sans" w:hAnsi="Open Sans" w:cs="Open Sans"/>
          <w:color w:val="303AB2"/>
        </w:rPr>
        <w:t>Departamento Comunicación Fotocasa</w:t>
      </w:r>
    </w:p>
    <w:p w14:paraId="3AB0E26D"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Open Sans" w:eastAsia="Open Sans" w:hAnsi="Open Sans" w:cs="Open Sans"/>
          <w:b/>
          <w:color w:val="000000"/>
          <w:sz w:val="19"/>
          <w:szCs w:val="19"/>
          <w:lang w:val="en-US"/>
        </w:rPr>
        <w:t>Ramon Torné</w:t>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t xml:space="preserve">            </w:t>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ab/>
      </w:r>
      <w:r w:rsidRPr="00001134">
        <w:rPr>
          <w:rFonts w:ascii="Open Sans" w:eastAsia="Open Sans" w:hAnsi="Open Sans" w:cs="Open Sans"/>
          <w:b/>
          <w:color w:val="000000"/>
          <w:sz w:val="19"/>
          <w:szCs w:val="19"/>
          <w:lang w:val="en-US"/>
        </w:rPr>
        <w:t>                              Anaïs López </w:t>
      </w:r>
    </w:p>
    <w:p w14:paraId="2EEB3AC1"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hyperlink r:id="rId29">
        <w:r w:rsidRPr="00001134">
          <w:rPr>
            <w:rFonts w:ascii="Open Sans" w:eastAsia="Open Sans" w:hAnsi="Open Sans" w:cs="Open Sans"/>
            <w:color w:val="0000FF"/>
            <w:sz w:val="19"/>
            <w:szCs w:val="19"/>
            <w:u w:val="single"/>
            <w:lang w:val="en-US"/>
          </w:rPr>
          <w:t>rtorne@llorenteycuenca.com</w:t>
        </w:r>
      </w:hyperlink>
      <w:hyperlink r:id="rId30">
        <w:r w:rsidRPr="00001134">
          <w:rPr>
            <w:rFonts w:ascii="Open Sans" w:eastAsia="Open Sans" w:hAnsi="Open Sans" w:cs="Open Sans"/>
            <w:color w:val="0000FF"/>
            <w:sz w:val="19"/>
            <w:szCs w:val="19"/>
            <w:lang w:val="en-US"/>
          </w:rPr>
          <w:tab/>
        </w:r>
        <w:r w:rsidRPr="00001134">
          <w:rPr>
            <w:rFonts w:ascii="Open Sans" w:eastAsia="Open Sans" w:hAnsi="Open Sans" w:cs="Open Sans"/>
            <w:color w:val="0000FF"/>
            <w:sz w:val="19"/>
            <w:szCs w:val="19"/>
            <w:lang w:val="en-US"/>
          </w:rPr>
          <w:tab/>
        </w:r>
      </w:hyperlink>
      <w:r w:rsidRPr="00001134">
        <w:rPr>
          <w:rFonts w:ascii="Open Sans" w:eastAsia="Open Sans" w:hAnsi="Open Sans" w:cs="Open Sans"/>
          <w:color w:val="0000FF"/>
          <w:sz w:val="19"/>
          <w:szCs w:val="19"/>
          <w:lang w:val="en-US"/>
        </w:rPr>
        <w:t xml:space="preserve">                                                                </w:t>
      </w:r>
      <w:hyperlink r:id="rId31">
        <w:r w:rsidRPr="00001134">
          <w:rPr>
            <w:rFonts w:ascii="Open Sans" w:eastAsia="Open Sans" w:hAnsi="Open Sans" w:cs="Open Sans"/>
            <w:color w:val="0000FF"/>
            <w:sz w:val="19"/>
            <w:szCs w:val="19"/>
            <w:u w:val="single"/>
            <w:lang w:val="en-US"/>
          </w:rPr>
          <w:t>comunicacion@fotocasa.es</w:t>
        </w:r>
      </w:hyperlink>
    </w:p>
    <w:p w14:paraId="1139B8B6"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Open Sans" w:eastAsia="Open Sans" w:hAnsi="Open Sans" w:cs="Open Sans"/>
          <w:color w:val="000000"/>
          <w:sz w:val="19"/>
          <w:szCs w:val="19"/>
          <w:lang w:val="en-US"/>
        </w:rPr>
        <w:t xml:space="preserve">638 68 19 85      </w:t>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r>
      <w:r w:rsidRPr="00001134">
        <w:rPr>
          <w:rFonts w:ascii="Open Sans" w:eastAsia="Open Sans" w:hAnsi="Open Sans" w:cs="Open Sans"/>
          <w:color w:val="000000"/>
          <w:sz w:val="19"/>
          <w:szCs w:val="19"/>
          <w:lang w:val="en-US"/>
        </w:rPr>
        <w:tab/>
        <w:t>                               620 66 29 26</w:t>
      </w:r>
    </w:p>
    <w:p w14:paraId="6E6FD33D"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t xml:space="preserve">                </w:t>
      </w: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r>
      <w:r w:rsidRPr="00001134">
        <w:rPr>
          <w:rFonts w:ascii="Arial" w:eastAsia="Arial" w:hAnsi="Arial" w:cs="Arial"/>
          <w:color w:val="222222"/>
          <w:sz w:val="22"/>
          <w:szCs w:val="22"/>
          <w:lang w:val="en-US"/>
        </w:rPr>
        <w:tab/>
        <w:t>     </w:t>
      </w:r>
    </w:p>
    <w:p w14:paraId="5307C30B"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Open Sans" w:eastAsia="Open Sans" w:hAnsi="Open Sans" w:cs="Open Sans"/>
          <w:b/>
          <w:color w:val="000000"/>
          <w:sz w:val="19"/>
          <w:szCs w:val="19"/>
          <w:lang w:val="en-US"/>
        </w:rPr>
        <w:t>Fanny Merino</w:t>
      </w:r>
    </w:p>
    <w:p w14:paraId="6BD26ECF"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hyperlink r:id="rId32">
        <w:r w:rsidRPr="00001134">
          <w:rPr>
            <w:rFonts w:ascii="Open Sans" w:eastAsia="Open Sans" w:hAnsi="Open Sans" w:cs="Open Sans"/>
            <w:color w:val="0000FF"/>
            <w:sz w:val="19"/>
            <w:szCs w:val="19"/>
            <w:u w:val="single"/>
            <w:lang w:val="en-US"/>
          </w:rPr>
          <w:t>emerino@llorenteycuenca.com</w:t>
        </w:r>
      </w:hyperlink>
    </w:p>
    <w:p w14:paraId="02F1F809"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Open Sans" w:eastAsia="Open Sans" w:hAnsi="Open Sans" w:cs="Open Sans"/>
          <w:color w:val="000000"/>
          <w:sz w:val="19"/>
          <w:szCs w:val="19"/>
          <w:lang w:val="en-US"/>
        </w:rPr>
        <w:t>663 35 69 75 </w:t>
      </w:r>
    </w:p>
    <w:p w14:paraId="17C51610" w14:textId="77777777" w:rsidR="00A57D54" w:rsidRPr="00001134" w:rsidRDefault="00DD3074">
      <w:pPr>
        <w:pBdr>
          <w:top w:val="nil"/>
          <w:left w:val="nil"/>
          <w:bottom w:val="nil"/>
          <w:right w:val="nil"/>
          <w:between w:val="nil"/>
        </w:pBdr>
        <w:shd w:val="clear" w:color="auto" w:fill="FFFFFF"/>
        <w:ind w:right="-716"/>
        <w:rPr>
          <w:rFonts w:ascii="Times New Roman" w:eastAsia="Times New Roman" w:hAnsi="Times New Roman" w:cs="Times New Roman"/>
          <w:color w:val="000000"/>
          <w:lang w:val="en-US"/>
        </w:rPr>
      </w:pPr>
      <w:r w:rsidRPr="00001134">
        <w:rPr>
          <w:rFonts w:ascii="Times New Roman" w:eastAsia="Times New Roman" w:hAnsi="Times New Roman" w:cs="Times New Roman"/>
          <w:color w:val="000000"/>
          <w:lang w:val="en-US"/>
        </w:rPr>
        <w:t> </w:t>
      </w:r>
    </w:p>
    <w:p w14:paraId="7EEC1E68" w14:textId="77777777" w:rsidR="00A57D54" w:rsidRPr="00001134" w:rsidRDefault="00A57D54">
      <w:pPr>
        <w:spacing w:line="276" w:lineRule="auto"/>
        <w:ind w:right="-574"/>
        <w:jc w:val="right"/>
        <w:rPr>
          <w:lang w:val="en-US"/>
        </w:rPr>
      </w:pPr>
    </w:p>
    <w:p w14:paraId="43576E46" w14:textId="77777777" w:rsidR="00A57D54" w:rsidRPr="00001134" w:rsidRDefault="00A57D54">
      <w:pPr>
        <w:spacing w:line="276" w:lineRule="auto"/>
        <w:ind w:right="-574"/>
        <w:jc w:val="right"/>
        <w:rPr>
          <w:rFonts w:ascii="Open Sans" w:eastAsia="Open Sans" w:hAnsi="Open Sans" w:cs="Open Sans"/>
          <w:color w:val="000000"/>
          <w:sz w:val="21"/>
          <w:szCs w:val="21"/>
          <w:lang w:val="en-US"/>
        </w:rPr>
      </w:pPr>
    </w:p>
    <w:p w14:paraId="0C2E3BE4" w14:textId="77777777" w:rsidR="00A57D54" w:rsidRPr="00001134" w:rsidRDefault="00A57D54">
      <w:pPr>
        <w:spacing w:line="276" w:lineRule="auto"/>
        <w:ind w:right="-574"/>
        <w:jc w:val="right"/>
        <w:rPr>
          <w:rFonts w:ascii="Open Sans" w:eastAsia="Open Sans" w:hAnsi="Open Sans" w:cs="Open Sans"/>
          <w:color w:val="000000"/>
          <w:sz w:val="21"/>
          <w:szCs w:val="21"/>
          <w:lang w:val="en-US"/>
        </w:rPr>
      </w:pPr>
    </w:p>
    <w:sectPr w:rsidR="00A57D54" w:rsidRPr="00001134">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F735" w14:textId="77777777" w:rsidR="00DD3074" w:rsidRDefault="00DD3074">
      <w:r>
        <w:separator/>
      </w:r>
    </w:p>
  </w:endnote>
  <w:endnote w:type="continuationSeparator" w:id="0">
    <w:p w14:paraId="0BF87BD4" w14:textId="77777777" w:rsidR="00DD3074" w:rsidRDefault="00DD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440" w14:textId="77777777" w:rsidR="00A57D54" w:rsidRDefault="00DD307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070DF0C" wp14:editId="1529A6CE">
          <wp:simplePos x="0" y="0"/>
          <wp:positionH relativeFrom="column">
            <wp:posOffset>-1068067</wp:posOffset>
          </wp:positionH>
          <wp:positionV relativeFrom="paragraph">
            <wp:posOffset>174608</wp:posOffset>
          </wp:positionV>
          <wp:extent cx="7670550" cy="45131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4F46" w14:textId="77777777" w:rsidR="00DD3074" w:rsidRDefault="00DD3074">
      <w:r>
        <w:separator/>
      </w:r>
    </w:p>
  </w:footnote>
  <w:footnote w:type="continuationSeparator" w:id="0">
    <w:p w14:paraId="295EDC37" w14:textId="77777777" w:rsidR="00DD3074" w:rsidRDefault="00DD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13FBF"/>
    <w:multiLevelType w:val="multilevel"/>
    <w:tmpl w:val="9342F36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990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54"/>
    <w:rsid w:val="00001134"/>
    <w:rsid w:val="004C2AFA"/>
    <w:rsid w:val="00564AE2"/>
    <w:rsid w:val="00626BFF"/>
    <w:rsid w:val="00A57D54"/>
    <w:rsid w:val="00DD3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97D"/>
  <w15:docId w15:val="{CD330340-7D8D-42F2-985A-59EE8EB1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A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b">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c">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d">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e">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1">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2">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3">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adevint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4zaPj1CP6Y" TargetMode="External"/><Relationship Id="rId17" Type="http://schemas.openxmlformats.org/officeDocument/2006/relationships/hyperlink" Target="https://www.fotocasa.es/indice/"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tocasa.es" TargetMode="External"/><Relationship Id="rId20" Type="http://schemas.openxmlformats.org/officeDocument/2006/relationships/hyperlink" Target="https://www.fotocasa.es/es/quienes-somo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infojobs.net/" TargetMode="External"/><Relationship Id="rId32"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habitaclia.com/" TargetMode="External"/><Relationship Id="rId28" Type="http://schemas.openxmlformats.org/officeDocument/2006/relationships/hyperlink" Target="http://prensa.fotocasa.es" TargetMode="External"/><Relationship Id="rId10" Type="http://schemas.openxmlformats.org/officeDocument/2006/relationships/hyperlink" Target="https://www.fotocasa.es" TargetMode="External"/><Relationship Id="rId19" Type="http://schemas.openxmlformats.org/officeDocument/2006/relationships/hyperlink" Target="https://www.adevinta.com/"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youtu.be/p4zaPj1CP6Y" TargetMode="External"/><Relationship Id="rId14" Type="http://schemas.openxmlformats.org/officeDocument/2006/relationships/image" Target="media/image2.jpg"/><Relationship Id="rId22" Type="http://schemas.openxmlformats.org/officeDocument/2006/relationships/hyperlink" Target="http://www.fotocasa.es/" TargetMode="External"/><Relationship Id="rId27" Type="http://schemas.openxmlformats.org/officeDocument/2006/relationships/hyperlink" Target="https://www.milanuncios.es/"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2\04-ABRIL\PRENSA%20ALQUILER%20ABRIL%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87-4AEE-B68D-8E36F8FC7595}"/>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2021</c:v>
                  </c:pt>
                  <c:pt idx="9">
                    <c:v>2022</c:v>
                  </c:pt>
                </c:lvl>
              </c:multiLvlStrCache>
            </c:multiLvlStrRef>
          </c:cat>
          <c:val>
            <c:numRef>
              <c:f>Hoja6!$C$21:$C$33</c:f>
              <c:numCache>
                <c:formatCode>0.0%</c:formatCode>
                <c:ptCount val="13"/>
                <c:pt idx="0">
                  <c:v>-4.7846889952152093E-3</c:v>
                </c:pt>
                <c:pt idx="1">
                  <c:v>1.923076923076882E-3</c:v>
                </c:pt>
                <c:pt idx="2">
                  <c:v>1.9193857965450647E-3</c:v>
                </c:pt>
                <c:pt idx="3">
                  <c:v>0</c:v>
                </c:pt>
                <c:pt idx="4">
                  <c:v>-1.9157088122604958E-3</c:v>
                </c:pt>
                <c:pt idx="5">
                  <c:v>-2.6871401151631415E-2</c:v>
                </c:pt>
                <c:pt idx="6">
                  <c:v>-4.9309664694280773E-3</c:v>
                </c:pt>
                <c:pt idx="7">
                  <c:v>9.9108027750247421E-3</c:v>
                </c:pt>
                <c:pt idx="8">
                  <c:v>7.8508341511285655E-3</c:v>
                </c:pt>
                <c:pt idx="9">
                  <c:v>3.8948393378774025E-3</c:v>
                </c:pt>
                <c:pt idx="10">
                  <c:v>5.8195926285158793E-3</c:v>
                </c:pt>
                <c:pt idx="11">
                  <c:v>1.5429122468659609E-2</c:v>
                </c:pt>
                <c:pt idx="12">
                  <c:v>3.4188034188034302E-2</c:v>
                </c:pt>
              </c:numCache>
            </c:numRef>
          </c:val>
          <c:extLst>
            <c:ext xmlns:c16="http://schemas.microsoft.com/office/drawing/2014/chart" uri="{C3380CC4-5D6E-409C-BE32-E72D297353CC}">
              <c16:uniqueId val="{00000001-0387-4AEE-B68D-8E36F8FC7595}"/>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dLbl>
              <c:idx val="11"/>
              <c:layout>
                <c:manualLayout>
                  <c:x val="4.983181761554753E-3"/>
                  <c:y val="5.99340725202274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B8-46DC-9BE1-C628206B7EE2}"/>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2021</c:v>
                  </c:pt>
                  <c:pt idx="9">
                    <c:v>2022</c:v>
                  </c:pt>
                </c:lvl>
              </c:multiLvlStrCache>
            </c:multiLvlStrRef>
          </c:cat>
          <c:val>
            <c:numRef>
              <c:f>Hoja6!$D$21:$D$33</c:f>
              <c:numCache>
                <c:formatCode>0.0%</c:formatCode>
                <c:ptCount val="13"/>
                <c:pt idx="0">
                  <c:v>-5.6261343012704107E-2</c:v>
                </c:pt>
                <c:pt idx="1">
                  <c:v>-4.4912923923006436E-2</c:v>
                </c:pt>
                <c:pt idx="2">
                  <c:v>-3.5120147874306909E-2</c:v>
                </c:pt>
                <c:pt idx="3">
                  <c:v>-2.7027027027027112E-2</c:v>
                </c:pt>
                <c:pt idx="4">
                  <c:v>-2.9795158286778426E-2</c:v>
                </c:pt>
                <c:pt idx="5">
                  <c:v>-5.5865921787709466E-2</c:v>
                </c:pt>
                <c:pt idx="6">
                  <c:v>-6.1395348837209318E-2</c:v>
                </c:pt>
                <c:pt idx="7">
                  <c:v>-4.2293233082706862E-2</c:v>
                </c:pt>
                <c:pt idx="8">
                  <c:v>-3.5680751173708995E-2</c:v>
                </c:pt>
                <c:pt idx="9">
                  <c:v>-2.4597918637653718E-2</c:v>
                </c:pt>
                <c:pt idx="10">
                  <c:v>-1.0496183206106985E-2</c:v>
                </c:pt>
                <c:pt idx="11">
                  <c:v>7.6555023923445048E-3</c:v>
                </c:pt>
                <c:pt idx="12">
                  <c:v>4.7115384615384635E-2</c:v>
                </c:pt>
              </c:numCache>
            </c:numRef>
          </c:val>
          <c:extLst>
            <c:ext xmlns:c16="http://schemas.microsoft.com/office/drawing/2014/chart" uri="{C3380CC4-5D6E-409C-BE32-E72D297353CC}">
              <c16:uniqueId val="{00000002-0387-4AEE-B68D-8E36F8FC7595}"/>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0.04241</cdr:x>
      <cdr:y>0.34269</cdr:y>
    </cdr:from>
    <cdr:to>
      <cdr:x>0.95085</cdr:x>
      <cdr:y>0.34269</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15123" y="811130"/>
          <a:ext cx="4608284"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UUA2kQgQtsBIBnwvPol3p0tcQ==">AMUW2mWDVtR5vZYOFZIemKV3KphOPwqbOOflxf5BbvExjqSPL+9BUg1BTWYGJ79V5Q0WngYWrXRcQFEfGc0boXwdYwl51Hr7IPTWogOc9+F1VNelZO/I1hMKk7NRsGQ7PMefzRWrFtjV3w4LrdZSa6r5UpGthzZGIQ==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2454</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2</cp:revision>
  <dcterms:created xsi:type="dcterms:W3CDTF">2021-03-12T05:10:00Z</dcterms:created>
  <dcterms:modified xsi:type="dcterms:W3CDTF">2022-05-17T12:58:00Z</dcterms:modified>
</cp:coreProperties>
</file>