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DCBD" w14:textId="77777777" w:rsidR="00110091" w:rsidRDefault="000413C0">
      <w:pPr>
        <w:shd w:val="clear" w:color="auto" w:fill="FFFFFF"/>
        <w:ind w:right="-574"/>
        <w:jc w:val="center"/>
        <w:rPr>
          <w:rFonts w:ascii="National" w:eastAsia="National" w:hAnsi="National" w:cs="National"/>
          <w:b/>
          <w:color w:val="303AB2"/>
          <w:sz w:val="54"/>
          <w:szCs w:val="54"/>
        </w:rPr>
      </w:pPr>
      <w:r>
        <w:rPr>
          <w:rFonts w:ascii="National" w:eastAsia="National" w:hAnsi="National" w:cs="National"/>
          <w:b/>
          <w:color w:val="303AB2"/>
          <w:sz w:val="54"/>
          <w:szCs w:val="54"/>
        </w:rPr>
        <w:t>Siete de cada diez particulares creen que los precios subirán más</w:t>
      </w:r>
    </w:p>
    <w:p w14:paraId="671D07A3" w14:textId="77777777" w:rsidR="00110091" w:rsidRDefault="00110091">
      <w:pPr>
        <w:spacing w:line="276" w:lineRule="auto"/>
        <w:ind w:right="-574"/>
        <w:rPr>
          <w:rFonts w:ascii="Open Sans" w:eastAsia="Open Sans" w:hAnsi="Open Sans" w:cs="Open Sans"/>
          <w:sz w:val="22"/>
          <w:szCs w:val="22"/>
        </w:rPr>
      </w:pPr>
    </w:p>
    <w:p w14:paraId="5FBAF545" w14:textId="77777777" w:rsidR="00110091" w:rsidRDefault="000413C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El volumen de particulares que cree que la vivienda de compra va a continuar encareciéndose es ahora diez puntos más alto que antes de la pandemia</w:t>
      </w:r>
    </w:p>
    <w:p w14:paraId="226037FA" w14:textId="77777777" w:rsidR="00110091" w:rsidRDefault="000413C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jóvenes creen que el coste del alquiler es muy caro, aunque la percepción va decreciendo conforme avanza </w:t>
      </w:r>
      <w:r>
        <w:rPr>
          <w:rFonts w:ascii="Open Sans" w:eastAsia="Open Sans" w:hAnsi="Open Sans" w:cs="Open Sans"/>
          <w:sz w:val="22"/>
          <w:szCs w:val="22"/>
        </w:rPr>
        <w:t>la edad</w:t>
      </w:r>
    </w:p>
    <w:p w14:paraId="6050387A" w14:textId="77777777" w:rsidR="00110091" w:rsidRDefault="000413C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Las razones del encarecimiento de la vivienda en alquiler: aumento de la demanda, interés de los inversores y escasez de oferta</w:t>
      </w:r>
    </w:p>
    <w:p w14:paraId="0093852E" w14:textId="77777777" w:rsidR="00110091" w:rsidRDefault="000413C0">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Cataluña y Madrid presentan una mayor subida relacionada con la percepción de precios</w:t>
      </w:r>
    </w:p>
    <w:p w14:paraId="3668D58E" w14:textId="77777777" w:rsidR="00110091" w:rsidRDefault="00110091">
      <w:pPr>
        <w:pBdr>
          <w:top w:val="nil"/>
          <w:left w:val="nil"/>
          <w:bottom w:val="nil"/>
          <w:right w:val="nil"/>
          <w:between w:val="nil"/>
        </w:pBdr>
        <w:spacing w:line="276" w:lineRule="auto"/>
        <w:ind w:right="-574"/>
        <w:jc w:val="both"/>
        <w:rPr>
          <w:rFonts w:ascii="Open Sans" w:eastAsia="Open Sans" w:hAnsi="Open Sans" w:cs="Open Sans"/>
          <w:sz w:val="22"/>
          <w:szCs w:val="22"/>
        </w:rPr>
      </w:pPr>
    </w:p>
    <w:p w14:paraId="6ED589FE" w14:textId="77777777" w:rsidR="00110091" w:rsidRDefault="000413C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25 de mayo de 2022</w:t>
      </w:r>
    </w:p>
    <w:p w14:paraId="111BBFAD" w14:textId="77777777" w:rsidR="00110091" w:rsidRDefault="00110091">
      <w:pPr>
        <w:spacing w:line="276" w:lineRule="auto"/>
        <w:ind w:right="-574"/>
        <w:jc w:val="both"/>
        <w:rPr>
          <w:rFonts w:ascii="Open Sans Light" w:eastAsia="Open Sans Light" w:hAnsi="Open Sans Light" w:cs="Open Sans Light"/>
          <w:b/>
          <w:color w:val="303AB2"/>
        </w:rPr>
      </w:pPr>
    </w:p>
    <w:p w14:paraId="709500A0" w14:textId="1281A622" w:rsidR="00110091" w:rsidRDefault="000413C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70</w:t>
      </w:r>
      <w:r>
        <w:rPr>
          <w:rFonts w:ascii="Open Sans" w:eastAsia="Open Sans" w:hAnsi="Open Sans" w:cs="Open Sans"/>
          <w:sz w:val="22"/>
          <w:szCs w:val="22"/>
        </w:rPr>
        <w:t>% de particulares creen que los precios de la vivienda van a seguir subiendo, tanto en el mercado de compra como en el mercado del alquiler. Así lo reflejan los datos del análisis “</w:t>
      </w:r>
      <w:r w:rsidRPr="003B0AC2">
        <w:rPr>
          <w:rFonts w:ascii="Open Sans" w:eastAsia="Open Sans" w:hAnsi="Open Sans" w:cs="Open Sans"/>
          <w:b/>
          <w:bCs/>
          <w:i/>
          <w:sz w:val="22"/>
          <w:szCs w:val="22"/>
          <w:u w:val="single"/>
        </w:rPr>
        <w:t>Percepción del precio de la vivienda</w:t>
      </w:r>
      <w:r>
        <w:rPr>
          <w:rFonts w:ascii="Open Sans" w:eastAsia="Open Sans" w:hAnsi="Open Sans" w:cs="Open Sans"/>
          <w:sz w:val="22"/>
          <w:szCs w:val="22"/>
        </w:rPr>
        <w:t xml:space="preserve">” realizado por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sz w:val="22"/>
          <w:szCs w:val="22"/>
        </w:rPr>
        <w:t xml:space="preserve"> a partir de 7.400 encuestas</w:t>
      </w:r>
      <w:r w:rsidR="003B0AC2">
        <w:rPr>
          <w:rFonts w:ascii="Open Sans" w:eastAsia="Open Sans" w:hAnsi="Open Sans" w:cs="Open Sans"/>
          <w:sz w:val="22"/>
          <w:szCs w:val="22"/>
        </w:rPr>
        <w:t xml:space="preserve"> realizadas a personas que han estado activas en el mercado inmobiliario</w:t>
      </w:r>
      <w:r>
        <w:rPr>
          <w:rFonts w:ascii="Open Sans" w:eastAsia="Open Sans" w:hAnsi="Open Sans" w:cs="Open Sans"/>
          <w:sz w:val="22"/>
          <w:szCs w:val="22"/>
        </w:rPr>
        <w:t xml:space="preserve">. </w:t>
      </w:r>
    </w:p>
    <w:p w14:paraId="1F45DD7B" w14:textId="77777777" w:rsidR="00110091" w:rsidRDefault="00110091">
      <w:pPr>
        <w:spacing w:line="276" w:lineRule="auto"/>
        <w:ind w:right="-574"/>
        <w:jc w:val="both"/>
        <w:rPr>
          <w:rFonts w:ascii="Open Sans" w:eastAsia="Open Sans" w:hAnsi="Open Sans" w:cs="Open Sans"/>
          <w:sz w:val="22"/>
          <w:szCs w:val="22"/>
        </w:rPr>
      </w:pPr>
    </w:p>
    <w:p w14:paraId="564E8C20" w14:textId="77777777" w:rsidR="00110091" w:rsidRDefault="000413C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La tendencia que presenten los precios es uno de los factores más sustanciales que incide en las decisiones</w:t>
      </w:r>
      <w:r>
        <w:rPr>
          <w:rFonts w:ascii="Open Sans" w:eastAsia="Open Sans" w:hAnsi="Open Sans" w:cs="Open Sans"/>
          <w:sz w:val="22"/>
          <w:szCs w:val="22"/>
        </w:rPr>
        <w:t xml:space="preserve"> de quienes participan en el mercado de la vivienda. Además, esta sensación se ha ido acentuando en el último año. Para entender bien estas fluctuaci</w:t>
      </w:r>
      <w:r>
        <w:rPr>
          <w:rFonts w:ascii="Open Sans" w:eastAsia="Open Sans" w:hAnsi="Open Sans" w:cs="Open Sans"/>
          <w:sz w:val="22"/>
          <w:szCs w:val="22"/>
        </w:rPr>
        <w:t>ones en la opinión sobre la evolución de los precios hay que retroceder hasta justo antes del comienzo de la pandemia, en febrero de 2020. Entonces había un 59% de particulares que consideraba que el precio de la vivienda de compra iba a continuar una tend</w:t>
      </w:r>
      <w:r>
        <w:rPr>
          <w:rFonts w:ascii="Open Sans" w:eastAsia="Open Sans" w:hAnsi="Open Sans" w:cs="Open Sans"/>
          <w:sz w:val="22"/>
          <w:szCs w:val="22"/>
        </w:rPr>
        <w:t xml:space="preserve">encia creciente. Con respecto al alquiler, eran un 71% los que creían que los precios progresarían al alza. </w:t>
      </w:r>
    </w:p>
    <w:p w14:paraId="1E629CAA" w14:textId="77777777" w:rsidR="00110091" w:rsidRDefault="00110091">
      <w:pPr>
        <w:spacing w:line="276" w:lineRule="auto"/>
        <w:ind w:right="-574"/>
        <w:jc w:val="both"/>
        <w:rPr>
          <w:rFonts w:ascii="Open Sans" w:eastAsia="Open Sans" w:hAnsi="Open Sans" w:cs="Open Sans"/>
          <w:sz w:val="22"/>
          <w:szCs w:val="22"/>
        </w:rPr>
      </w:pPr>
    </w:p>
    <w:p w14:paraId="4820F4F5" w14:textId="77777777" w:rsidR="00110091" w:rsidRDefault="000413C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Con los estragos de la covid-19 y la incertidumbre que trajo consigo, esta sensación se diluyó un poco: en febrero de 2021, casi un año después de</w:t>
      </w:r>
      <w:r>
        <w:rPr>
          <w:rFonts w:ascii="Open Sans" w:eastAsia="Open Sans" w:hAnsi="Open Sans" w:cs="Open Sans"/>
          <w:sz w:val="22"/>
          <w:szCs w:val="22"/>
        </w:rPr>
        <w:t>l inicio de la pandemia, el 48 % de los particulares esperaba una tendencia creciente en los precios de compra (10 puntos porcentuales menos que en febrero de 2020). Por su parte, en febrero de 2021, un 58 % esperaba un incremento en los precios del alquil</w:t>
      </w:r>
      <w:r>
        <w:rPr>
          <w:rFonts w:ascii="Open Sans" w:eastAsia="Open Sans" w:hAnsi="Open Sans" w:cs="Open Sans"/>
          <w:sz w:val="22"/>
          <w:szCs w:val="22"/>
        </w:rPr>
        <w:t>er.</w:t>
      </w:r>
    </w:p>
    <w:p w14:paraId="3362349F" w14:textId="77777777" w:rsidR="00110091" w:rsidRDefault="00110091">
      <w:pPr>
        <w:spacing w:line="276" w:lineRule="auto"/>
        <w:ind w:right="-574"/>
        <w:jc w:val="both"/>
        <w:rPr>
          <w:rFonts w:ascii="Open Sans" w:eastAsia="Open Sans" w:hAnsi="Open Sans" w:cs="Open Sans"/>
          <w:sz w:val="22"/>
          <w:szCs w:val="22"/>
        </w:rPr>
      </w:pPr>
    </w:p>
    <w:p w14:paraId="59897487" w14:textId="77777777" w:rsidR="00110091" w:rsidRDefault="000413C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¿Y cuál es la situación actual? </w:t>
      </w:r>
      <w:r>
        <w:rPr>
          <w:rFonts w:ascii="Open Sans" w:eastAsia="Open Sans" w:hAnsi="Open Sans" w:cs="Open Sans"/>
          <w:b/>
          <w:sz w:val="22"/>
          <w:szCs w:val="22"/>
        </w:rPr>
        <w:t xml:space="preserve">Los datos muestran que se ha dejado atrás esa sensación de moderación hasta recuperar o superar los niveles </w:t>
      </w:r>
      <w:proofErr w:type="spellStart"/>
      <w:r>
        <w:rPr>
          <w:rFonts w:ascii="Open Sans" w:eastAsia="Open Sans" w:hAnsi="Open Sans" w:cs="Open Sans"/>
          <w:b/>
          <w:sz w:val="22"/>
          <w:szCs w:val="22"/>
        </w:rPr>
        <w:t>precovid</w:t>
      </w:r>
      <w:proofErr w:type="spellEnd"/>
      <w:r>
        <w:rPr>
          <w:rFonts w:ascii="Open Sans" w:eastAsia="Open Sans" w:hAnsi="Open Sans" w:cs="Open Sans"/>
          <w:sz w:val="22"/>
          <w:szCs w:val="22"/>
        </w:rPr>
        <w:t>. Concretamente, ahora hay un 69 % de personas mayores de 18 años que esperan que los precios de la vivienda en propiedad sigan una tendenci</w:t>
      </w:r>
      <w:r>
        <w:rPr>
          <w:rFonts w:ascii="Open Sans" w:eastAsia="Open Sans" w:hAnsi="Open Sans" w:cs="Open Sans"/>
          <w:sz w:val="22"/>
          <w:szCs w:val="22"/>
        </w:rPr>
        <w:t xml:space="preserve">a alcista. </w:t>
      </w:r>
    </w:p>
    <w:p w14:paraId="094844CD" w14:textId="77777777" w:rsidR="00110091" w:rsidRDefault="00110091">
      <w:pPr>
        <w:spacing w:line="276" w:lineRule="auto"/>
        <w:ind w:right="-574"/>
        <w:jc w:val="both"/>
        <w:rPr>
          <w:rFonts w:ascii="Open Sans" w:eastAsia="Open Sans" w:hAnsi="Open Sans" w:cs="Open Sans"/>
          <w:sz w:val="22"/>
          <w:szCs w:val="22"/>
        </w:rPr>
      </w:pPr>
    </w:p>
    <w:p w14:paraId="34841336" w14:textId="77777777" w:rsidR="00110091" w:rsidRDefault="000413C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“Tras el cambio de tendencia en el mercado del alquiler, después de haber mostrado la mayor caída de su historia en el ejercicio anterior, y al recuperar con fuerza las subidas de precio de los últimos años en tan solo unos meses, parece que e</w:t>
      </w:r>
      <w:r>
        <w:rPr>
          <w:rFonts w:ascii="Open Sans" w:eastAsia="Open Sans" w:hAnsi="Open Sans" w:cs="Open Sans"/>
          <w:sz w:val="22"/>
          <w:szCs w:val="22"/>
        </w:rPr>
        <w:t>sta problemática no se podrá solucionar en el corto plazo. Probablemente, las plazas más tensionadas, donde cada vez la oferta de vivienda en alquiler es más reducida, continuarán con la escalada de precios por la simple ley de oferta y demanda: cuanto men</w:t>
      </w:r>
      <w:r>
        <w:rPr>
          <w:rFonts w:ascii="Open Sans" w:eastAsia="Open Sans" w:hAnsi="Open Sans" w:cs="Open Sans"/>
          <w:sz w:val="22"/>
          <w:szCs w:val="22"/>
        </w:rPr>
        <w:t>os producto hay en el mercado más valor tiene. Algo parecido sucede en el mercado de la compraventa, la demanda tan excepcional por querer cambiar de vivienda, acrecienta el desequilibrio entre compradores y vendedores, lo que empuja los precios al alza. P</w:t>
      </w:r>
      <w:r>
        <w:rPr>
          <w:rFonts w:ascii="Open Sans" w:eastAsia="Open Sans" w:hAnsi="Open Sans" w:cs="Open Sans"/>
          <w:sz w:val="22"/>
          <w:szCs w:val="22"/>
        </w:rPr>
        <w:t xml:space="preserve">or lo tanto, podemos decir, que la percepción de la ciudadanía va bien encaminada, al menos en el corto plazo”, comenta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49E1D4EF" w14:textId="77777777" w:rsidR="00110091" w:rsidRDefault="00110091">
      <w:pPr>
        <w:spacing w:line="276" w:lineRule="auto"/>
        <w:ind w:right="-574"/>
        <w:jc w:val="both"/>
        <w:rPr>
          <w:rFonts w:ascii="Open Sans" w:eastAsia="Open Sans" w:hAnsi="Open Sans" w:cs="Open Sans"/>
          <w:sz w:val="22"/>
          <w:szCs w:val="22"/>
        </w:rPr>
      </w:pPr>
    </w:p>
    <w:p w14:paraId="77B2B840" w14:textId="1BC15AAC" w:rsidR="00110091" w:rsidRDefault="00F30A0A">
      <w:pPr>
        <w:spacing w:line="276" w:lineRule="auto"/>
        <w:ind w:right="-574"/>
        <w:jc w:val="both"/>
        <w:rPr>
          <w:rFonts w:ascii="Open Sans" w:eastAsia="Open Sans" w:hAnsi="Open Sans" w:cs="Open Sans"/>
          <w:sz w:val="22"/>
          <w:szCs w:val="22"/>
        </w:rPr>
      </w:pPr>
      <w:r>
        <w:rPr>
          <w:noProof/>
        </w:rPr>
        <w:drawing>
          <wp:inline distT="0" distB="0" distL="0" distR="0" wp14:anchorId="63C0272A" wp14:editId="2BCC27DB">
            <wp:extent cx="5753100" cy="3558540"/>
            <wp:effectExtent l="0" t="0" r="0" b="3810"/>
            <wp:docPr id="27"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líneas&#10;&#10;Descripción generada automáticamente"/>
                    <pic:cNvPicPr preferRelativeResize="0"/>
                  </pic:nvPicPr>
                  <pic:blipFill>
                    <a:blip r:embed="rId10"/>
                    <a:srcRect/>
                    <a:stretch>
                      <a:fillRect/>
                    </a:stretch>
                  </pic:blipFill>
                  <pic:spPr>
                    <a:xfrm>
                      <a:off x="0" y="0"/>
                      <a:ext cx="5754169" cy="3559201"/>
                    </a:xfrm>
                    <a:prstGeom prst="rect">
                      <a:avLst/>
                    </a:prstGeom>
                    <a:ln/>
                  </pic:spPr>
                </pic:pic>
              </a:graphicData>
            </a:graphic>
          </wp:inline>
        </w:drawing>
      </w:r>
    </w:p>
    <w:p w14:paraId="1E5370E1" w14:textId="054E0B29" w:rsidR="00110091" w:rsidRDefault="00110091"/>
    <w:p w14:paraId="021E2482" w14:textId="77777777" w:rsidR="00110091" w:rsidRDefault="00110091">
      <w:pPr>
        <w:ind w:right="-550"/>
        <w:jc w:val="both"/>
        <w:rPr>
          <w:rFonts w:ascii="Open Sans" w:eastAsia="Open Sans" w:hAnsi="Open Sans" w:cs="Open Sans"/>
          <w:sz w:val="22"/>
          <w:szCs w:val="22"/>
        </w:rPr>
      </w:pPr>
    </w:p>
    <w:p w14:paraId="596B4E9D" w14:textId="77777777" w:rsidR="00110091" w:rsidRDefault="00110091">
      <w:pPr>
        <w:ind w:right="-550"/>
        <w:jc w:val="both"/>
        <w:rPr>
          <w:rFonts w:ascii="Open Sans" w:eastAsia="Open Sans" w:hAnsi="Open Sans" w:cs="Open Sans"/>
          <w:sz w:val="22"/>
          <w:szCs w:val="22"/>
        </w:rPr>
      </w:pPr>
    </w:p>
    <w:p w14:paraId="04B3D082" w14:textId="77777777" w:rsidR="00110091" w:rsidRDefault="000413C0">
      <w:pPr>
        <w:spacing w:line="276" w:lineRule="auto"/>
        <w:ind w:right="-550"/>
        <w:jc w:val="both"/>
        <w:rPr>
          <w:rFonts w:ascii="Open Sans" w:eastAsia="Open Sans" w:hAnsi="Open Sans" w:cs="Open Sans"/>
          <w:sz w:val="22"/>
          <w:szCs w:val="22"/>
        </w:rPr>
      </w:pPr>
      <w:r>
        <w:rPr>
          <w:rFonts w:ascii="Open Sans" w:eastAsia="Open Sans" w:hAnsi="Open Sans" w:cs="Open Sans"/>
          <w:sz w:val="22"/>
          <w:szCs w:val="22"/>
        </w:rPr>
        <w:lastRenderedPageBreak/>
        <w:t xml:space="preserve">Es decir, </w:t>
      </w:r>
      <w:r>
        <w:rPr>
          <w:rFonts w:ascii="Open Sans" w:eastAsia="Open Sans" w:hAnsi="Open Sans" w:cs="Open Sans"/>
          <w:b/>
          <w:sz w:val="22"/>
          <w:szCs w:val="22"/>
        </w:rPr>
        <w:t xml:space="preserve">el volumen de </w:t>
      </w:r>
      <w:r>
        <w:rPr>
          <w:rFonts w:ascii="Open Sans" w:eastAsia="Open Sans" w:hAnsi="Open Sans" w:cs="Open Sans"/>
          <w:b/>
          <w:sz w:val="22"/>
          <w:szCs w:val="22"/>
        </w:rPr>
        <w:t>particulares que cree que la vivienda de compra va a continuar encareciéndose es ahora diez puntos porcentuales más alto</w:t>
      </w:r>
      <w:r>
        <w:rPr>
          <w:rFonts w:ascii="Open Sans" w:eastAsia="Open Sans" w:hAnsi="Open Sans" w:cs="Open Sans"/>
          <w:sz w:val="22"/>
          <w:szCs w:val="22"/>
        </w:rPr>
        <w:t xml:space="preserve"> que antes de que empezase la pandemia y veinte puntos mayor que en febrero de 2021. </w:t>
      </w:r>
    </w:p>
    <w:p w14:paraId="0152ABD3" w14:textId="77777777" w:rsidR="00110091" w:rsidRDefault="00110091">
      <w:pPr>
        <w:spacing w:line="276" w:lineRule="auto"/>
        <w:ind w:right="-550"/>
        <w:jc w:val="both"/>
        <w:rPr>
          <w:rFonts w:ascii="Open Sans" w:eastAsia="Open Sans" w:hAnsi="Open Sans" w:cs="Open Sans"/>
          <w:sz w:val="22"/>
          <w:szCs w:val="22"/>
        </w:rPr>
      </w:pPr>
    </w:p>
    <w:p w14:paraId="5B9671A7" w14:textId="77777777" w:rsidR="00110091" w:rsidRDefault="000413C0">
      <w:pPr>
        <w:spacing w:line="276" w:lineRule="auto"/>
        <w:ind w:right="-550"/>
        <w:jc w:val="both"/>
      </w:pPr>
      <w:r>
        <w:rPr>
          <w:rFonts w:ascii="Open Sans" w:eastAsia="Open Sans" w:hAnsi="Open Sans" w:cs="Open Sans"/>
          <w:sz w:val="22"/>
          <w:szCs w:val="22"/>
        </w:rPr>
        <w:t>En el caso del alquiler, ahora se sitúa prácticam</w:t>
      </w:r>
      <w:r>
        <w:rPr>
          <w:rFonts w:ascii="Open Sans" w:eastAsia="Open Sans" w:hAnsi="Open Sans" w:cs="Open Sans"/>
          <w:sz w:val="22"/>
          <w:szCs w:val="22"/>
        </w:rPr>
        <w:t>ente en cifras de febrero de 2020: entonces eran un 71 % los que esperaban un incremento progresivo del coste alquiler y ahora son el 68 %. Esta previsión de aumento de los precios se debe a algunos factores concretos. Entre ellos, los particulares destaca</w:t>
      </w:r>
      <w:r>
        <w:rPr>
          <w:rFonts w:ascii="Open Sans" w:eastAsia="Open Sans" w:hAnsi="Open Sans" w:cs="Open Sans"/>
          <w:sz w:val="22"/>
          <w:szCs w:val="22"/>
        </w:rPr>
        <w:t xml:space="preserve">n, fundamentalmente, </w:t>
      </w:r>
      <w:r>
        <w:rPr>
          <w:rFonts w:ascii="Open Sans" w:eastAsia="Open Sans" w:hAnsi="Open Sans" w:cs="Open Sans"/>
          <w:b/>
          <w:sz w:val="22"/>
          <w:szCs w:val="22"/>
        </w:rPr>
        <w:t>el aumento de la demanda, el interés de los inversores en la vivienda de alquiler y la escasez de oferta</w:t>
      </w:r>
      <w:r>
        <w:rPr>
          <w:rFonts w:ascii="Open Sans" w:eastAsia="Open Sans" w:hAnsi="Open Sans" w:cs="Open Sans"/>
          <w:sz w:val="22"/>
          <w:szCs w:val="22"/>
        </w:rPr>
        <w:t xml:space="preserve">. </w:t>
      </w:r>
    </w:p>
    <w:p w14:paraId="3592EFC2" w14:textId="77777777" w:rsidR="00110091" w:rsidRDefault="00110091"/>
    <w:p w14:paraId="0B8036E1" w14:textId="77777777" w:rsidR="00110091" w:rsidRDefault="000413C0">
      <w:r>
        <w:rPr>
          <w:noProof/>
        </w:rPr>
        <w:drawing>
          <wp:inline distT="0" distB="0" distL="0" distR="0" wp14:anchorId="0A325298" wp14:editId="6F958F0C">
            <wp:extent cx="5798820" cy="3505200"/>
            <wp:effectExtent l="0" t="0" r="0" b="0"/>
            <wp:docPr id="25" name="image6.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Gráfico, Gráfico de líneas&#10;&#10;Descripción generada automáticamente"/>
                    <pic:cNvPicPr preferRelativeResize="0"/>
                  </pic:nvPicPr>
                  <pic:blipFill>
                    <a:blip r:embed="rId11"/>
                    <a:srcRect/>
                    <a:stretch>
                      <a:fillRect/>
                    </a:stretch>
                  </pic:blipFill>
                  <pic:spPr>
                    <a:xfrm>
                      <a:off x="0" y="0"/>
                      <a:ext cx="5799171" cy="3505412"/>
                    </a:xfrm>
                    <a:prstGeom prst="rect">
                      <a:avLst/>
                    </a:prstGeom>
                    <a:ln/>
                  </pic:spPr>
                </pic:pic>
              </a:graphicData>
            </a:graphic>
          </wp:inline>
        </w:drawing>
      </w:r>
    </w:p>
    <w:p w14:paraId="50C61E7E" w14:textId="77777777" w:rsidR="00110091" w:rsidRDefault="00110091"/>
    <w:p w14:paraId="58DF13AA" w14:textId="77777777" w:rsidR="00F30A0A" w:rsidRDefault="00F30A0A">
      <w:pPr>
        <w:spacing w:line="276" w:lineRule="auto"/>
        <w:ind w:right="-574"/>
        <w:jc w:val="both"/>
        <w:rPr>
          <w:rFonts w:ascii="Open Sans" w:eastAsia="Open Sans" w:hAnsi="Open Sans" w:cs="Open Sans"/>
          <w:sz w:val="22"/>
          <w:szCs w:val="22"/>
        </w:rPr>
      </w:pPr>
    </w:p>
    <w:p w14:paraId="5B8CAFEC" w14:textId="579DB96B" w:rsidR="00110091" w:rsidRDefault="000413C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edades, </w:t>
      </w:r>
      <w:r>
        <w:rPr>
          <w:rFonts w:ascii="Open Sans" w:eastAsia="Open Sans" w:hAnsi="Open Sans" w:cs="Open Sans"/>
          <w:b/>
          <w:sz w:val="22"/>
          <w:szCs w:val="22"/>
        </w:rPr>
        <w:t>los más adultos son los que más convencidos están de que los precios de la vivienda en propiedad seguirán subie</w:t>
      </w:r>
      <w:r>
        <w:rPr>
          <w:rFonts w:ascii="Open Sans" w:eastAsia="Open Sans" w:hAnsi="Open Sans" w:cs="Open Sans"/>
          <w:b/>
          <w:sz w:val="22"/>
          <w:szCs w:val="22"/>
        </w:rPr>
        <w:t>ndo</w:t>
      </w:r>
      <w:r>
        <w:rPr>
          <w:rFonts w:ascii="Open Sans" w:eastAsia="Open Sans" w:hAnsi="Open Sans" w:cs="Open Sans"/>
          <w:sz w:val="22"/>
          <w:szCs w:val="22"/>
        </w:rPr>
        <w:t>. Por ejemplo, hay el 71 % de los particulares entre 45 y 54 años y un 72 % de los que superan los 55 años apuestan por una tendencia creciente. Sin embargo, en los segmentos más jóvenes esta cifra es inferior. Así, los que tienen entre 18 y 24 años pie</w:t>
      </w:r>
      <w:r>
        <w:rPr>
          <w:rFonts w:ascii="Open Sans" w:eastAsia="Open Sans" w:hAnsi="Open Sans" w:cs="Open Sans"/>
          <w:sz w:val="22"/>
          <w:szCs w:val="22"/>
        </w:rPr>
        <w:t xml:space="preserve">nsan, en el 57 % de los casos, que los precios seguirán una tendencia creciente. </w:t>
      </w:r>
    </w:p>
    <w:p w14:paraId="3F45DD02" w14:textId="77777777" w:rsidR="00110091" w:rsidRDefault="00110091">
      <w:pPr>
        <w:spacing w:line="276" w:lineRule="auto"/>
        <w:ind w:right="-574"/>
        <w:jc w:val="both"/>
        <w:rPr>
          <w:rFonts w:ascii="Open Sans" w:eastAsia="Open Sans" w:hAnsi="Open Sans" w:cs="Open Sans"/>
          <w:sz w:val="22"/>
          <w:szCs w:val="22"/>
        </w:rPr>
      </w:pPr>
    </w:p>
    <w:p w14:paraId="763C5B42" w14:textId="77777777" w:rsidR="00110091" w:rsidRDefault="000413C0">
      <w:pPr>
        <w:rPr>
          <w:rFonts w:ascii="Open Sans" w:eastAsia="Open Sans" w:hAnsi="Open Sans" w:cs="Open Sans"/>
          <w:sz w:val="22"/>
          <w:szCs w:val="22"/>
        </w:rPr>
      </w:pPr>
      <w:r>
        <w:rPr>
          <w:rFonts w:ascii="Open Sans" w:eastAsia="Open Sans" w:hAnsi="Open Sans" w:cs="Open Sans"/>
          <w:noProof/>
          <w:sz w:val="22"/>
          <w:szCs w:val="22"/>
        </w:rPr>
        <w:lastRenderedPageBreak/>
        <w:drawing>
          <wp:inline distT="0" distB="0" distL="0" distR="0" wp14:anchorId="135559C4" wp14:editId="4AE7B973">
            <wp:extent cx="5722620" cy="3543300"/>
            <wp:effectExtent l="0" t="0" r="0" b="0"/>
            <wp:docPr id="26"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2"/>
                    <a:srcRect/>
                    <a:stretch>
                      <a:fillRect/>
                    </a:stretch>
                  </pic:blipFill>
                  <pic:spPr>
                    <a:xfrm>
                      <a:off x="0" y="0"/>
                      <a:ext cx="5722966" cy="3543514"/>
                    </a:xfrm>
                    <a:prstGeom prst="rect">
                      <a:avLst/>
                    </a:prstGeom>
                    <a:ln/>
                  </pic:spPr>
                </pic:pic>
              </a:graphicData>
            </a:graphic>
          </wp:inline>
        </w:drawing>
      </w:r>
    </w:p>
    <w:p w14:paraId="0485E266" w14:textId="77777777" w:rsidR="00110091" w:rsidRDefault="00110091">
      <w:pPr>
        <w:rPr>
          <w:rFonts w:ascii="Open Sans" w:eastAsia="Open Sans" w:hAnsi="Open Sans" w:cs="Open Sans"/>
          <w:sz w:val="22"/>
          <w:szCs w:val="22"/>
        </w:rPr>
      </w:pPr>
    </w:p>
    <w:p w14:paraId="58B50A0D" w14:textId="77777777" w:rsidR="00F30A0A" w:rsidRDefault="00F30A0A">
      <w:pPr>
        <w:ind w:right="-550"/>
        <w:jc w:val="both"/>
        <w:rPr>
          <w:rFonts w:ascii="Open Sans" w:eastAsia="Open Sans" w:hAnsi="Open Sans" w:cs="Open Sans"/>
          <w:sz w:val="22"/>
          <w:szCs w:val="22"/>
        </w:rPr>
      </w:pPr>
    </w:p>
    <w:p w14:paraId="1F4B1A6E" w14:textId="36C257F4" w:rsidR="00110091" w:rsidRDefault="000413C0">
      <w:pPr>
        <w:ind w:right="-550"/>
        <w:jc w:val="both"/>
        <w:rPr>
          <w:rFonts w:ascii="Open Sans" w:eastAsia="Open Sans" w:hAnsi="Open Sans" w:cs="Open Sans"/>
          <w:sz w:val="22"/>
          <w:szCs w:val="22"/>
        </w:rPr>
      </w:pPr>
      <w:r>
        <w:rPr>
          <w:rFonts w:ascii="Open Sans" w:eastAsia="Open Sans" w:hAnsi="Open Sans" w:cs="Open Sans"/>
          <w:sz w:val="22"/>
          <w:szCs w:val="22"/>
        </w:rPr>
        <w:t>En el caso del alquiler sucede justo lo contrario: los más jóvenes son los que mayor sensación tienen de que los alquileres seguirán subiendo de precio en los próximos me</w:t>
      </w:r>
      <w:r>
        <w:rPr>
          <w:rFonts w:ascii="Open Sans" w:eastAsia="Open Sans" w:hAnsi="Open Sans" w:cs="Open Sans"/>
          <w:sz w:val="22"/>
          <w:szCs w:val="22"/>
        </w:rPr>
        <w:t xml:space="preserve">ses. </w:t>
      </w:r>
    </w:p>
    <w:p w14:paraId="1F41AA5B" w14:textId="77777777" w:rsidR="00110091" w:rsidRDefault="00110091">
      <w:pPr>
        <w:ind w:right="-550"/>
        <w:jc w:val="both"/>
        <w:rPr>
          <w:rFonts w:ascii="Open Sans" w:eastAsia="Open Sans" w:hAnsi="Open Sans" w:cs="Open Sans"/>
          <w:sz w:val="22"/>
          <w:szCs w:val="22"/>
        </w:rPr>
      </w:pPr>
    </w:p>
    <w:p w14:paraId="353127F8" w14:textId="77777777" w:rsidR="00110091" w:rsidRDefault="000413C0">
      <w:pPr>
        <w:ind w:right="-550"/>
        <w:jc w:val="both"/>
        <w:rPr>
          <w:rFonts w:ascii="Open Sans" w:eastAsia="Open Sans" w:hAnsi="Open Sans" w:cs="Open Sans"/>
          <w:sz w:val="22"/>
          <w:szCs w:val="22"/>
        </w:rPr>
      </w:pPr>
      <w:r>
        <w:rPr>
          <w:rFonts w:ascii="Open Sans" w:eastAsia="Open Sans" w:hAnsi="Open Sans" w:cs="Open Sans"/>
          <w:sz w:val="22"/>
          <w:szCs w:val="22"/>
        </w:rPr>
        <w:t xml:space="preserve">Aun así, </w:t>
      </w:r>
      <w:r>
        <w:rPr>
          <w:rFonts w:ascii="Open Sans" w:eastAsia="Open Sans" w:hAnsi="Open Sans" w:cs="Open Sans"/>
          <w:b/>
          <w:sz w:val="22"/>
          <w:szCs w:val="22"/>
        </w:rPr>
        <w:t>la diferencia de percepción en función de la edad sobre la tendencia creciente de los precios del alquiler es más moderada que en la compra</w:t>
      </w:r>
      <w:r>
        <w:rPr>
          <w:rFonts w:ascii="Open Sans" w:eastAsia="Open Sans" w:hAnsi="Open Sans" w:cs="Open Sans"/>
          <w:sz w:val="22"/>
          <w:szCs w:val="22"/>
        </w:rPr>
        <w:t xml:space="preserve">. Entre los más jóvenes (18-24 años) hay un 70 % que tiene esta opinión. En el último segmento por edad (55-75 años) </w:t>
      </w:r>
      <w:r>
        <w:rPr>
          <w:rFonts w:ascii="Open Sans" w:eastAsia="Open Sans" w:hAnsi="Open Sans" w:cs="Open Sans"/>
          <w:sz w:val="22"/>
          <w:szCs w:val="22"/>
        </w:rPr>
        <w:t xml:space="preserve">son el 67 %. </w:t>
      </w:r>
    </w:p>
    <w:p w14:paraId="39D736CD" w14:textId="77777777" w:rsidR="00110091" w:rsidRDefault="00110091">
      <w:pPr>
        <w:ind w:right="-550"/>
        <w:jc w:val="both"/>
        <w:rPr>
          <w:rFonts w:ascii="Open Sans" w:eastAsia="Open Sans" w:hAnsi="Open Sans" w:cs="Open Sans"/>
          <w:sz w:val="22"/>
          <w:szCs w:val="22"/>
        </w:rPr>
      </w:pPr>
    </w:p>
    <w:p w14:paraId="105E2AEC" w14:textId="77777777" w:rsidR="00110091" w:rsidRDefault="000413C0">
      <w:pPr>
        <w:ind w:right="-550"/>
        <w:jc w:val="both"/>
        <w:rPr>
          <w:rFonts w:ascii="Open Sans" w:eastAsia="Open Sans" w:hAnsi="Open Sans" w:cs="Open Sans"/>
          <w:sz w:val="22"/>
          <w:szCs w:val="22"/>
        </w:rPr>
      </w:pPr>
      <w:r>
        <w:rPr>
          <w:rFonts w:ascii="Open Sans" w:eastAsia="Open Sans" w:hAnsi="Open Sans" w:cs="Open Sans"/>
          <w:sz w:val="22"/>
          <w:szCs w:val="22"/>
        </w:rPr>
        <w:t xml:space="preserve">Aunque las diferencias en términos territoriales son mínimas, </w:t>
      </w:r>
      <w:r>
        <w:rPr>
          <w:rFonts w:ascii="Open Sans" w:eastAsia="Open Sans" w:hAnsi="Open Sans" w:cs="Open Sans"/>
          <w:b/>
          <w:sz w:val="22"/>
          <w:szCs w:val="22"/>
        </w:rPr>
        <w:t>Cataluña y Madrid son los lugares en los que se prevé en mayor medida una tendencia creciente de los precios tanto de compra como de alquiler</w:t>
      </w:r>
      <w:r>
        <w:rPr>
          <w:rFonts w:ascii="Open Sans" w:eastAsia="Open Sans" w:hAnsi="Open Sans" w:cs="Open Sans"/>
          <w:sz w:val="22"/>
          <w:szCs w:val="22"/>
        </w:rPr>
        <w:t xml:space="preserve">. </w:t>
      </w:r>
    </w:p>
    <w:p w14:paraId="07A1480D" w14:textId="77777777" w:rsidR="00110091" w:rsidRDefault="00110091">
      <w:pPr>
        <w:ind w:right="-550"/>
        <w:jc w:val="both"/>
        <w:rPr>
          <w:rFonts w:ascii="Open Sans" w:eastAsia="Open Sans" w:hAnsi="Open Sans" w:cs="Open Sans"/>
          <w:sz w:val="22"/>
          <w:szCs w:val="22"/>
        </w:rPr>
      </w:pPr>
    </w:p>
    <w:p w14:paraId="5155C38F" w14:textId="77777777" w:rsidR="00110091" w:rsidRDefault="000413C0">
      <w:pPr>
        <w:ind w:right="-550"/>
        <w:jc w:val="both"/>
        <w:rPr>
          <w:rFonts w:ascii="Open Sans" w:eastAsia="Open Sans" w:hAnsi="Open Sans" w:cs="Open Sans"/>
          <w:sz w:val="22"/>
          <w:szCs w:val="22"/>
        </w:rPr>
      </w:pPr>
      <w:r>
        <w:rPr>
          <w:rFonts w:ascii="Open Sans" w:eastAsia="Open Sans" w:hAnsi="Open Sans" w:cs="Open Sans"/>
          <w:sz w:val="22"/>
          <w:szCs w:val="22"/>
        </w:rPr>
        <w:t>Así, un 70 % de los catalanes y un</w:t>
      </w:r>
      <w:r>
        <w:rPr>
          <w:rFonts w:ascii="Open Sans" w:eastAsia="Open Sans" w:hAnsi="Open Sans" w:cs="Open Sans"/>
          <w:sz w:val="22"/>
          <w:szCs w:val="22"/>
        </w:rPr>
        <w:t xml:space="preserve"> 72 % de los madrileños espere que los precios de la vivienda de compra continúen una tendencia creciente (frente al 69 % de la media nacional). En lo referente al alquiler, son un 69 % en Cataluña y un 68 % en Madrid los que esperan una progresión al alza</w:t>
      </w:r>
      <w:r>
        <w:rPr>
          <w:rFonts w:ascii="Open Sans" w:eastAsia="Open Sans" w:hAnsi="Open Sans" w:cs="Open Sans"/>
          <w:sz w:val="22"/>
          <w:szCs w:val="22"/>
        </w:rPr>
        <w:t xml:space="preserve"> de los precios (la media del conjunto del país es del 68 %). </w:t>
      </w:r>
    </w:p>
    <w:p w14:paraId="623C1E90" w14:textId="77777777" w:rsidR="00110091" w:rsidRDefault="000413C0">
      <w:r>
        <w:rPr>
          <w:rFonts w:ascii="Open Sans" w:eastAsia="Open Sans" w:hAnsi="Open Sans" w:cs="Open Sans"/>
          <w:noProof/>
          <w:sz w:val="22"/>
          <w:szCs w:val="22"/>
        </w:rPr>
        <w:lastRenderedPageBreak/>
        <w:drawing>
          <wp:inline distT="0" distB="0" distL="0" distR="0" wp14:anchorId="5326299A" wp14:editId="746E7B12">
            <wp:extent cx="5821680" cy="3627120"/>
            <wp:effectExtent l="0" t="0" r="7620" b="0"/>
            <wp:docPr id="29"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Gráfico, Gráfico de barras&#10;&#10;Descripción generada automáticamente"/>
                    <pic:cNvPicPr preferRelativeResize="0"/>
                  </pic:nvPicPr>
                  <pic:blipFill>
                    <a:blip r:embed="rId13"/>
                    <a:srcRect/>
                    <a:stretch>
                      <a:fillRect/>
                    </a:stretch>
                  </pic:blipFill>
                  <pic:spPr>
                    <a:xfrm>
                      <a:off x="0" y="0"/>
                      <a:ext cx="5822032" cy="3627339"/>
                    </a:xfrm>
                    <a:prstGeom prst="rect">
                      <a:avLst/>
                    </a:prstGeom>
                    <a:ln/>
                  </pic:spPr>
                </pic:pic>
              </a:graphicData>
            </a:graphic>
          </wp:inline>
        </w:drawing>
      </w:r>
    </w:p>
    <w:p w14:paraId="376D5D72" w14:textId="77777777" w:rsidR="00110091" w:rsidRDefault="00110091"/>
    <w:p w14:paraId="02AEA09B" w14:textId="77777777" w:rsidR="00F30A0A" w:rsidRDefault="00F30A0A">
      <w:pPr>
        <w:spacing w:line="276" w:lineRule="auto"/>
        <w:ind w:right="-716"/>
        <w:jc w:val="right"/>
        <w:rPr>
          <w:rFonts w:ascii="Open Sans Light" w:eastAsia="Open Sans Light" w:hAnsi="Open Sans Light" w:cs="Open Sans Light"/>
          <w:b/>
          <w:color w:val="303AB2"/>
        </w:rPr>
      </w:pPr>
    </w:p>
    <w:p w14:paraId="3273D746" w14:textId="77777777" w:rsidR="00F30A0A" w:rsidRDefault="00F30A0A">
      <w:pPr>
        <w:spacing w:line="276" w:lineRule="auto"/>
        <w:ind w:right="-716"/>
        <w:jc w:val="right"/>
        <w:rPr>
          <w:rFonts w:ascii="Open Sans Light" w:eastAsia="Open Sans Light" w:hAnsi="Open Sans Light" w:cs="Open Sans Light"/>
          <w:b/>
          <w:color w:val="303AB2"/>
        </w:rPr>
      </w:pPr>
    </w:p>
    <w:p w14:paraId="63287CAD" w14:textId="77777777" w:rsidR="005B6A34" w:rsidRDefault="005B6A34">
      <w:pPr>
        <w:spacing w:line="276" w:lineRule="auto"/>
        <w:ind w:right="-716"/>
        <w:jc w:val="right"/>
        <w:rPr>
          <w:rFonts w:ascii="Open Sans Light" w:eastAsia="Open Sans Light" w:hAnsi="Open Sans Light" w:cs="Open Sans Light"/>
          <w:b/>
          <w:color w:val="303AB2"/>
        </w:rPr>
      </w:pPr>
    </w:p>
    <w:p w14:paraId="79A69DCD" w14:textId="41CFFCF8" w:rsidR="00110091" w:rsidRDefault="000413C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800B4F1" w14:textId="77777777" w:rsidR="00110091" w:rsidRDefault="000413C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1E2A3195" w14:textId="77777777" w:rsidR="00110091" w:rsidRDefault="000413C0">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15">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53BCE52A" w14:textId="77777777" w:rsidR="00110091" w:rsidRDefault="000413C0">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w:t>
      </w:r>
      <w:r>
        <w:rPr>
          <w:rFonts w:ascii="Open Sans" w:eastAsia="Open Sans" w:hAnsi="Open Sans" w:cs="Open Sans"/>
          <w:color w:val="000000"/>
          <w:sz w:val="22"/>
          <w:szCs w:val="22"/>
        </w:rPr>
        <w:t xml:space="preserve"> mundial. </w:t>
      </w:r>
    </w:p>
    <w:p w14:paraId="10B05367" w14:textId="77777777" w:rsidR="00110091" w:rsidRDefault="000413C0">
      <w:pPr>
        <w:shd w:val="clear" w:color="auto" w:fill="FFFFFF"/>
        <w:spacing w:before="280" w:after="280" w:line="276" w:lineRule="auto"/>
        <w:ind w:right="-716"/>
        <w:jc w:val="both"/>
        <w:rPr>
          <w:rFonts w:ascii="Open Sans" w:eastAsia="Open Sans" w:hAnsi="Open Sans" w:cs="Open Sans"/>
          <w:color w:val="000000"/>
          <w:sz w:val="22"/>
          <w:szCs w:val="22"/>
        </w:rPr>
      </w:pPr>
      <w:hyperlink r:id="rId16">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7466E4E8" w14:textId="77777777" w:rsidR="00F30A0A" w:rsidRDefault="00F30A0A">
      <w:pPr>
        <w:spacing w:line="276" w:lineRule="auto"/>
        <w:ind w:right="-716"/>
        <w:jc w:val="right"/>
        <w:rPr>
          <w:rFonts w:ascii="Open Sans Light" w:eastAsia="Open Sans Light" w:hAnsi="Open Sans Light" w:cs="Open Sans Light"/>
          <w:b/>
          <w:color w:val="303AB2"/>
        </w:rPr>
      </w:pPr>
    </w:p>
    <w:p w14:paraId="0FC55940" w14:textId="77777777" w:rsidR="00F30A0A" w:rsidRDefault="00F30A0A">
      <w:pPr>
        <w:spacing w:line="276" w:lineRule="auto"/>
        <w:ind w:right="-716"/>
        <w:jc w:val="right"/>
        <w:rPr>
          <w:rFonts w:ascii="Open Sans Light" w:eastAsia="Open Sans Light" w:hAnsi="Open Sans Light" w:cs="Open Sans Light"/>
          <w:b/>
          <w:color w:val="303AB2"/>
        </w:rPr>
      </w:pPr>
    </w:p>
    <w:p w14:paraId="577C5369" w14:textId="67B7C31F" w:rsidR="00110091" w:rsidRDefault="000413C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E917C97" w14:textId="77777777" w:rsidR="005B6A34" w:rsidRPr="005B6A34" w:rsidRDefault="005B6A34" w:rsidP="005B6A34">
      <w:pPr>
        <w:pStyle w:val="NormalWeb"/>
        <w:spacing w:before="143" w:beforeAutospacing="0" w:after="200" w:afterAutospacing="0"/>
        <w:ind w:right="-716"/>
        <w:jc w:val="both"/>
        <w:rPr>
          <w:rFonts w:ascii="Open Sans" w:hAnsi="Open Sans" w:cs="Open Sans"/>
        </w:rPr>
      </w:pPr>
      <w:proofErr w:type="spellStart"/>
      <w:r w:rsidRPr="005B6A34">
        <w:rPr>
          <w:rFonts w:ascii="Open Sans" w:hAnsi="Open Sans" w:cs="Open Sans"/>
          <w:color w:val="000000"/>
          <w:sz w:val="22"/>
          <w:szCs w:val="22"/>
        </w:rPr>
        <w:t>Adevinta</w:t>
      </w:r>
      <w:proofErr w:type="spellEnd"/>
      <w:r w:rsidRPr="005B6A34">
        <w:rPr>
          <w:rFonts w:ascii="Open Sans" w:hAnsi="Open Sans" w:cs="Open Sans"/>
          <w:color w:val="000000"/>
          <w:sz w:val="22"/>
          <w:szCs w:val="22"/>
        </w:rPr>
        <w:t xml:space="preserve"> </w:t>
      </w:r>
      <w:proofErr w:type="spellStart"/>
      <w:r w:rsidRPr="005B6A34">
        <w:rPr>
          <w:rFonts w:ascii="Open Sans" w:hAnsi="Open Sans" w:cs="Open Sans"/>
          <w:color w:val="000000"/>
          <w:sz w:val="22"/>
          <w:szCs w:val="22"/>
        </w:rPr>
        <w:t>Spain</w:t>
      </w:r>
      <w:proofErr w:type="spellEnd"/>
      <w:r w:rsidRPr="005B6A34">
        <w:rPr>
          <w:rFonts w:ascii="Open Sans" w:hAnsi="Open Sans" w:cs="Open Sans"/>
          <w:color w:val="000000"/>
          <w:sz w:val="22"/>
          <w:szCs w:val="22"/>
        </w:rPr>
        <w:t xml:space="preserve"> es una compañía líder en </w:t>
      </w:r>
      <w:proofErr w:type="spellStart"/>
      <w:r w:rsidRPr="005B6A34">
        <w:rPr>
          <w:rFonts w:ascii="Open Sans" w:hAnsi="Open Sans" w:cs="Open Sans"/>
          <w:color w:val="000000"/>
          <w:sz w:val="22"/>
          <w:szCs w:val="22"/>
        </w:rPr>
        <w:t>marketplaces</w:t>
      </w:r>
      <w:proofErr w:type="spellEnd"/>
      <w:r w:rsidRPr="005B6A34">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history="1">
        <w:r w:rsidRPr="005B6A34">
          <w:rPr>
            <w:rStyle w:val="Hipervnculo"/>
            <w:rFonts w:ascii="Open Sans" w:hAnsi="Open Sans" w:cs="Open Sans"/>
            <w:color w:val="1155CC"/>
            <w:sz w:val="22"/>
            <w:szCs w:val="22"/>
          </w:rPr>
          <w:t>Fotocasa</w:t>
        </w:r>
      </w:hyperlink>
      <w:r w:rsidRPr="005B6A34">
        <w:rPr>
          <w:rFonts w:ascii="Open Sans" w:hAnsi="Open Sans" w:cs="Open Sans"/>
          <w:color w:val="231F20"/>
          <w:sz w:val="22"/>
          <w:szCs w:val="22"/>
        </w:rPr>
        <w:t xml:space="preserve"> </w:t>
      </w:r>
      <w:r w:rsidRPr="005B6A34">
        <w:rPr>
          <w:rFonts w:ascii="Open Sans" w:hAnsi="Open Sans" w:cs="Open Sans"/>
          <w:color w:val="000000"/>
          <w:sz w:val="22"/>
          <w:szCs w:val="22"/>
        </w:rPr>
        <w:t>y</w:t>
      </w:r>
      <w:r w:rsidRPr="005B6A34">
        <w:rPr>
          <w:rFonts w:ascii="Open Sans" w:hAnsi="Open Sans" w:cs="Open Sans"/>
          <w:color w:val="231F20"/>
          <w:sz w:val="22"/>
          <w:szCs w:val="22"/>
        </w:rPr>
        <w:t xml:space="preserve"> </w:t>
      </w:r>
      <w:hyperlink r:id="rId18" w:history="1">
        <w:proofErr w:type="spellStart"/>
        <w:r w:rsidRPr="005B6A34">
          <w:rPr>
            <w:rStyle w:val="Hipervnculo"/>
            <w:rFonts w:ascii="Open Sans" w:hAnsi="Open Sans" w:cs="Open Sans"/>
            <w:color w:val="1155CC"/>
            <w:sz w:val="22"/>
            <w:szCs w:val="22"/>
          </w:rPr>
          <w:t>habitaclia</w:t>
        </w:r>
        <w:proofErr w:type="spellEnd"/>
      </w:hyperlink>
      <w:r w:rsidRPr="005B6A34">
        <w:rPr>
          <w:rFonts w:ascii="Open Sans" w:hAnsi="Open Sans" w:cs="Open Sans"/>
          <w:color w:val="000000"/>
          <w:sz w:val="22"/>
          <w:szCs w:val="22"/>
        </w:rPr>
        <w:t>), empleo (</w:t>
      </w:r>
      <w:hyperlink r:id="rId19" w:history="1">
        <w:r w:rsidRPr="005B6A34">
          <w:rPr>
            <w:rStyle w:val="Hipervnculo"/>
            <w:rFonts w:ascii="Open Sans" w:hAnsi="Open Sans" w:cs="Open Sans"/>
            <w:color w:val="1155CC"/>
            <w:sz w:val="22"/>
            <w:szCs w:val="22"/>
          </w:rPr>
          <w:t>InfoJobs</w:t>
        </w:r>
      </w:hyperlink>
      <w:r w:rsidRPr="005B6A34">
        <w:rPr>
          <w:rFonts w:ascii="Open Sans" w:hAnsi="Open Sans" w:cs="Open Sans"/>
          <w:color w:val="000000"/>
          <w:sz w:val="22"/>
          <w:szCs w:val="22"/>
        </w:rPr>
        <w:t>), motor (</w:t>
      </w:r>
      <w:hyperlink r:id="rId20" w:history="1">
        <w:r w:rsidRPr="005B6A34">
          <w:rPr>
            <w:rStyle w:val="Hipervnculo"/>
            <w:rFonts w:ascii="Open Sans" w:hAnsi="Open Sans" w:cs="Open Sans"/>
            <w:color w:val="1155CC"/>
            <w:sz w:val="22"/>
            <w:szCs w:val="22"/>
          </w:rPr>
          <w:t>coches.net</w:t>
        </w:r>
      </w:hyperlink>
      <w:r w:rsidRPr="005B6A34">
        <w:rPr>
          <w:rFonts w:ascii="Open Sans" w:hAnsi="Open Sans" w:cs="Open Sans"/>
          <w:color w:val="231F20"/>
          <w:sz w:val="22"/>
          <w:szCs w:val="22"/>
        </w:rPr>
        <w:t xml:space="preserve"> </w:t>
      </w:r>
      <w:r w:rsidRPr="005B6A34">
        <w:rPr>
          <w:rFonts w:ascii="Open Sans" w:hAnsi="Open Sans" w:cs="Open Sans"/>
          <w:color w:val="000000"/>
          <w:sz w:val="22"/>
          <w:szCs w:val="22"/>
        </w:rPr>
        <w:t>y</w:t>
      </w:r>
      <w:r w:rsidRPr="005B6A34">
        <w:rPr>
          <w:rFonts w:ascii="Open Sans" w:hAnsi="Open Sans" w:cs="Open Sans"/>
          <w:color w:val="231F20"/>
          <w:sz w:val="22"/>
          <w:szCs w:val="22"/>
        </w:rPr>
        <w:t xml:space="preserve"> </w:t>
      </w:r>
      <w:hyperlink r:id="rId21" w:history="1">
        <w:r w:rsidRPr="005B6A34">
          <w:rPr>
            <w:rStyle w:val="Hipervnculo"/>
            <w:rFonts w:ascii="Open Sans" w:hAnsi="Open Sans" w:cs="Open Sans"/>
            <w:color w:val="1155CC"/>
            <w:sz w:val="22"/>
            <w:szCs w:val="22"/>
          </w:rPr>
          <w:t>motos.net</w:t>
        </w:r>
      </w:hyperlink>
      <w:r w:rsidRPr="005B6A34">
        <w:rPr>
          <w:rFonts w:ascii="Open Sans" w:hAnsi="Open Sans" w:cs="Open Sans"/>
          <w:color w:val="000000"/>
          <w:sz w:val="22"/>
          <w:szCs w:val="22"/>
        </w:rPr>
        <w:t>) y compraventa de artículos de segunda mano (</w:t>
      </w:r>
      <w:proofErr w:type="spellStart"/>
      <w:r w:rsidRPr="005B6A34">
        <w:rPr>
          <w:rFonts w:ascii="Open Sans" w:hAnsi="Open Sans" w:cs="Open Sans"/>
        </w:rPr>
        <w:fldChar w:fldCharType="begin"/>
      </w:r>
      <w:r w:rsidRPr="005B6A34">
        <w:rPr>
          <w:rFonts w:ascii="Open Sans" w:hAnsi="Open Sans" w:cs="Open Sans"/>
        </w:rPr>
        <w:instrText xml:space="preserve"> HYPERLINK "https://www.milanuncios.com/" </w:instrText>
      </w:r>
      <w:r w:rsidRPr="005B6A34">
        <w:rPr>
          <w:rFonts w:ascii="Open Sans" w:hAnsi="Open Sans" w:cs="Open Sans"/>
        </w:rPr>
        <w:fldChar w:fldCharType="separate"/>
      </w:r>
      <w:r w:rsidRPr="005B6A34">
        <w:rPr>
          <w:rStyle w:val="Hipervnculo"/>
          <w:rFonts w:ascii="Open Sans" w:hAnsi="Open Sans" w:cs="Open Sans"/>
          <w:color w:val="1155CC"/>
          <w:sz w:val="22"/>
          <w:szCs w:val="22"/>
        </w:rPr>
        <w:t>Milanuncios</w:t>
      </w:r>
      <w:proofErr w:type="spellEnd"/>
      <w:r w:rsidRPr="005B6A34">
        <w:rPr>
          <w:rFonts w:ascii="Open Sans" w:hAnsi="Open Sans" w:cs="Open Sans"/>
        </w:rPr>
        <w:fldChar w:fldCharType="end"/>
      </w:r>
      <w:r w:rsidRPr="005B6A34">
        <w:rPr>
          <w:rFonts w:ascii="Open Sans" w:hAnsi="Open Sans" w:cs="Open Sans"/>
          <w:color w:val="000000"/>
          <w:sz w:val="22"/>
          <w:szCs w:val="22"/>
        </w:rPr>
        <w:t>).</w:t>
      </w:r>
    </w:p>
    <w:p w14:paraId="7E655E01" w14:textId="77777777" w:rsidR="005B6A34" w:rsidRPr="005B6A34" w:rsidRDefault="005B6A34" w:rsidP="005B6A34">
      <w:pPr>
        <w:pStyle w:val="NormalWeb"/>
        <w:spacing w:before="0" w:beforeAutospacing="0" w:after="160" w:afterAutospacing="0"/>
        <w:ind w:right="-716"/>
        <w:jc w:val="both"/>
        <w:rPr>
          <w:rFonts w:ascii="Open Sans" w:hAnsi="Open Sans" w:cs="Open Sans"/>
        </w:rPr>
      </w:pPr>
      <w:r w:rsidRPr="005B6A34">
        <w:rPr>
          <w:rFonts w:ascii="Open Sans" w:hAnsi="Open Sans" w:cs="Open Sans"/>
          <w:color w:val="000000"/>
          <w:sz w:val="22"/>
          <w:szCs w:val="22"/>
        </w:rPr>
        <w:t xml:space="preserve">Los negocios de </w:t>
      </w:r>
      <w:proofErr w:type="spellStart"/>
      <w:r w:rsidRPr="005B6A34">
        <w:rPr>
          <w:rFonts w:ascii="Open Sans" w:hAnsi="Open Sans" w:cs="Open Sans"/>
          <w:color w:val="000000"/>
          <w:sz w:val="22"/>
          <w:szCs w:val="22"/>
        </w:rPr>
        <w:t>Adevinta</w:t>
      </w:r>
      <w:proofErr w:type="spellEnd"/>
      <w:r w:rsidRPr="005B6A34">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1D45290" w14:textId="77777777" w:rsidR="005B6A34" w:rsidRPr="005B6A34" w:rsidRDefault="005B6A34" w:rsidP="005B6A34">
      <w:pPr>
        <w:pStyle w:val="NormalWeb"/>
        <w:spacing w:before="0" w:beforeAutospacing="0" w:after="160" w:afterAutospacing="0"/>
        <w:ind w:right="-716"/>
        <w:jc w:val="both"/>
        <w:rPr>
          <w:rFonts w:ascii="Open Sans" w:hAnsi="Open Sans" w:cs="Open Sans"/>
        </w:rPr>
      </w:pPr>
      <w:proofErr w:type="spellStart"/>
      <w:r w:rsidRPr="005B6A34">
        <w:rPr>
          <w:rFonts w:ascii="Open Sans" w:hAnsi="Open Sans" w:cs="Open Sans"/>
          <w:color w:val="000000"/>
          <w:sz w:val="22"/>
          <w:szCs w:val="22"/>
        </w:rPr>
        <w:t>Adevinta</w:t>
      </w:r>
      <w:proofErr w:type="spellEnd"/>
      <w:r w:rsidRPr="005B6A34">
        <w:rPr>
          <w:rFonts w:ascii="Open Sans" w:hAnsi="Open Sans" w:cs="Open Sans"/>
          <w:color w:val="000000"/>
          <w:sz w:val="22"/>
          <w:szCs w:val="22"/>
        </w:rPr>
        <w:t xml:space="preserve"> tiene presencia mundial en 14 países. El conjunto de sus plataformas locales recibe un promedio de 1.300 millones de visitas cada mes. </w:t>
      </w:r>
    </w:p>
    <w:p w14:paraId="19701E14" w14:textId="77777777" w:rsidR="005B6A34" w:rsidRPr="005B6A34" w:rsidRDefault="005B6A34" w:rsidP="005B6A34">
      <w:pPr>
        <w:pStyle w:val="NormalWeb"/>
        <w:spacing w:before="0" w:beforeAutospacing="0" w:after="160" w:afterAutospacing="0"/>
        <w:ind w:right="-716"/>
        <w:jc w:val="both"/>
        <w:rPr>
          <w:rFonts w:ascii="Open Sans" w:hAnsi="Open Sans" w:cs="Open Sans"/>
        </w:rPr>
      </w:pPr>
      <w:r w:rsidRPr="005B6A34">
        <w:rPr>
          <w:rFonts w:ascii="Open Sans" w:hAnsi="Open Sans" w:cs="Open Sans"/>
          <w:color w:val="000000"/>
          <w:sz w:val="22"/>
          <w:szCs w:val="22"/>
        </w:rPr>
        <w:t xml:space="preserve">Más información en </w:t>
      </w:r>
      <w:hyperlink r:id="rId22" w:history="1">
        <w:r w:rsidRPr="005B6A34">
          <w:rPr>
            <w:rStyle w:val="Hipervnculo"/>
            <w:rFonts w:ascii="Open Sans" w:hAnsi="Open Sans" w:cs="Open Sans"/>
            <w:color w:val="1155CC"/>
            <w:sz w:val="22"/>
            <w:szCs w:val="22"/>
          </w:rPr>
          <w:t>adevinta.es</w:t>
        </w:r>
      </w:hyperlink>
    </w:p>
    <w:p w14:paraId="224A630B" w14:textId="77777777" w:rsidR="00110091" w:rsidRDefault="00110091">
      <w:pPr>
        <w:spacing w:line="276" w:lineRule="auto"/>
        <w:ind w:right="-716"/>
        <w:rPr>
          <w:rFonts w:ascii="Open Sans Light" w:eastAsia="Open Sans Light" w:hAnsi="Open Sans Light" w:cs="Open Sans Light"/>
          <w:b/>
          <w:color w:val="303AB2"/>
          <w:sz w:val="28"/>
          <w:szCs w:val="28"/>
        </w:rPr>
      </w:pPr>
    </w:p>
    <w:p w14:paraId="1AC66528" w14:textId="77777777" w:rsidR="00110091" w:rsidRDefault="00110091">
      <w:pPr>
        <w:spacing w:line="276" w:lineRule="auto"/>
        <w:ind w:right="-716"/>
        <w:rPr>
          <w:rFonts w:ascii="Open Sans Light" w:eastAsia="Open Sans Light" w:hAnsi="Open Sans Light" w:cs="Open Sans Light"/>
          <w:b/>
          <w:color w:val="303AB2"/>
          <w:sz w:val="22"/>
          <w:szCs w:val="22"/>
        </w:rPr>
      </w:pPr>
    </w:p>
    <w:p w14:paraId="48235FEF" w14:textId="77777777" w:rsidR="00110091" w:rsidRDefault="000413C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10243AB4" w14:textId="77777777" w:rsidR="00110091" w:rsidRDefault="000413C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 xml:space="preserve">                         Anaïs López </w:t>
      </w:r>
    </w:p>
    <w:p w14:paraId="58ECCDED" w14:textId="4CD5D16C" w:rsidR="00110091" w:rsidRPr="005B6A34" w:rsidRDefault="000413C0">
      <w:pPr>
        <w:shd w:val="clear" w:color="auto" w:fill="FFFFFF"/>
        <w:spacing w:line="276" w:lineRule="auto"/>
        <w:ind w:right="-716"/>
        <w:rPr>
          <w:rFonts w:ascii="Open Sans" w:eastAsia="Open Sans" w:hAnsi="Open Sans" w:cs="Open Sans"/>
          <w:color w:val="0000FF"/>
          <w:sz w:val="22"/>
          <w:szCs w:val="22"/>
        </w:rPr>
      </w:pPr>
      <w:hyperlink r:id="rId23">
        <w:r>
          <w:rPr>
            <w:rFonts w:ascii="Open Sans" w:eastAsia="Open Sans" w:hAnsi="Open Sans" w:cs="Open Sans"/>
            <w:color w:val="0000FF"/>
            <w:sz w:val="22"/>
            <w:szCs w:val="22"/>
            <w:u w:val="single"/>
          </w:rPr>
          <w:t>rtorne@llorenteycuenca.com</w:t>
        </w:r>
      </w:hyperlink>
      <w:r w:rsidR="005B6A34">
        <w:rPr>
          <w:rFonts w:ascii="Open Sans" w:eastAsia="Open Sans" w:hAnsi="Open Sans" w:cs="Open Sans"/>
          <w:color w:val="0000FF"/>
          <w:sz w:val="22"/>
          <w:szCs w:val="22"/>
        </w:rPr>
        <w:t xml:space="preserve">                                                            </w:t>
      </w:r>
      <w:hyperlink r:id="rId24">
        <w:r>
          <w:rPr>
            <w:rFonts w:ascii="Open Sans" w:eastAsia="Open Sans" w:hAnsi="Open Sans" w:cs="Open Sans"/>
            <w:color w:val="0000FF"/>
            <w:sz w:val="22"/>
            <w:szCs w:val="22"/>
            <w:u w:val="single"/>
          </w:rPr>
          <w:t>comunicacion@fotocasa.es</w:t>
        </w:r>
      </w:hyperlink>
    </w:p>
    <w:p w14:paraId="0FA4E254" w14:textId="77777777" w:rsidR="00110091" w:rsidRDefault="000413C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438B7334" w14:textId="77777777" w:rsidR="00110091" w:rsidRDefault="000413C0">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7CF5EB1" w14:textId="77777777" w:rsidR="00110091" w:rsidRDefault="000413C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49708D1C" w14:textId="77777777" w:rsidR="00110091" w:rsidRDefault="000413C0">
      <w:pPr>
        <w:shd w:val="clear" w:color="auto" w:fill="FFFFFF"/>
        <w:ind w:right="-716"/>
        <w:rPr>
          <w:rFonts w:ascii="Open Sans" w:eastAsia="Open Sans" w:hAnsi="Open Sans" w:cs="Open Sans"/>
          <w:b/>
          <w:color w:val="000000"/>
          <w:sz w:val="22"/>
          <w:szCs w:val="22"/>
        </w:rPr>
      </w:pPr>
      <w:hyperlink r:id="rId25">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DE238B8" w14:textId="77777777" w:rsidR="00110091" w:rsidRDefault="000413C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6AA6EAF8" w14:textId="77777777" w:rsidR="00110091" w:rsidRDefault="00110091">
      <w:pPr>
        <w:shd w:val="clear" w:color="auto" w:fill="FFFFFF"/>
        <w:ind w:right="-716"/>
        <w:rPr>
          <w:rFonts w:ascii="Open Sans" w:eastAsia="Open Sans" w:hAnsi="Open Sans" w:cs="Open Sans"/>
          <w:color w:val="000000"/>
          <w:sz w:val="22"/>
          <w:szCs w:val="22"/>
        </w:rPr>
      </w:pPr>
    </w:p>
    <w:p w14:paraId="20911D50" w14:textId="77777777" w:rsidR="00110091" w:rsidRDefault="000413C0">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7A1E4B25" w14:textId="77777777" w:rsidR="00110091" w:rsidRDefault="000413C0">
      <w:pPr>
        <w:shd w:val="clear" w:color="auto" w:fill="FFFFFF"/>
        <w:ind w:right="-716"/>
        <w:rPr>
          <w:rFonts w:ascii="Open Sans" w:eastAsia="Open Sans" w:hAnsi="Open Sans" w:cs="Open Sans"/>
          <w:b/>
          <w:color w:val="000000"/>
          <w:sz w:val="22"/>
          <w:szCs w:val="22"/>
        </w:rPr>
      </w:pPr>
      <w:hyperlink r:id="rId26">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7735B669" w14:textId="77777777" w:rsidR="00110091" w:rsidRDefault="000413C0">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62A3D09B" w14:textId="77777777" w:rsidR="00110091" w:rsidRDefault="00110091">
      <w:pPr>
        <w:shd w:val="clear" w:color="auto" w:fill="FFFFFF"/>
        <w:spacing w:line="276" w:lineRule="auto"/>
        <w:ind w:right="-716"/>
        <w:jc w:val="both"/>
        <w:rPr>
          <w:rFonts w:ascii="Open Sans" w:eastAsia="Open Sans" w:hAnsi="Open Sans" w:cs="Open Sans"/>
          <w:color w:val="000000"/>
        </w:rPr>
      </w:pPr>
    </w:p>
    <w:p w14:paraId="4186AAE4" w14:textId="77777777" w:rsidR="00110091" w:rsidRDefault="00110091">
      <w:pPr>
        <w:spacing w:line="276" w:lineRule="auto"/>
        <w:ind w:right="-574"/>
        <w:jc w:val="right"/>
        <w:rPr>
          <w:rFonts w:ascii="Open Sans" w:eastAsia="Open Sans" w:hAnsi="Open Sans" w:cs="Open Sans"/>
          <w:color w:val="000000"/>
          <w:sz w:val="21"/>
          <w:szCs w:val="21"/>
        </w:rPr>
      </w:pPr>
    </w:p>
    <w:sectPr w:rsidR="00110091">
      <w:headerReference w:type="default" r:id="rId27"/>
      <w:footerReference w:type="default" r:id="rId28"/>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C702" w14:textId="77777777" w:rsidR="000413C0" w:rsidRDefault="000413C0">
      <w:r>
        <w:separator/>
      </w:r>
    </w:p>
  </w:endnote>
  <w:endnote w:type="continuationSeparator" w:id="0">
    <w:p w14:paraId="3AFC16C3" w14:textId="77777777" w:rsidR="000413C0" w:rsidRDefault="0004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64FE" w14:textId="77777777" w:rsidR="00110091" w:rsidRDefault="000413C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3EE759C9" wp14:editId="4C6C3FD9">
          <wp:simplePos x="0" y="0"/>
          <wp:positionH relativeFrom="column">
            <wp:posOffset>-1068068</wp:posOffset>
          </wp:positionH>
          <wp:positionV relativeFrom="paragraph">
            <wp:posOffset>174608</wp:posOffset>
          </wp:positionV>
          <wp:extent cx="7670550" cy="451315"/>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5878" w14:textId="77777777" w:rsidR="000413C0" w:rsidRDefault="000413C0">
      <w:r>
        <w:separator/>
      </w:r>
    </w:p>
  </w:footnote>
  <w:footnote w:type="continuationSeparator" w:id="0">
    <w:p w14:paraId="27EAF86F" w14:textId="77777777" w:rsidR="000413C0" w:rsidRDefault="00041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3C98" w14:textId="77777777" w:rsidR="00110091" w:rsidRDefault="000413C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6101F759" wp14:editId="237AF3CA">
          <wp:simplePos x="0" y="0"/>
          <wp:positionH relativeFrom="column">
            <wp:posOffset>-1121132</wp:posOffset>
          </wp:positionH>
          <wp:positionV relativeFrom="paragraph">
            <wp:posOffset>225177</wp:posOffset>
          </wp:positionV>
          <wp:extent cx="7581265" cy="1019175"/>
          <wp:effectExtent l="0" t="0" r="0" b="0"/>
          <wp:wrapNone/>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30A4602C" w14:textId="77777777" w:rsidR="00110091" w:rsidRDefault="00110091">
    <w:pPr>
      <w:pBdr>
        <w:top w:val="nil"/>
        <w:left w:val="nil"/>
        <w:bottom w:val="nil"/>
        <w:right w:val="nil"/>
        <w:between w:val="nil"/>
      </w:pBdr>
      <w:tabs>
        <w:tab w:val="center" w:pos="4252"/>
        <w:tab w:val="right" w:pos="8504"/>
      </w:tabs>
      <w:rPr>
        <w:color w:val="000000"/>
      </w:rPr>
    </w:pPr>
  </w:p>
  <w:p w14:paraId="2D0A405E" w14:textId="77777777" w:rsidR="00110091" w:rsidRDefault="00110091">
    <w:pPr>
      <w:pBdr>
        <w:top w:val="nil"/>
        <w:left w:val="nil"/>
        <w:bottom w:val="nil"/>
        <w:right w:val="nil"/>
        <w:between w:val="nil"/>
      </w:pBdr>
      <w:tabs>
        <w:tab w:val="center" w:pos="4252"/>
        <w:tab w:val="right" w:pos="8504"/>
      </w:tabs>
      <w:rPr>
        <w:color w:val="000000"/>
      </w:rPr>
    </w:pPr>
  </w:p>
  <w:p w14:paraId="7D541B74" w14:textId="77777777" w:rsidR="00110091" w:rsidRDefault="00110091">
    <w:pPr>
      <w:pBdr>
        <w:top w:val="nil"/>
        <w:left w:val="nil"/>
        <w:bottom w:val="nil"/>
        <w:right w:val="nil"/>
        <w:between w:val="nil"/>
      </w:pBdr>
      <w:tabs>
        <w:tab w:val="center" w:pos="4252"/>
        <w:tab w:val="right" w:pos="8504"/>
      </w:tabs>
      <w:rPr>
        <w:color w:val="000000"/>
      </w:rPr>
    </w:pPr>
  </w:p>
  <w:p w14:paraId="1EAE3205" w14:textId="77777777" w:rsidR="00110091" w:rsidRDefault="00110091">
    <w:pPr>
      <w:pBdr>
        <w:top w:val="nil"/>
        <w:left w:val="nil"/>
        <w:bottom w:val="nil"/>
        <w:right w:val="nil"/>
        <w:between w:val="nil"/>
      </w:pBdr>
      <w:tabs>
        <w:tab w:val="center" w:pos="4252"/>
        <w:tab w:val="right" w:pos="8504"/>
      </w:tabs>
      <w:rPr>
        <w:color w:val="000000"/>
      </w:rPr>
    </w:pPr>
  </w:p>
  <w:p w14:paraId="1BC1AD7B" w14:textId="77777777" w:rsidR="00110091" w:rsidRDefault="00110091">
    <w:pPr>
      <w:pBdr>
        <w:top w:val="nil"/>
        <w:left w:val="nil"/>
        <w:bottom w:val="nil"/>
        <w:right w:val="nil"/>
        <w:between w:val="nil"/>
      </w:pBdr>
      <w:tabs>
        <w:tab w:val="center" w:pos="4252"/>
        <w:tab w:val="right" w:pos="8504"/>
      </w:tabs>
      <w:rPr>
        <w:color w:val="000000"/>
      </w:rPr>
    </w:pPr>
  </w:p>
  <w:p w14:paraId="7028FBFB" w14:textId="77777777" w:rsidR="00110091" w:rsidRDefault="00110091">
    <w:pPr>
      <w:pBdr>
        <w:top w:val="nil"/>
        <w:left w:val="nil"/>
        <w:bottom w:val="nil"/>
        <w:right w:val="nil"/>
        <w:between w:val="nil"/>
      </w:pBdr>
      <w:tabs>
        <w:tab w:val="center" w:pos="4252"/>
        <w:tab w:val="right" w:pos="8504"/>
      </w:tabs>
      <w:rPr>
        <w:color w:val="000000"/>
      </w:rPr>
    </w:pPr>
  </w:p>
  <w:p w14:paraId="6F57C424" w14:textId="77777777" w:rsidR="00110091" w:rsidRDefault="00110091">
    <w:pPr>
      <w:pBdr>
        <w:top w:val="nil"/>
        <w:left w:val="nil"/>
        <w:bottom w:val="nil"/>
        <w:right w:val="nil"/>
        <w:between w:val="nil"/>
      </w:pBdr>
      <w:tabs>
        <w:tab w:val="center" w:pos="4252"/>
        <w:tab w:val="right" w:pos="8504"/>
      </w:tabs>
      <w:rPr>
        <w:color w:val="000000"/>
      </w:rPr>
    </w:pPr>
  </w:p>
  <w:p w14:paraId="150C91F1" w14:textId="77777777" w:rsidR="00110091" w:rsidRDefault="0011009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46AB5"/>
    <w:multiLevelType w:val="multilevel"/>
    <w:tmpl w:val="CB06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784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91"/>
    <w:rsid w:val="000413C0"/>
    <w:rsid w:val="00110091"/>
    <w:rsid w:val="003B0AC2"/>
    <w:rsid w:val="005B6A34"/>
    <w:rsid w:val="00F30A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C10E"/>
  <w15:docId w15:val="{976FA1B8-D768-487C-9C74-BE798238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5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image" Target="media/image4.png"/><Relationship Id="rId18" Type="http://schemas.openxmlformats.org/officeDocument/2006/relationships/hyperlink" Target="https://www.habitaclia.com/" TargetMode="External"/><Relationship Id="rId26" Type="http://schemas.openxmlformats.org/officeDocument/2006/relationships/hyperlink" Target="mailto:piglesias@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u7DCrCBTeLFSFSgEyQqoZ+JeA==">AMUW2mUkmrWqSOh9r/PR3UI8Kf6G6f+obWudOncYu2spZ0Nk5NzpFt7sA7idKcOtcuSd4/ZhiYgitW64YhfP6/KsgHnbnx2yvD3Cq9PRftVHNLqvFqinSLkiR6XgUqUPcrjXvxRhvZVk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1275</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2022-04-21T07:41:00Z</dcterms:created>
  <dcterms:modified xsi:type="dcterms:W3CDTF">2022-05-24T10:00:00Z</dcterms:modified>
</cp:coreProperties>
</file>