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87918" w14:textId="77777777" w:rsidR="00C14AFD" w:rsidRDefault="00177C6C">
      <w:pPr>
        <w:spacing w:line="240" w:lineRule="auto"/>
        <w:rPr>
          <w:rFonts w:ascii="Calibri" w:eastAsia="Calibri" w:hAnsi="Calibri" w:cs="Calibri"/>
          <w:sz w:val="24"/>
          <w:szCs w:val="24"/>
        </w:rPr>
      </w:pPr>
      <w:r>
        <w:rPr>
          <w:noProof/>
        </w:rPr>
        <w:drawing>
          <wp:anchor distT="0" distB="0" distL="0" distR="0" simplePos="0" relativeHeight="251658240" behindDoc="0" locked="0" layoutInCell="1" hidden="0" allowOverlap="1" wp14:anchorId="7EF9457A" wp14:editId="3BEB6476">
            <wp:simplePos x="0" y="0"/>
            <wp:positionH relativeFrom="column">
              <wp:posOffset>-1056058</wp:posOffset>
            </wp:positionH>
            <wp:positionV relativeFrom="paragraph">
              <wp:posOffset>-346327</wp:posOffset>
            </wp:positionV>
            <wp:extent cx="7711147" cy="1037167"/>
            <wp:effectExtent l="0" t="0" r="0" b="0"/>
            <wp:wrapSquare wrapText="bothSides" distT="0" distB="0" distL="0" distR="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7711147" cy="1037167"/>
                    </a:xfrm>
                    <a:prstGeom prst="rect">
                      <a:avLst/>
                    </a:prstGeom>
                    <a:ln/>
                  </pic:spPr>
                </pic:pic>
              </a:graphicData>
            </a:graphic>
          </wp:anchor>
        </w:drawing>
      </w:r>
    </w:p>
    <w:p w14:paraId="2ECA573A" w14:textId="77777777" w:rsidR="00C14AFD" w:rsidRDefault="00C14AFD">
      <w:pPr>
        <w:spacing w:line="240" w:lineRule="auto"/>
        <w:jc w:val="right"/>
        <w:rPr>
          <w:rFonts w:ascii="National" w:eastAsia="National" w:hAnsi="National" w:cs="National"/>
          <w:color w:val="303AB2"/>
          <w:sz w:val="36"/>
          <w:szCs w:val="36"/>
        </w:rPr>
      </w:pPr>
    </w:p>
    <w:p w14:paraId="238106D1" w14:textId="77777777" w:rsidR="00C14AFD" w:rsidRDefault="00177C6C">
      <w:pPr>
        <w:shd w:val="clear" w:color="auto" w:fill="FFFFFF"/>
        <w:spacing w:after="225"/>
        <w:ind w:left="708"/>
        <w:jc w:val="center"/>
        <w:rPr>
          <w:rFonts w:ascii="National" w:eastAsia="National" w:hAnsi="National" w:cs="National"/>
          <w:b/>
          <w:color w:val="303AB2"/>
          <w:sz w:val="44"/>
          <w:szCs w:val="44"/>
        </w:rPr>
      </w:pPr>
      <w:r>
        <w:rPr>
          <w:rFonts w:ascii="National" w:eastAsia="National" w:hAnsi="National" w:cs="National"/>
          <w:b/>
          <w:color w:val="303AB2"/>
          <w:sz w:val="44"/>
          <w:szCs w:val="44"/>
        </w:rPr>
        <w:t xml:space="preserve"> El anuncio de la subida de tipos ya frena la firma de créditos hipotecarios</w:t>
      </w:r>
    </w:p>
    <w:p w14:paraId="27EF42FD" w14:textId="77777777" w:rsidR="00C14AFD" w:rsidRDefault="00C14AFD">
      <w:pPr>
        <w:ind w:left="644" w:right="-574"/>
        <w:jc w:val="both"/>
        <w:rPr>
          <w:rFonts w:ascii="Open Sans" w:eastAsia="Open Sans" w:hAnsi="Open Sans" w:cs="Open Sans"/>
        </w:rPr>
      </w:pPr>
    </w:p>
    <w:p w14:paraId="20E9AD31" w14:textId="77777777" w:rsidR="00C14AFD" w:rsidRDefault="00177C6C">
      <w:pPr>
        <w:shd w:val="clear" w:color="auto" w:fill="FFFFFF"/>
        <w:spacing w:after="225"/>
        <w:jc w:val="both"/>
        <w:rPr>
          <w:rFonts w:ascii="Open Sans" w:eastAsia="Open Sans" w:hAnsi="Open Sans" w:cs="Open Sans"/>
          <w:sz w:val="18"/>
          <w:szCs w:val="18"/>
        </w:rPr>
      </w:pPr>
      <w:r>
        <w:rPr>
          <w:rFonts w:ascii="Open Sans" w:eastAsia="Open Sans" w:hAnsi="Open Sans" w:cs="Open Sans"/>
          <w:b/>
          <w:color w:val="303AB2"/>
        </w:rPr>
        <w:t>Madrid, 24 de junio de 2022</w:t>
      </w:r>
    </w:p>
    <w:p w14:paraId="3FA5FD01" w14:textId="77777777" w:rsidR="00C14AFD" w:rsidRDefault="00177C6C">
      <w:pPr>
        <w:shd w:val="clear" w:color="auto" w:fill="FFFFFF"/>
        <w:spacing w:before="280" w:after="280"/>
        <w:jc w:val="both"/>
        <w:rPr>
          <w:rFonts w:ascii="Open Sans" w:eastAsia="Open Sans" w:hAnsi="Open Sans" w:cs="Open Sans"/>
          <w:sz w:val="21"/>
          <w:szCs w:val="21"/>
        </w:rPr>
      </w:pPr>
      <w:r>
        <w:rPr>
          <w:rFonts w:ascii="Open Sans" w:eastAsia="Open Sans" w:hAnsi="Open Sans" w:cs="Open Sans"/>
          <w:sz w:val="21"/>
          <w:szCs w:val="21"/>
        </w:rPr>
        <w:t>Los datos de Hipotecas correspondientes al pasado mes de abril dados a conocer hoy por el INE, reflejan un descenso mensual del -</w:t>
      </w:r>
      <w:r>
        <w:rPr>
          <w:rFonts w:ascii="Open Sans" w:eastAsia="Open Sans" w:hAnsi="Open Sans" w:cs="Open Sans"/>
          <w:b/>
          <w:sz w:val="21"/>
          <w:szCs w:val="21"/>
        </w:rPr>
        <w:t>22,9%</w:t>
      </w:r>
      <w:r>
        <w:rPr>
          <w:rFonts w:ascii="Open Sans" w:eastAsia="Open Sans" w:hAnsi="Open Sans" w:cs="Open Sans"/>
          <w:sz w:val="21"/>
          <w:szCs w:val="21"/>
        </w:rPr>
        <w:t xml:space="preserve">, y una subida interanual del </w:t>
      </w:r>
      <w:r>
        <w:rPr>
          <w:rFonts w:ascii="Open Sans" w:eastAsia="Open Sans" w:hAnsi="Open Sans" w:cs="Open Sans"/>
          <w:b/>
          <w:sz w:val="21"/>
          <w:szCs w:val="21"/>
        </w:rPr>
        <w:t>4,5%</w:t>
      </w:r>
      <w:r>
        <w:rPr>
          <w:rFonts w:ascii="Open Sans" w:eastAsia="Open Sans" w:hAnsi="Open Sans" w:cs="Open Sans"/>
          <w:sz w:val="21"/>
          <w:szCs w:val="21"/>
        </w:rPr>
        <w:t>, encadenando catorce meses de incrementos interanuales consecutivos superando las 30.00</w:t>
      </w:r>
      <w:r>
        <w:rPr>
          <w:rFonts w:ascii="Open Sans" w:eastAsia="Open Sans" w:hAnsi="Open Sans" w:cs="Open Sans"/>
          <w:sz w:val="21"/>
          <w:szCs w:val="21"/>
        </w:rPr>
        <w:t xml:space="preserve">0 hipotecas firmadas. </w:t>
      </w:r>
    </w:p>
    <w:p w14:paraId="5DE7DEC9" w14:textId="3CB97C69" w:rsidR="00C14AFD" w:rsidRDefault="00177C6C">
      <w:pPr>
        <w:shd w:val="clear" w:color="auto" w:fill="FFFFFF"/>
        <w:spacing w:before="280" w:after="280"/>
        <w:jc w:val="both"/>
        <w:rPr>
          <w:rFonts w:ascii="Open Sans" w:eastAsia="Open Sans" w:hAnsi="Open Sans" w:cs="Open Sans"/>
          <w:sz w:val="21"/>
          <w:szCs w:val="21"/>
        </w:rPr>
      </w:pPr>
      <w:r>
        <w:rPr>
          <w:rFonts w:ascii="Open Sans" w:eastAsia="Open Sans" w:hAnsi="Open Sans" w:cs="Open Sans"/>
          <w:sz w:val="21"/>
          <w:szCs w:val="21"/>
        </w:rPr>
        <w:t xml:space="preserve">El pasado mes de abril </w:t>
      </w:r>
      <w:r>
        <w:rPr>
          <w:rFonts w:ascii="Open Sans" w:eastAsia="Open Sans" w:hAnsi="Open Sans" w:cs="Open Sans"/>
          <w:b/>
          <w:sz w:val="21"/>
          <w:szCs w:val="21"/>
        </w:rPr>
        <w:t>se firmaron 33.423 hipotecas constituyendo el mejor abril desde hace 12 años. “</w:t>
      </w:r>
      <w:r>
        <w:rPr>
          <w:rFonts w:ascii="Open Sans" w:eastAsia="Open Sans" w:hAnsi="Open Sans" w:cs="Open Sans"/>
          <w:sz w:val="21"/>
          <w:szCs w:val="21"/>
        </w:rPr>
        <w:t>Aunque este año continúa muy dinámico y mostrando una actividad similar a la que vivimos el ejercicio anterior de 2021, los datos r</w:t>
      </w:r>
      <w:r>
        <w:rPr>
          <w:rFonts w:ascii="Open Sans" w:eastAsia="Open Sans" w:hAnsi="Open Sans" w:cs="Open Sans"/>
          <w:sz w:val="21"/>
          <w:szCs w:val="21"/>
        </w:rPr>
        <w:t>eflejan una moderación en la tendencia del crecimiento que presentaba desde hace varios meses. “Siguen siendo cifras muy positivas, ya que superan los niveles del 2020 y nunca habíamos tenido un abril tan positivo desde el 2010. Aunque era de esperar que p</w:t>
      </w:r>
      <w:r>
        <w:rPr>
          <w:rFonts w:ascii="Open Sans" w:eastAsia="Open Sans" w:hAnsi="Open Sans" w:cs="Open Sans"/>
          <w:sz w:val="21"/>
          <w:szCs w:val="21"/>
        </w:rPr>
        <w:t>oco a poco fuesen templándose, debido al contexto de inflación desbocada que ocasiona que la tasa de ahorro de las familias se reduzca y al cambio de estrategia por parte de las entidades financieras, haciendo más atractivas las hipotecas variables y encar</w:t>
      </w:r>
      <w:r>
        <w:rPr>
          <w:rFonts w:ascii="Open Sans" w:eastAsia="Open Sans" w:hAnsi="Open Sans" w:cs="Open Sans"/>
          <w:sz w:val="21"/>
          <w:szCs w:val="21"/>
        </w:rPr>
        <w:t>eciendo las fijas, que han sido el gran producto estrella de 2021. Con un conflicto bélico en suelo europeo que no cesa, la primera subida de tipos de interés prevista para julio</w:t>
      </w:r>
      <w:r w:rsidR="00246050">
        <w:rPr>
          <w:rFonts w:ascii="Open Sans" w:eastAsia="Open Sans" w:hAnsi="Open Sans" w:cs="Open Sans"/>
          <w:sz w:val="21"/>
          <w:szCs w:val="21"/>
        </w:rPr>
        <w:t xml:space="preserve"> </w:t>
      </w:r>
      <w:r>
        <w:rPr>
          <w:rFonts w:ascii="Open Sans" w:eastAsia="Open Sans" w:hAnsi="Open Sans" w:cs="Open Sans"/>
          <w:sz w:val="21"/>
          <w:szCs w:val="21"/>
        </w:rPr>
        <w:t>tendrá un impacto directo en el sector inmobiliario a través del encarecimie</w:t>
      </w:r>
      <w:r>
        <w:rPr>
          <w:rFonts w:ascii="Open Sans" w:eastAsia="Open Sans" w:hAnsi="Open Sans" w:cs="Open Sans"/>
          <w:sz w:val="21"/>
          <w:szCs w:val="21"/>
        </w:rPr>
        <w:t>nto de los préstamos hipotecarios. Este cambio de tendencia probablemente frene poco a poco esta gran actividad inmobiliaria que llevamos registrando desde el último año. Sin embargo, la concesión de hipotecas continúa elevada pone de manifiesto el gran di</w:t>
      </w:r>
      <w:r>
        <w:rPr>
          <w:rFonts w:ascii="Open Sans" w:eastAsia="Open Sans" w:hAnsi="Open Sans" w:cs="Open Sans"/>
          <w:sz w:val="21"/>
          <w:szCs w:val="21"/>
        </w:rPr>
        <w:t xml:space="preserve">namismo que está viviendo el sector inmobiliario y, en concreto, la compra de vivienda que ha impulsado el sector dando por sentada la recuperación del inmobiliario en menos de dos años”, explica María Matos, directora de Estudios y Portavoz de </w:t>
      </w:r>
      <w:hyperlink r:id="rId8">
        <w:r>
          <w:rPr>
            <w:rFonts w:ascii="Open Sans" w:eastAsia="Open Sans" w:hAnsi="Open Sans" w:cs="Open Sans"/>
            <w:color w:val="1155CC"/>
            <w:sz w:val="21"/>
            <w:szCs w:val="21"/>
            <w:u w:val="single"/>
          </w:rPr>
          <w:t>Fotocasa</w:t>
        </w:r>
      </w:hyperlink>
      <w:r>
        <w:rPr>
          <w:rFonts w:ascii="Open Sans" w:eastAsia="Open Sans" w:hAnsi="Open Sans" w:cs="Open Sans"/>
          <w:sz w:val="21"/>
          <w:szCs w:val="21"/>
        </w:rPr>
        <w:t>.</w:t>
      </w:r>
    </w:p>
    <w:p w14:paraId="235AB38A" w14:textId="77777777" w:rsidR="00C14AFD" w:rsidRDefault="00177C6C">
      <w:pPr>
        <w:shd w:val="clear" w:color="auto" w:fill="FFFFFF"/>
        <w:spacing w:before="280" w:after="280"/>
        <w:jc w:val="both"/>
        <w:rPr>
          <w:rFonts w:ascii="Open Sans" w:eastAsia="Open Sans" w:hAnsi="Open Sans" w:cs="Open Sans"/>
          <w:sz w:val="21"/>
          <w:szCs w:val="21"/>
        </w:rPr>
      </w:pPr>
      <w:r>
        <w:rPr>
          <w:rFonts w:ascii="Open Sans" w:eastAsia="Open Sans" w:hAnsi="Open Sans" w:cs="Open Sans"/>
          <w:sz w:val="21"/>
          <w:szCs w:val="21"/>
        </w:rPr>
        <w:t xml:space="preserve">Además, un dato interesante es que </w:t>
      </w:r>
      <w:r>
        <w:rPr>
          <w:rFonts w:ascii="Open Sans" w:eastAsia="Open Sans" w:hAnsi="Open Sans" w:cs="Open Sans"/>
          <w:b/>
          <w:sz w:val="21"/>
          <w:szCs w:val="21"/>
        </w:rPr>
        <w:t>el 75,3% de las hipotecas sobre vivienda se constituyeron a tipo fijo y es uno de los porcentajes más altos de la serie histórica</w:t>
      </w:r>
      <w:r>
        <w:rPr>
          <w:rFonts w:ascii="Open Sans" w:eastAsia="Open Sans" w:hAnsi="Open Sans" w:cs="Open Sans"/>
          <w:sz w:val="21"/>
          <w:szCs w:val="21"/>
        </w:rPr>
        <w:t>. Asimismo, después del anuncio del cambio en las condiciones, el porcentaje de hipotecas a interés fijo aumenta del 22,9% al 4</w:t>
      </w:r>
      <w:r>
        <w:rPr>
          <w:rFonts w:ascii="Open Sans" w:eastAsia="Open Sans" w:hAnsi="Open Sans" w:cs="Open Sans"/>
          <w:sz w:val="21"/>
          <w:szCs w:val="21"/>
        </w:rPr>
        <w:t xml:space="preserve">8,4%, mientras que el de hipotecas a interés variable </w:t>
      </w:r>
      <w:r>
        <w:rPr>
          <w:rFonts w:ascii="Open Sans" w:eastAsia="Open Sans" w:hAnsi="Open Sans" w:cs="Open Sans"/>
          <w:sz w:val="21"/>
          <w:szCs w:val="21"/>
        </w:rPr>
        <w:lastRenderedPageBreak/>
        <w:t>disminuye del 75,8% al 48,9%. “Se produce un aumento de la firma a tipo fijo con respecto al mes anterior, fruto de la aceleración por parte de los ciudadanos para intentar sortear el aumento del precio</w:t>
      </w:r>
      <w:r>
        <w:rPr>
          <w:rFonts w:ascii="Open Sans" w:eastAsia="Open Sans" w:hAnsi="Open Sans" w:cs="Open Sans"/>
          <w:sz w:val="21"/>
          <w:szCs w:val="21"/>
        </w:rPr>
        <w:t xml:space="preserve"> en las hipotecas variables. </w:t>
      </w:r>
      <w:r>
        <w:rPr>
          <w:rFonts w:ascii="Open Sans" w:eastAsia="Open Sans" w:hAnsi="Open Sans" w:cs="Open Sans"/>
          <w:b/>
          <w:sz w:val="21"/>
          <w:szCs w:val="21"/>
        </w:rPr>
        <w:t>Esta concesión de hipotecas a tipo fijo es un claro reflejo de la incertidumbre que hay sobre el futuro del Euríbor que cerró en positivo en abril por primera vez en 6 años</w:t>
      </w:r>
      <w:r>
        <w:rPr>
          <w:rFonts w:ascii="Open Sans" w:eastAsia="Open Sans" w:hAnsi="Open Sans" w:cs="Open Sans"/>
          <w:sz w:val="21"/>
          <w:szCs w:val="21"/>
        </w:rPr>
        <w:t xml:space="preserve">. Muchas familias prefieren cerrar una hipoteca a tipo </w:t>
      </w:r>
      <w:r>
        <w:rPr>
          <w:rFonts w:ascii="Open Sans" w:eastAsia="Open Sans" w:hAnsi="Open Sans" w:cs="Open Sans"/>
          <w:sz w:val="21"/>
          <w:szCs w:val="21"/>
        </w:rPr>
        <w:t>fijo que enfrentarse a un posible encarecimiento de la cuota en un futuro”, comenta la directora de Estudios.</w:t>
      </w:r>
    </w:p>
    <w:p w14:paraId="69A68BE6" w14:textId="77777777" w:rsidR="00C14AFD" w:rsidRDefault="00177C6C">
      <w:pPr>
        <w:shd w:val="clear" w:color="auto" w:fill="FFFFFF"/>
        <w:spacing w:before="280" w:after="280"/>
        <w:jc w:val="both"/>
        <w:rPr>
          <w:rFonts w:ascii="Open Sans" w:eastAsia="Open Sans" w:hAnsi="Open Sans" w:cs="Open Sans"/>
          <w:sz w:val="21"/>
          <w:szCs w:val="21"/>
        </w:rPr>
      </w:pPr>
      <w:r>
        <w:rPr>
          <w:rFonts w:ascii="Open Sans" w:eastAsia="Open Sans" w:hAnsi="Open Sans" w:cs="Open Sans"/>
          <w:sz w:val="21"/>
          <w:szCs w:val="21"/>
        </w:rPr>
        <w:t xml:space="preserve">En España actualmente tres de cada cuatro compradores financiaron la operación de compra mediante alguna hipoteca. Concretamente, en 2021, el 74% </w:t>
      </w:r>
      <w:r>
        <w:rPr>
          <w:rFonts w:ascii="Open Sans" w:eastAsia="Open Sans" w:hAnsi="Open Sans" w:cs="Open Sans"/>
          <w:sz w:val="21"/>
          <w:szCs w:val="21"/>
        </w:rPr>
        <w:t xml:space="preserve">de los que quieren adquirir una vivienda solicitan un crédito. </w:t>
      </w:r>
      <w:r>
        <w:rPr>
          <w:rFonts w:ascii="Open Sans" w:eastAsia="Open Sans" w:hAnsi="Open Sans" w:cs="Open Sans"/>
        </w:rPr>
        <w:t>Es una de las principales conclusiones que se desprenden del informe “</w:t>
      </w:r>
      <w:hyperlink r:id="rId9">
        <w:r>
          <w:rPr>
            <w:rFonts w:ascii="Open Sans" w:eastAsia="Open Sans" w:hAnsi="Open Sans" w:cs="Open Sans"/>
            <w:b/>
            <w:color w:val="0000FF"/>
            <w:u w:val="single"/>
          </w:rPr>
          <w:t>Perfil d</w:t>
        </w:r>
        <w:r>
          <w:rPr>
            <w:rFonts w:ascii="Open Sans" w:eastAsia="Open Sans" w:hAnsi="Open Sans" w:cs="Open Sans"/>
            <w:b/>
            <w:color w:val="0000FF"/>
            <w:u w:val="single"/>
          </w:rPr>
          <w:t>el hipotecado español</w:t>
        </w:r>
      </w:hyperlink>
      <w:r>
        <w:rPr>
          <w:rFonts w:ascii="Open Sans" w:eastAsia="Open Sans" w:hAnsi="Open Sans" w:cs="Open Sans"/>
        </w:rPr>
        <w:t xml:space="preserve">” elaborado por </w:t>
      </w:r>
      <w:hyperlink r:id="rId10">
        <w:r>
          <w:rPr>
            <w:rFonts w:ascii="Open Sans" w:eastAsia="Open Sans" w:hAnsi="Open Sans" w:cs="Open Sans"/>
            <w:color w:val="0000FF"/>
            <w:u w:val="single"/>
          </w:rPr>
          <w:t>Fotoc</w:t>
        </w:r>
        <w:r>
          <w:rPr>
            <w:rFonts w:ascii="Open Sans" w:eastAsia="Open Sans" w:hAnsi="Open Sans" w:cs="Open Sans"/>
            <w:color w:val="0000FF"/>
            <w:u w:val="single"/>
          </w:rPr>
          <w:t>asa</w:t>
        </w:r>
      </w:hyperlink>
      <w:r>
        <w:rPr>
          <w:rFonts w:ascii="Open Sans" w:eastAsia="Open Sans" w:hAnsi="Open Sans" w:cs="Open Sans"/>
          <w:sz w:val="21"/>
          <w:szCs w:val="21"/>
        </w:rPr>
        <w:t xml:space="preserve">, en el que también se muestra que </w:t>
      </w:r>
      <w:r>
        <w:rPr>
          <w:rFonts w:ascii="Open Sans" w:eastAsia="Open Sans" w:hAnsi="Open Sans" w:cs="Open Sans"/>
          <w:b/>
          <w:sz w:val="21"/>
          <w:szCs w:val="21"/>
        </w:rPr>
        <w:t>la hipoteca a tipo fijo está al alza, ya que casi el 60% de los compradores optan por ella</w:t>
      </w:r>
      <w:r>
        <w:rPr>
          <w:rFonts w:ascii="Open Sans" w:eastAsia="Open Sans" w:hAnsi="Open Sans" w:cs="Open Sans"/>
          <w:sz w:val="21"/>
          <w:szCs w:val="21"/>
        </w:rPr>
        <w:t>, al ofrecer un buen precio y</w:t>
      </w:r>
      <w:r>
        <w:rPr>
          <w:rFonts w:ascii="Open Sans" w:eastAsia="Open Sans" w:hAnsi="Open Sans" w:cs="Open Sans"/>
          <w:sz w:val="21"/>
          <w:szCs w:val="21"/>
        </w:rPr>
        <w:t xml:space="preserve"> aportar seguridad a largo plazo.</w:t>
      </w:r>
    </w:p>
    <w:p w14:paraId="3551DD6F" w14:textId="77777777" w:rsidR="00C14AFD" w:rsidRDefault="00177C6C">
      <w:pPr>
        <w:shd w:val="clear" w:color="auto" w:fill="FFFFFF"/>
        <w:spacing w:before="280" w:after="280"/>
        <w:jc w:val="both"/>
        <w:rPr>
          <w:rFonts w:ascii="Open Sans" w:eastAsia="Open Sans" w:hAnsi="Open Sans" w:cs="Open Sans"/>
          <w:sz w:val="21"/>
          <w:szCs w:val="21"/>
        </w:rPr>
      </w:pPr>
      <w:r>
        <w:rPr>
          <w:rFonts w:ascii="Open Sans" w:eastAsia="Open Sans" w:hAnsi="Open Sans" w:cs="Open Sans"/>
          <w:sz w:val="21"/>
          <w:szCs w:val="21"/>
        </w:rPr>
        <w:t xml:space="preserve">En esta línea, según el informe </w:t>
      </w:r>
      <w:hyperlink r:id="rId11">
        <w:r>
          <w:rPr>
            <w:rFonts w:ascii="Open Sans" w:eastAsia="Open Sans" w:hAnsi="Open Sans" w:cs="Open Sans"/>
            <w:b/>
            <w:i/>
            <w:color w:val="0000FF"/>
            <w:sz w:val="21"/>
            <w:szCs w:val="21"/>
            <w:u w:val="single"/>
          </w:rPr>
          <w:t>Radiografía del mercado de la vivienda en 2021-2022</w:t>
        </w:r>
      </w:hyperlink>
      <w:r>
        <w:rPr>
          <w:rFonts w:ascii="Open Sans" w:eastAsia="Open Sans" w:hAnsi="Open Sans" w:cs="Open Sans"/>
          <w:sz w:val="21"/>
          <w:szCs w:val="21"/>
        </w:rPr>
        <w:t xml:space="preserve"> publicado esta misma semana por Fotocasa, se ve cómo la compra de vivienda en estos momentos sigue siendo la opción preferida para los que se quiere</w:t>
      </w:r>
      <w:r>
        <w:rPr>
          <w:rFonts w:ascii="Open Sans" w:eastAsia="Open Sans" w:hAnsi="Open Sans" w:cs="Open Sans"/>
          <w:sz w:val="21"/>
          <w:szCs w:val="21"/>
        </w:rPr>
        <w:t xml:space="preserve">n cambiar de vivienda. “De hecho, actualmente un 50% de la demanda quiere comprar, frente al 38% que quiere alquilar. Una diferencia que no habíamos visto nunca en Fotocasa Research. </w:t>
      </w:r>
    </w:p>
    <w:p w14:paraId="20A8ADDD" w14:textId="77777777" w:rsidR="00C14AFD" w:rsidRDefault="00177C6C">
      <w:pPr>
        <w:shd w:val="clear" w:color="auto" w:fill="FFFFFF"/>
        <w:spacing w:before="280" w:after="280"/>
        <w:jc w:val="both"/>
        <w:rPr>
          <w:rFonts w:ascii="Open Sans" w:eastAsia="Open Sans" w:hAnsi="Open Sans" w:cs="Open Sans"/>
          <w:sz w:val="21"/>
          <w:szCs w:val="21"/>
        </w:rPr>
      </w:pPr>
      <w:r>
        <w:rPr>
          <w:rFonts w:ascii="Open Sans" w:eastAsia="Open Sans" w:hAnsi="Open Sans" w:cs="Open Sans"/>
          <w:sz w:val="21"/>
          <w:szCs w:val="21"/>
        </w:rPr>
        <w:t>“Es cuestión de tiempo que la subida de EE.UU. se traslade a otros mercados, sobre todo a Europa. Aunque hay que tener en cuenta que el impacto de la pandemia en Estados Unidos no ha sido tan duro como en EU, y por lo tanto las economías europeas ni tienen</w:t>
      </w:r>
      <w:r>
        <w:rPr>
          <w:rFonts w:ascii="Open Sans" w:eastAsia="Open Sans" w:hAnsi="Open Sans" w:cs="Open Sans"/>
          <w:sz w:val="21"/>
          <w:szCs w:val="21"/>
        </w:rPr>
        <w:t xml:space="preserve"> esa capacidad de recuperación, ni todavía están listas para afrontar la subida del precio del dinero demasiado rápida. Por lo que el cambio será muy progresivo y se hará en varias fases para intentar enfriar el mercado”, concluye la directora de Estudios </w:t>
      </w:r>
      <w:r>
        <w:rPr>
          <w:rFonts w:ascii="Open Sans" w:eastAsia="Open Sans" w:hAnsi="Open Sans" w:cs="Open Sans"/>
          <w:sz w:val="21"/>
          <w:szCs w:val="21"/>
        </w:rPr>
        <w:t xml:space="preserve">y Portavoz de </w:t>
      </w:r>
      <w:hyperlink r:id="rId12">
        <w:r>
          <w:rPr>
            <w:rFonts w:ascii="Open Sans" w:eastAsia="Open Sans" w:hAnsi="Open Sans" w:cs="Open Sans"/>
            <w:color w:val="0000FF"/>
            <w:sz w:val="21"/>
            <w:szCs w:val="21"/>
            <w:u w:val="single"/>
          </w:rPr>
          <w:t>Fotocasa</w:t>
        </w:r>
      </w:hyperlink>
      <w:r>
        <w:rPr>
          <w:rFonts w:ascii="Open Sans" w:eastAsia="Open Sans" w:hAnsi="Open Sans" w:cs="Open Sans"/>
          <w:sz w:val="21"/>
          <w:szCs w:val="21"/>
        </w:rPr>
        <w:t>.</w:t>
      </w:r>
    </w:p>
    <w:p w14:paraId="0222B627" w14:textId="77777777" w:rsidR="00C14AFD" w:rsidRDefault="00C14AFD">
      <w:pPr>
        <w:shd w:val="clear" w:color="auto" w:fill="FFFFFF"/>
        <w:spacing w:before="280" w:after="280"/>
        <w:ind w:right="-7"/>
        <w:jc w:val="both"/>
        <w:rPr>
          <w:rFonts w:ascii="Open Sans" w:eastAsia="Open Sans" w:hAnsi="Open Sans" w:cs="Open Sans"/>
          <w:sz w:val="21"/>
          <w:szCs w:val="21"/>
        </w:rPr>
      </w:pPr>
    </w:p>
    <w:p w14:paraId="08B2B8DC" w14:textId="77777777" w:rsidR="00C14AFD" w:rsidRDefault="00177C6C">
      <w:pPr>
        <w:ind w:right="-7"/>
        <w:jc w:val="right"/>
        <w:rPr>
          <w:rFonts w:ascii="Open Sans Light" w:eastAsia="Open Sans Light" w:hAnsi="Open Sans Light" w:cs="Open Sans Light"/>
          <w:b/>
          <w:color w:val="303AB2"/>
          <w:sz w:val="24"/>
          <w:szCs w:val="24"/>
        </w:rPr>
      </w:pPr>
      <w:r>
        <w:rPr>
          <w:rFonts w:ascii="Open Sans Light" w:eastAsia="Open Sans Light" w:hAnsi="Open Sans Light" w:cs="Open Sans Light"/>
          <w:b/>
          <w:color w:val="303AB2"/>
          <w:sz w:val="24"/>
          <w:szCs w:val="24"/>
        </w:rPr>
        <w:t>Departamento de Comunicación de Fotocasa</w:t>
      </w:r>
    </w:p>
    <w:p w14:paraId="4B6A765D" w14:textId="77777777" w:rsidR="00C14AFD" w:rsidRDefault="00177C6C">
      <w:pPr>
        <w:shd w:val="clear" w:color="auto" w:fill="FFFFFF"/>
        <w:ind w:right="-7"/>
        <w:jc w:val="right"/>
        <w:rPr>
          <w:rFonts w:ascii="Open Sans" w:eastAsia="Open Sans" w:hAnsi="Open Sans" w:cs="Open Sans"/>
          <w:b/>
          <w:sz w:val="21"/>
          <w:szCs w:val="21"/>
        </w:rPr>
      </w:pPr>
      <w:r>
        <w:rPr>
          <w:rFonts w:ascii="Open Sans" w:eastAsia="Open Sans" w:hAnsi="Open Sans" w:cs="Open Sans"/>
          <w:b/>
          <w:sz w:val="21"/>
          <w:szCs w:val="21"/>
        </w:rPr>
        <w:t>Anaïs López</w:t>
      </w:r>
    </w:p>
    <w:p w14:paraId="4E4B9F39" w14:textId="77777777" w:rsidR="00C14AFD" w:rsidRDefault="00177C6C">
      <w:pPr>
        <w:shd w:val="clear" w:color="auto" w:fill="FFFFFF"/>
        <w:ind w:right="-7"/>
        <w:jc w:val="right"/>
        <w:rPr>
          <w:rFonts w:ascii="Open Sans" w:eastAsia="Open Sans" w:hAnsi="Open Sans" w:cs="Open Sans"/>
          <w:sz w:val="21"/>
          <w:szCs w:val="21"/>
        </w:rPr>
      </w:pPr>
      <w:r>
        <w:rPr>
          <w:rFonts w:ascii="Open Sans" w:eastAsia="Open Sans" w:hAnsi="Open Sans" w:cs="Open Sans"/>
          <w:sz w:val="21"/>
          <w:szCs w:val="21"/>
        </w:rPr>
        <w:t>Móvil: 620 66 29 26</w:t>
      </w:r>
    </w:p>
    <w:p w14:paraId="46282945" w14:textId="77777777" w:rsidR="00C14AFD" w:rsidRDefault="00177C6C">
      <w:pPr>
        <w:shd w:val="clear" w:color="auto" w:fill="FFFFFF"/>
        <w:ind w:right="-7"/>
        <w:jc w:val="right"/>
        <w:rPr>
          <w:rFonts w:ascii="Open Sans" w:eastAsia="Open Sans" w:hAnsi="Open Sans" w:cs="Open Sans"/>
          <w:sz w:val="21"/>
          <w:szCs w:val="21"/>
        </w:rPr>
      </w:pPr>
      <w:hyperlink r:id="rId13">
        <w:r>
          <w:rPr>
            <w:rFonts w:ascii="Open Sans" w:eastAsia="Open Sans" w:hAnsi="Open Sans" w:cs="Open Sans"/>
            <w:color w:val="0563C1"/>
            <w:sz w:val="21"/>
            <w:szCs w:val="21"/>
            <w:u w:val="single"/>
          </w:rPr>
          <w:t>comunicacion@fotocasa.es</w:t>
        </w:r>
      </w:hyperlink>
    </w:p>
    <w:p w14:paraId="0DC4148F" w14:textId="77777777" w:rsidR="00C14AFD" w:rsidRDefault="00177C6C">
      <w:pPr>
        <w:shd w:val="clear" w:color="auto" w:fill="FFFFFF"/>
        <w:ind w:right="-7"/>
        <w:jc w:val="right"/>
        <w:rPr>
          <w:rFonts w:ascii="Open Sans" w:eastAsia="Open Sans" w:hAnsi="Open Sans" w:cs="Open Sans"/>
          <w:sz w:val="21"/>
          <w:szCs w:val="21"/>
        </w:rPr>
      </w:pPr>
      <w:hyperlink r:id="rId14">
        <w:r>
          <w:rPr>
            <w:rFonts w:ascii="Open Sans" w:eastAsia="Open Sans" w:hAnsi="Open Sans" w:cs="Open Sans"/>
            <w:color w:val="0563C1"/>
            <w:sz w:val="21"/>
            <w:szCs w:val="21"/>
            <w:u w:val="single"/>
          </w:rPr>
          <w:t>http://prensa.fotocasa.es</w:t>
        </w:r>
      </w:hyperlink>
    </w:p>
    <w:p w14:paraId="36557948" w14:textId="77777777" w:rsidR="00C14AFD" w:rsidRDefault="00177C6C">
      <w:pPr>
        <w:shd w:val="clear" w:color="auto" w:fill="FFFFFF"/>
        <w:ind w:right="-7"/>
        <w:jc w:val="right"/>
        <w:rPr>
          <w:rFonts w:ascii="Open Sans" w:eastAsia="Open Sans" w:hAnsi="Open Sans" w:cs="Open Sans"/>
          <w:sz w:val="21"/>
          <w:szCs w:val="21"/>
        </w:rPr>
      </w:pPr>
      <w:r>
        <w:rPr>
          <w:rFonts w:ascii="Open Sans" w:eastAsia="Open Sans" w:hAnsi="Open Sans" w:cs="Open Sans"/>
          <w:sz w:val="21"/>
          <w:szCs w:val="21"/>
        </w:rPr>
        <w:t>twitter: @fotocasa</w:t>
      </w:r>
    </w:p>
    <w:p w14:paraId="081A9600" w14:textId="77777777" w:rsidR="00C14AFD" w:rsidRDefault="00C14AFD"/>
    <w:sectPr w:rsidR="00C14AFD">
      <w:footerReference w:type="default" r:id="rId15"/>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48A1A" w14:textId="77777777" w:rsidR="00177C6C" w:rsidRDefault="00177C6C">
      <w:pPr>
        <w:spacing w:line="240" w:lineRule="auto"/>
      </w:pPr>
      <w:r>
        <w:separator/>
      </w:r>
    </w:p>
  </w:endnote>
  <w:endnote w:type="continuationSeparator" w:id="0">
    <w:p w14:paraId="631892BC" w14:textId="77777777" w:rsidR="00177C6C" w:rsidRDefault="00177C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ational">
    <w:altName w:val="Calibri"/>
    <w:charset w:val="00"/>
    <w:family w:val="auto"/>
    <w:pitch w:val="default"/>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0614B" w14:textId="77777777" w:rsidR="00C14AFD" w:rsidRDefault="00177C6C">
    <w:r>
      <w:rPr>
        <w:noProof/>
      </w:rPr>
      <w:drawing>
        <wp:anchor distT="0" distB="0" distL="0" distR="0" simplePos="0" relativeHeight="251658240" behindDoc="0" locked="0" layoutInCell="1" hidden="0" allowOverlap="1" wp14:anchorId="0EF0BEA5" wp14:editId="44CE6BA0">
          <wp:simplePos x="0" y="0"/>
          <wp:positionH relativeFrom="column">
            <wp:posOffset>-1939346</wp:posOffset>
          </wp:positionH>
          <wp:positionV relativeFrom="paragraph">
            <wp:posOffset>0</wp:posOffset>
          </wp:positionV>
          <wp:extent cx="8620125" cy="447675"/>
          <wp:effectExtent l="0" t="0" r="0" b="0"/>
          <wp:wrapSquare wrapText="bothSides" distT="0" distB="0" distL="0" distR="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13043" r="621"/>
                  <a:stretch>
                    <a:fillRect/>
                  </a:stretch>
                </pic:blipFill>
                <pic:spPr>
                  <a:xfrm>
                    <a:off x="0" y="0"/>
                    <a:ext cx="8620125" cy="44767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2791D" w14:textId="77777777" w:rsidR="00177C6C" w:rsidRDefault="00177C6C">
      <w:pPr>
        <w:spacing w:line="240" w:lineRule="auto"/>
      </w:pPr>
      <w:r>
        <w:separator/>
      </w:r>
    </w:p>
  </w:footnote>
  <w:footnote w:type="continuationSeparator" w:id="0">
    <w:p w14:paraId="3173D6A4" w14:textId="77777777" w:rsidR="00177C6C" w:rsidRDefault="00177C6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AFD"/>
    <w:rsid w:val="00177C6C"/>
    <w:rsid w:val="00246050"/>
    <w:rsid w:val="00C14A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D2642"/>
  <w15:docId w15:val="{7030C158-6940-44CB-818A-31A8CFDDF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character" w:styleId="Hipervnculo">
    <w:name w:val="Hyperlink"/>
    <w:basedOn w:val="Fuentedeprrafopredeter"/>
    <w:uiPriority w:val="99"/>
    <w:unhideWhenUsed/>
    <w:rsid w:val="00C1037C"/>
    <w:rPr>
      <w:color w:val="0000FF" w:themeColor="hyperlink"/>
      <w:u w:val="single"/>
    </w:rPr>
  </w:style>
  <w:style w:type="character" w:styleId="Mencinsinresolver">
    <w:name w:val="Unresolved Mention"/>
    <w:basedOn w:val="Fuentedeprrafopredeter"/>
    <w:uiPriority w:val="99"/>
    <w:semiHidden/>
    <w:unhideWhenUsed/>
    <w:rsid w:val="00C103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otocasa.es/es/" TargetMode="External"/><Relationship Id="rId13" Type="http://schemas.openxmlformats.org/officeDocument/2006/relationships/hyperlink" Target="http://comunicacion@fotocasa.e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fotocasa.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research.fotocasa.es/radiografia-del-mercado-de-la-vivienda-2021-2022/"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fotocasa.es/es/" TargetMode="External"/><Relationship Id="rId4" Type="http://schemas.openxmlformats.org/officeDocument/2006/relationships/webSettings" Target="webSettings.xml"/><Relationship Id="rId9" Type="http://schemas.openxmlformats.org/officeDocument/2006/relationships/hyperlink" Target="https://s36360.pcdn.co/wp-content/uploads/2021/11/Informe-perfil-hipotecado-hipotecascom-2021.pdf" TargetMode="External"/><Relationship Id="rId14" Type="http://schemas.openxmlformats.org/officeDocument/2006/relationships/hyperlink" Target="http://prensa.fotocasa.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BxUCgummXITm9tzRfzDL+4b4wA==">AMUW2mXhak4vUbLeRgpTlPnUhX3QZPImAMnslVO283Uhz/7F57mvO1wwokx99Pmz36fTbenmsJNCDKE9zIKz1D5WDSZQ4L5vC/NLVEwGQVZgTGynNtLYIZs=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749</Words>
  <Characters>4121</Characters>
  <Application>Microsoft Office Word</Application>
  <DocSecurity>0</DocSecurity>
  <Lines>34</Lines>
  <Paragraphs>9</Paragraphs>
  <ScaleCrop>false</ScaleCrop>
  <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Anaïs López García</cp:lastModifiedBy>
  <cp:revision>2</cp:revision>
  <dcterms:created xsi:type="dcterms:W3CDTF">2022-05-27T10:04:00Z</dcterms:created>
  <dcterms:modified xsi:type="dcterms:W3CDTF">2022-06-24T07:34:00Z</dcterms:modified>
</cp:coreProperties>
</file>