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7BFFA" w14:textId="77777777" w:rsidR="00234C28" w:rsidRDefault="00D44F81">
      <w:r>
        <w:rPr>
          <w:noProof/>
        </w:rPr>
        <w:drawing>
          <wp:anchor distT="0" distB="0" distL="114300" distR="114300" simplePos="0" relativeHeight="251658240" behindDoc="0" locked="0" layoutInCell="1" hidden="0" allowOverlap="1" wp14:anchorId="35E3CD07" wp14:editId="7F3D5497">
            <wp:simplePos x="0" y="0"/>
            <wp:positionH relativeFrom="column">
              <wp:posOffset>-1078864</wp:posOffset>
            </wp:positionH>
            <wp:positionV relativeFrom="paragraph">
              <wp:posOffset>-350452</wp:posOffset>
            </wp:positionV>
            <wp:extent cx="7581265" cy="1019175"/>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2F0C922B" w14:textId="77777777" w:rsidR="00234C28" w:rsidRDefault="00234C28">
      <w:pPr>
        <w:jc w:val="right"/>
        <w:rPr>
          <w:rFonts w:ascii="National" w:eastAsia="National" w:hAnsi="National" w:cs="National"/>
          <w:color w:val="303AB2"/>
          <w:sz w:val="36"/>
          <w:szCs w:val="36"/>
        </w:rPr>
      </w:pPr>
    </w:p>
    <w:p w14:paraId="105045E1" w14:textId="77777777" w:rsidR="00234C28" w:rsidRDefault="00234C28">
      <w:pPr>
        <w:jc w:val="right"/>
        <w:rPr>
          <w:rFonts w:ascii="National" w:eastAsia="National" w:hAnsi="National" w:cs="National"/>
          <w:color w:val="303AB2"/>
          <w:sz w:val="36"/>
          <w:szCs w:val="36"/>
        </w:rPr>
      </w:pPr>
    </w:p>
    <w:p w14:paraId="72957C70" w14:textId="77777777" w:rsidR="00234C28" w:rsidRDefault="00234C28">
      <w:pPr>
        <w:rPr>
          <w:rFonts w:ascii="National" w:eastAsia="National" w:hAnsi="National" w:cs="National"/>
          <w:color w:val="303AB2"/>
          <w:sz w:val="18"/>
          <w:szCs w:val="18"/>
        </w:rPr>
      </w:pPr>
    </w:p>
    <w:p w14:paraId="6BD3BB43" w14:textId="77777777" w:rsidR="00234C28" w:rsidRDefault="00D44F81">
      <w:pPr>
        <w:spacing w:line="276" w:lineRule="auto"/>
        <w:jc w:val="center"/>
        <w:rPr>
          <w:rFonts w:ascii="National" w:eastAsia="National" w:hAnsi="National" w:cs="National"/>
          <w:b/>
          <w:color w:val="1DBDC5"/>
          <w:sz w:val="42"/>
          <w:szCs w:val="42"/>
        </w:rPr>
      </w:pPr>
      <w:r>
        <w:rPr>
          <w:rFonts w:ascii="National" w:eastAsia="National" w:hAnsi="National" w:cs="National"/>
          <w:b/>
          <w:color w:val="1DBDC5"/>
          <w:sz w:val="42"/>
          <w:szCs w:val="42"/>
        </w:rPr>
        <w:t>MAYO: PRECIO VIVIENDA EN VENTA</w:t>
      </w:r>
    </w:p>
    <w:p w14:paraId="11DB764A" w14:textId="558B02A8" w:rsidR="00D9568D" w:rsidRPr="00E0250D" w:rsidRDefault="00D9568D">
      <w:pPr>
        <w:jc w:val="center"/>
        <w:rPr>
          <w:rFonts w:ascii="National" w:eastAsia="National" w:hAnsi="National" w:cs="National"/>
          <w:b/>
          <w:color w:val="303AB2"/>
          <w:sz w:val="50"/>
          <w:szCs w:val="50"/>
        </w:rPr>
      </w:pPr>
      <w:r w:rsidRPr="00E0250D">
        <w:rPr>
          <w:rFonts w:ascii="National" w:eastAsia="National" w:hAnsi="National" w:cs="National"/>
          <w:b/>
          <w:color w:val="303AB2"/>
          <w:sz w:val="50"/>
          <w:szCs w:val="50"/>
        </w:rPr>
        <w:t>El precio de la vivienda en Baleares alcanza en mayo su máximo histórico y sube un 5,2% interanual</w:t>
      </w:r>
    </w:p>
    <w:p w14:paraId="5B60713A" w14:textId="77777777" w:rsidR="00234C28" w:rsidRDefault="00234C28">
      <w:pPr>
        <w:rPr>
          <w:rFonts w:ascii="National" w:eastAsia="National" w:hAnsi="National" w:cs="National"/>
          <w:b/>
          <w:color w:val="303AB2"/>
          <w:sz w:val="14"/>
          <w:szCs w:val="14"/>
        </w:rPr>
      </w:pPr>
    </w:p>
    <w:p w14:paraId="1DE4A879" w14:textId="77777777" w:rsidR="00234C28" w:rsidRDefault="00234C28">
      <w:pPr>
        <w:rPr>
          <w:rFonts w:ascii="National" w:eastAsia="National" w:hAnsi="National" w:cs="National"/>
          <w:b/>
          <w:color w:val="303AB2"/>
          <w:sz w:val="14"/>
          <w:szCs w:val="14"/>
        </w:rPr>
      </w:pPr>
    </w:p>
    <w:p w14:paraId="664A33A1" w14:textId="36520F7C" w:rsidR="00D9568D" w:rsidRDefault="00D9568D">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El precio de la vivienda en venta en Baleares nunca había estado tan caro desde que se tienen registro y supera el máximo alcanzado en los años de la burbuja inmobiliaria</w:t>
      </w:r>
    </w:p>
    <w:p w14:paraId="681FDABC" w14:textId="50F1C61D" w:rsidR="00234C28" w:rsidRDefault="00D44F81">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El precio medio de la vivienda mensual de segunda mano en Baleares sube un 2,8% y se sitúa en 2.999 euros/m</w:t>
      </w:r>
      <w:r>
        <w:rPr>
          <w:rFonts w:ascii="Open Sans" w:eastAsia="Open Sans" w:hAnsi="Open Sans" w:cs="Open Sans"/>
          <w:color w:val="303AB2"/>
          <w:vertAlign w:val="superscript"/>
        </w:rPr>
        <w:t>2</w:t>
      </w:r>
      <w:r>
        <w:rPr>
          <w:rFonts w:ascii="Open Sans" w:eastAsia="Open Sans" w:hAnsi="Open Sans" w:cs="Open Sans"/>
          <w:color w:val="303AB2"/>
        </w:rPr>
        <w:t xml:space="preserve"> en mayo</w:t>
      </w:r>
    </w:p>
    <w:p w14:paraId="7C3E77F5" w14:textId="67257CA7" w:rsidR="00234C28" w:rsidRDefault="00747CD9">
      <w:pPr>
        <w:numPr>
          <w:ilvl w:val="0"/>
          <w:numId w:val="1"/>
        </w:numPr>
        <w:pBdr>
          <w:top w:val="nil"/>
          <w:left w:val="nil"/>
          <w:bottom w:val="nil"/>
          <w:right w:val="nil"/>
          <w:between w:val="nil"/>
        </w:pBdr>
        <w:spacing w:line="276" w:lineRule="auto"/>
        <w:jc w:val="both"/>
        <w:rPr>
          <w:rFonts w:ascii="Open Sans" w:eastAsia="Open Sans" w:hAnsi="Open Sans" w:cs="Open Sans"/>
          <w:b/>
          <w:color w:val="303AB2"/>
        </w:rPr>
      </w:pPr>
      <w:hyperlink r:id="rId9" w:history="1">
        <w:r w:rsidR="00D44F81" w:rsidRPr="009C2182">
          <w:rPr>
            <w:rStyle w:val="Hipervnculo"/>
            <w:rFonts w:ascii="Open Sans" w:eastAsia="Open Sans" w:hAnsi="Open Sans" w:cs="Open Sans"/>
            <w:b/>
          </w:rPr>
          <w:t xml:space="preserve">Aquí se puede ver </w:t>
        </w:r>
        <w:r w:rsidR="009C2182">
          <w:rPr>
            <w:rStyle w:val="Hipervnculo"/>
            <w:rFonts w:ascii="Open Sans" w:eastAsia="Open Sans" w:hAnsi="Open Sans" w:cs="Open Sans"/>
            <w:b/>
          </w:rPr>
          <w:t>vídeo con el</w:t>
        </w:r>
        <w:r w:rsidR="00D44F81" w:rsidRPr="009C2182">
          <w:rPr>
            <w:rStyle w:val="Hipervnculo"/>
            <w:rFonts w:ascii="Open Sans" w:eastAsia="Open Sans" w:hAnsi="Open Sans" w:cs="Open Sans"/>
            <w:b/>
          </w:rPr>
          <w:t xml:space="preserve"> análisis de Baleares de la directora de Estudios</w:t>
        </w:r>
      </w:hyperlink>
    </w:p>
    <w:p w14:paraId="0C2920B9" w14:textId="77777777" w:rsidR="00E0250D" w:rsidRDefault="00D44F81" w:rsidP="00E0250D">
      <w:pPr>
        <w:pBdr>
          <w:top w:val="nil"/>
          <w:left w:val="nil"/>
          <w:bottom w:val="nil"/>
          <w:right w:val="nil"/>
          <w:between w:val="nil"/>
        </w:pBdr>
        <w:spacing w:line="276" w:lineRule="auto"/>
        <w:jc w:val="both"/>
        <w:rPr>
          <w:rFonts w:ascii="Open Sans Light" w:eastAsia="Open Sans Light" w:hAnsi="Open Sans Light" w:cs="Open Sans Light"/>
          <w:b/>
          <w:color w:val="303AB2"/>
          <w:sz w:val="22"/>
          <w:szCs w:val="22"/>
        </w:rPr>
      </w:pPr>
      <w:bookmarkStart w:id="0" w:name="_heading=h.gjdgxs" w:colFirst="0" w:colLast="0"/>
      <w:bookmarkEnd w:id="0"/>
      <w:r>
        <w:rPr>
          <w:rFonts w:ascii="Open Sans Light" w:eastAsia="Open Sans Light" w:hAnsi="Open Sans Light" w:cs="Open Sans Light"/>
          <w:b/>
          <w:color w:val="303AB2"/>
        </w:rPr>
        <w:br/>
      </w:r>
      <w:r>
        <w:rPr>
          <w:rFonts w:ascii="Open Sans Light" w:eastAsia="Open Sans Light" w:hAnsi="Open Sans Light" w:cs="Open Sans Light"/>
          <w:b/>
          <w:color w:val="303AB2"/>
          <w:sz w:val="22"/>
          <w:szCs w:val="22"/>
        </w:rPr>
        <w:t xml:space="preserve">Madrid, </w:t>
      </w:r>
      <w:r w:rsidR="009C2182">
        <w:rPr>
          <w:rFonts w:ascii="Open Sans Light" w:eastAsia="Open Sans Light" w:hAnsi="Open Sans Light" w:cs="Open Sans Light"/>
          <w:b/>
          <w:color w:val="303AB2"/>
          <w:sz w:val="22"/>
          <w:szCs w:val="22"/>
        </w:rPr>
        <w:t>9</w:t>
      </w:r>
      <w:r>
        <w:rPr>
          <w:rFonts w:ascii="Open Sans Light" w:eastAsia="Open Sans Light" w:hAnsi="Open Sans Light" w:cs="Open Sans Light"/>
          <w:b/>
          <w:color w:val="303AB2"/>
          <w:sz w:val="22"/>
          <w:szCs w:val="22"/>
        </w:rPr>
        <w:t xml:space="preserve"> de junio de 2022</w:t>
      </w:r>
    </w:p>
    <w:p w14:paraId="53317609" w14:textId="4C62FA4C" w:rsidR="00234C28" w:rsidRPr="00E0250D" w:rsidRDefault="00D44F81" w:rsidP="00E0250D">
      <w:pPr>
        <w:pBdr>
          <w:top w:val="nil"/>
          <w:left w:val="nil"/>
          <w:bottom w:val="nil"/>
          <w:right w:val="nil"/>
          <w:between w:val="nil"/>
        </w:pBdr>
        <w:spacing w:line="276" w:lineRule="auto"/>
        <w:jc w:val="both"/>
        <w:rPr>
          <w:rFonts w:ascii="Open Sans Light" w:eastAsia="Open Sans Light" w:hAnsi="Open Sans Light" w:cs="Open Sans Light"/>
          <w:b/>
          <w:color w:val="303AB2"/>
          <w:sz w:val="22"/>
          <w:szCs w:val="22"/>
        </w:rPr>
      </w:pPr>
      <w:r>
        <w:rPr>
          <w:rFonts w:ascii="Open Sans" w:eastAsia="Open Sans" w:hAnsi="Open Sans" w:cs="Open Sans"/>
          <w:color w:val="000000"/>
        </w:rPr>
        <w:t>En Baleares sube un 2,8% la variación mensual del precio de la vivienda de segunda mano y un 5,2% en su variación interanual, situando su precio en 2.999 euros/m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en mayo, según los datos del Índice Inmobiliario </w:t>
      </w:r>
      <w:hyperlink r:id="rId10">
        <w:r>
          <w:rPr>
            <w:rFonts w:ascii="Open Sans" w:eastAsia="Open Sans" w:hAnsi="Open Sans" w:cs="Open Sans"/>
            <w:color w:val="0000FF"/>
            <w:u w:val="single"/>
          </w:rPr>
          <w:t>Fotocasa</w:t>
        </w:r>
      </w:hyperlink>
      <w:r>
        <w:rPr>
          <w:rFonts w:ascii="Open Sans" w:eastAsia="Open Sans" w:hAnsi="Open Sans" w:cs="Open Sans"/>
          <w:color w:val="000000"/>
        </w:rPr>
        <w:t xml:space="preserve">. Este último valor es la subida interanual número 86 (7,2 años) del precio de la vivienda desde abril de 2015. </w:t>
      </w:r>
    </w:p>
    <w:p w14:paraId="2B8A1023" w14:textId="77777777" w:rsidR="00234C28" w:rsidRDefault="00D44F81">
      <w:pPr>
        <w:pBdr>
          <w:top w:val="nil"/>
          <w:left w:val="nil"/>
          <w:bottom w:val="nil"/>
          <w:right w:val="nil"/>
          <w:between w:val="nil"/>
        </w:pBdr>
        <w:shd w:val="clear" w:color="auto" w:fill="FFFFFF"/>
        <w:spacing w:before="280" w:after="280" w:line="276" w:lineRule="auto"/>
        <w:jc w:val="center"/>
        <w:rPr>
          <w:rFonts w:ascii="Open Sans" w:eastAsia="Open Sans" w:hAnsi="Open Sans" w:cs="Open Sans"/>
          <w:color w:val="000000"/>
        </w:rPr>
      </w:pPr>
      <w:r>
        <w:rPr>
          <w:rFonts w:ascii="Open Sans" w:eastAsia="Open Sans" w:hAnsi="Open Sans" w:cs="Open Sans"/>
          <w:b/>
          <w:color w:val="303AB2"/>
          <w:sz w:val="26"/>
          <w:szCs w:val="26"/>
        </w:rPr>
        <w:t xml:space="preserve">Variación mensual e interanual  </w:t>
      </w:r>
      <w:r>
        <w:rPr>
          <w:rFonts w:ascii="Times New Roman" w:eastAsia="Times New Roman" w:hAnsi="Times New Roman" w:cs="Times New Roman"/>
          <w:noProof/>
          <w:color w:val="000000"/>
        </w:rPr>
        <w:drawing>
          <wp:inline distT="0" distB="0" distL="0" distR="0" wp14:anchorId="6EE316E5" wp14:editId="21964F6E">
            <wp:extent cx="5410200" cy="229362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99D286" w14:textId="10EC1F83" w:rsidR="00234C28" w:rsidRDefault="00D44F81">
      <w:pPr>
        <w:pBdr>
          <w:top w:val="nil"/>
          <w:left w:val="nil"/>
          <w:bottom w:val="nil"/>
          <w:right w:val="nil"/>
          <w:between w:val="nil"/>
        </w:pBdr>
        <w:shd w:val="clear" w:color="auto" w:fill="FFFFFF"/>
        <w:spacing w:before="280" w:after="280" w:line="276" w:lineRule="auto"/>
        <w:jc w:val="both"/>
        <w:rPr>
          <w:rFonts w:ascii="Open Sans" w:eastAsia="Open Sans" w:hAnsi="Open Sans" w:cs="Open Sans"/>
        </w:rPr>
      </w:pPr>
      <w:r>
        <w:rPr>
          <w:rFonts w:ascii="Open Sans" w:eastAsia="Open Sans" w:hAnsi="Open Sans" w:cs="Open Sans"/>
        </w:rPr>
        <w:lastRenderedPageBreak/>
        <w:t xml:space="preserve">“La comunidad balear alcanza precios máximos en la vivienda de segunda mano. Con la mayor subida interanual del último año, es la única autonomía en superar los precios de la burbuja del 2007. La situación en Baleares es insólita, ya que los precios se encuentran un 55% por encima con respecto a la media nacional. Y no solo la comunidad, su capital, Palma de Mallorca también muestra el precio más alto registrado en toda su serie histórica. Nunca se había pagado tanto por comprar una vivienda en Baleares como en estos momentos. De hecho, en algunos distritos la situación es alarmante ya que las subidas superan los dos dígitos. Esta situación deriva en una gran problemática, que los ciudadanos de baleares sufren de primera mano: el aumento de la dificultad para acceder a una vivienda. La mayoría de </w:t>
      </w:r>
      <w:r w:rsidR="00FF6852">
        <w:rPr>
          <w:rFonts w:ascii="Open Sans" w:eastAsia="Open Sans" w:hAnsi="Open Sans" w:cs="Open Sans"/>
        </w:rPr>
        <w:t>los compradores</w:t>
      </w:r>
      <w:r>
        <w:rPr>
          <w:rFonts w:ascii="Open Sans" w:eastAsia="Open Sans" w:hAnsi="Open Sans" w:cs="Open Sans"/>
        </w:rPr>
        <w:t xml:space="preserve"> son extranjeros con mayor poder adquisitivo que el ciudadano local, lo que propicia que los precios de venta sean mucho más altos y se conviertan en accesibles para el ahorrador medio”, explica María Matos, directora de Estudios y Portavoz de </w:t>
      </w:r>
      <w:hyperlink r:id="rId12">
        <w:r>
          <w:rPr>
            <w:rFonts w:ascii="Open Sans" w:eastAsia="Open Sans" w:hAnsi="Open Sans" w:cs="Open Sans"/>
            <w:color w:val="1155CC"/>
            <w:u w:val="single"/>
          </w:rPr>
          <w:t>Fotocasa</w:t>
        </w:r>
      </w:hyperlink>
      <w:r>
        <w:rPr>
          <w:rFonts w:ascii="Open Sans" w:eastAsia="Open Sans" w:hAnsi="Open Sans" w:cs="Open Sans"/>
        </w:rPr>
        <w:t xml:space="preserve">. </w:t>
      </w:r>
    </w:p>
    <w:p w14:paraId="15CEE91D" w14:textId="5C286B4A" w:rsidR="00FF6852" w:rsidRDefault="00FF6852">
      <w:pPr>
        <w:pBdr>
          <w:top w:val="nil"/>
          <w:left w:val="nil"/>
          <w:bottom w:val="nil"/>
          <w:right w:val="nil"/>
          <w:between w:val="nil"/>
        </w:pBdr>
        <w:shd w:val="clear" w:color="auto" w:fill="FFFFFF"/>
        <w:spacing w:before="280" w:after="280" w:line="276" w:lineRule="auto"/>
        <w:jc w:val="both"/>
        <w:rPr>
          <w:rFonts w:ascii="Open Sans" w:eastAsia="Open Sans" w:hAnsi="Open Sans" w:cs="Open Sans"/>
        </w:rPr>
      </w:pPr>
      <w:r>
        <w:rPr>
          <w:noProof/>
        </w:rPr>
        <w:drawing>
          <wp:inline distT="0" distB="0" distL="0" distR="0" wp14:anchorId="4D504176" wp14:editId="7D25C84A">
            <wp:extent cx="5760720" cy="3241675"/>
            <wp:effectExtent l="0" t="0" r="0" b="0"/>
            <wp:docPr id="1" name="Imagen 1" descr="Mujer sonriendo junto a un cuerpo de agua&#10;&#10;Descripción generada automá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ujer sonriendo junto a un cuerpo de agua&#10;&#10;Descripción generada automáticamente">
                      <a:hlinkClick r:id="rId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241675"/>
                    </a:xfrm>
                    <a:prstGeom prst="rect">
                      <a:avLst/>
                    </a:prstGeom>
                    <a:noFill/>
                    <a:ln>
                      <a:noFill/>
                    </a:ln>
                  </pic:spPr>
                </pic:pic>
              </a:graphicData>
            </a:graphic>
          </wp:inline>
        </w:drawing>
      </w:r>
    </w:p>
    <w:p w14:paraId="2A2E4748" w14:textId="77777777" w:rsidR="00234C28" w:rsidRDefault="00D44F81">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t xml:space="preserve">Si analizamos los precios de la vivienda en venta respecto a los de hace un año, vemos que 13 comunidades incrementan el precio mensual e interanual en mayo. En dos comunidades se supera el 5%, en concreto en Madrid sube un 6,2% y en Baleares un 5,2%.  Le siguen las comunidades de Andalucía con 3,1%, Cantabria con 2,2%, Cataluña con 2,0%, Aragón con 1,7%, Canarias con 1,6%, Navarra con 1,4%, Región de Murcia con 1,3%,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con 1,2%, País Vasco con 1,1%, La Rioja con 0,8% y Galicia con 0,8%. Por otro lado, los descensos </w:t>
      </w:r>
      <w:r>
        <w:rPr>
          <w:rFonts w:ascii="Open Sans" w:eastAsia="Open Sans" w:hAnsi="Open Sans" w:cs="Open Sans"/>
          <w:color w:val="000000"/>
        </w:rPr>
        <w:lastRenderedPageBreak/>
        <w:t>interanuales de mayo se detectaron en Castilla y León con -0,8%, Extremadura con -0,5%, Asturias con -0,5% y Castilla-La Mancha con -0,3%.</w:t>
      </w:r>
    </w:p>
    <w:p w14:paraId="4C715E83" w14:textId="586FDA9E" w:rsidR="00234C28" w:rsidRDefault="00D44F81">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de segunda mano más caras en España, se encuentran Madrid y Baleares, con los precios de 3.291 euros/m</w:t>
      </w:r>
      <w:r>
        <w:rPr>
          <w:rFonts w:ascii="Open Sans" w:eastAsia="Open Sans" w:hAnsi="Open Sans" w:cs="Open Sans"/>
          <w:color w:val="000000"/>
          <w:vertAlign w:val="superscript"/>
        </w:rPr>
        <w:t>2</w:t>
      </w:r>
      <w:r>
        <w:rPr>
          <w:rFonts w:ascii="Open Sans" w:eastAsia="Open Sans" w:hAnsi="Open Sans" w:cs="Open Sans"/>
          <w:color w:val="000000"/>
        </w:rPr>
        <w:t xml:space="preserve"> y los 2.999 euros/m</w:t>
      </w:r>
      <w:r>
        <w:rPr>
          <w:rFonts w:ascii="Open Sans" w:eastAsia="Open Sans" w:hAnsi="Open Sans" w:cs="Open Sans"/>
          <w:color w:val="000000"/>
          <w:vertAlign w:val="superscript"/>
        </w:rPr>
        <w:t>2</w:t>
      </w:r>
      <w:r>
        <w:rPr>
          <w:rFonts w:ascii="Open Sans" w:eastAsia="Open Sans" w:hAnsi="Open Sans" w:cs="Open Sans"/>
          <w:color w:val="000000"/>
        </w:rPr>
        <w:t>, respectivamente. Le siguen, País Vasco con 2.890 euros/m</w:t>
      </w:r>
      <w:r>
        <w:rPr>
          <w:rFonts w:ascii="Open Sans" w:eastAsia="Open Sans" w:hAnsi="Open Sans" w:cs="Open Sans"/>
          <w:color w:val="000000"/>
          <w:vertAlign w:val="superscript"/>
        </w:rPr>
        <w:t>2</w:t>
      </w:r>
      <w:r>
        <w:rPr>
          <w:rFonts w:ascii="Open Sans" w:eastAsia="Open Sans" w:hAnsi="Open Sans" w:cs="Open Sans"/>
          <w:color w:val="000000"/>
        </w:rPr>
        <w:t>, Cataluña con 2.578 euros/m</w:t>
      </w:r>
      <w:r>
        <w:rPr>
          <w:rFonts w:ascii="Open Sans" w:eastAsia="Open Sans" w:hAnsi="Open Sans" w:cs="Open Sans"/>
          <w:color w:val="000000"/>
          <w:vertAlign w:val="superscript"/>
        </w:rPr>
        <w:t>2</w:t>
      </w:r>
      <w:r>
        <w:rPr>
          <w:rFonts w:ascii="Open Sans" w:eastAsia="Open Sans" w:hAnsi="Open Sans" w:cs="Open Sans"/>
          <w:color w:val="000000"/>
        </w:rPr>
        <w:t>, Canarias con 1.801 euros/m</w:t>
      </w:r>
      <w:r>
        <w:rPr>
          <w:rFonts w:ascii="Open Sans" w:eastAsia="Open Sans" w:hAnsi="Open Sans" w:cs="Open Sans"/>
          <w:color w:val="000000"/>
          <w:vertAlign w:val="superscript"/>
        </w:rPr>
        <w:t>2</w:t>
      </w:r>
      <w:r>
        <w:rPr>
          <w:rFonts w:ascii="Open Sans" w:eastAsia="Open Sans" w:hAnsi="Open Sans" w:cs="Open Sans"/>
          <w:color w:val="000000"/>
        </w:rPr>
        <w:t>, Cantabria con 1.768 euros/m</w:t>
      </w:r>
      <w:r>
        <w:rPr>
          <w:rFonts w:ascii="Open Sans" w:eastAsia="Open Sans" w:hAnsi="Open Sans" w:cs="Open Sans"/>
          <w:color w:val="000000"/>
          <w:vertAlign w:val="superscript"/>
        </w:rPr>
        <w:t>2</w:t>
      </w:r>
      <w:r>
        <w:rPr>
          <w:rFonts w:ascii="Open Sans" w:eastAsia="Open Sans" w:hAnsi="Open Sans" w:cs="Open Sans"/>
          <w:color w:val="000000"/>
        </w:rPr>
        <w:t>, Andalucía con 1.722 euros/m</w:t>
      </w:r>
      <w:r>
        <w:rPr>
          <w:rFonts w:ascii="Open Sans" w:eastAsia="Open Sans" w:hAnsi="Open Sans" w:cs="Open Sans"/>
          <w:color w:val="000000"/>
          <w:vertAlign w:val="superscript"/>
        </w:rPr>
        <w:t>2</w:t>
      </w:r>
      <w:r>
        <w:rPr>
          <w:rFonts w:ascii="Open Sans" w:eastAsia="Open Sans" w:hAnsi="Open Sans" w:cs="Open Sans"/>
          <w:color w:val="000000"/>
        </w:rPr>
        <w:t>, Navarra con 1.673 euros/m</w:t>
      </w:r>
      <w:r>
        <w:rPr>
          <w:rFonts w:ascii="Open Sans" w:eastAsia="Open Sans" w:hAnsi="Open Sans" w:cs="Open Sans"/>
          <w:color w:val="000000"/>
          <w:vertAlign w:val="superscript"/>
        </w:rPr>
        <w:t>2</w:t>
      </w:r>
      <w:r>
        <w:rPr>
          <w:rFonts w:ascii="Open Sans" w:eastAsia="Open Sans" w:hAnsi="Open Sans" w:cs="Open Sans"/>
          <w:color w:val="000000"/>
        </w:rPr>
        <w:t>, Galicia con 1.617 euros/m</w:t>
      </w:r>
      <w:r>
        <w:rPr>
          <w:rFonts w:ascii="Open Sans" w:eastAsia="Open Sans" w:hAnsi="Open Sans" w:cs="Open Sans"/>
          <w:color w:val="000000"/>
          <w:vertAlign w:val="superscript"/>
        </w:rPr>
        <w:t>2</w:t>
      </w:r>
      <w:r>
        <w:rPr>
          <w:rFonts w:ascii="Open Sans" w:eastAsia="Open Sans" w:hAnsi="Open Sans" w:cs="Open Sans"/>
          <w:color w:val="000000"/>
        </w:rPr>
        <w:t>, Aragón con 1.606 euros/m</w:t>
      </w:r>
      <w:r>
        <w:rPr>
          <w:rFonts w:ascii="Open Sans" w:eastAsia="Open Sans" w:hAnsi="Open Sans" w:cs="Open Sans"/>
          <w:color w:val="000000"/>
          <w:vertAlign w:val="superscript"/>
        </w:rPr>
        <w:t>2</w:t>
      </w:r>
      <w:r>
        <w:rPr>
          <w:rFonts w:ascii="Open Sans" w:eastAsia="Open Sans" w:hAnsi="Open Sans" w:cs="Open Sans"/>
          <w:color w:val="000000"/>
        </w:rPr>
        <w:t>, Asturias con 1.572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con 1.470 euros/m</w:t>
      </w:r>
      <w:r>
        <w:rPr>
          <w:rFonts w:ascii="Open Sans" w:eastAsia="Open Sans" w:hAnsi="Open Sans" w:cs="Open Sans"/>
          <w:color w:val="000000"/>
          <w:vertAlign w:val="superscript"/>
        </w:rPr>
        <w:t>2</w:t>
      </w:r>
      <w:r>
        <w:rPr>
          <w:rFonts w:ascii="Open Sans" w:eastAsia="Open Sans" w:hAnsi="Open Sans" w:cs="Open Sans"/>
          <w:color w:val="000000"/>
        </w:rPr>
        <w:t>, La Rioja con 1.446 euros/m</w:t>
      </w:r>
      <w:r>
        <w:rPr>
          <w:rFonts w:ascii="Open Sans" w:eastAsia="Open Sans" w:hAnsi="Open Sans" w:cs="Open Sans"/>
          <w:color w:val="000000"/>
          <w:vertAlign w:val="superscript"/>
        </w:rPr>
        <w:t>2</w:t>
      </w:r>
      <w:r>
        <w:rPr>
          <w:rFonts w:ascii="Open Sans" w:eastAsia="Open Sans" w:hAnsi="Open Sans" w:cs="Open Sans"/>
          <w:color w:val="000000"/>
        </w:rPr>
        <w:t>, Castilla y León con 1.424 euros/m</w:t>
      </w:r>
      <w:r>
        <w:rPr>
          <w:rFonts w:ascii="Open Sans" w:eastAsia="Open Sans" w:hAnsi="Open Sans" w:cs="Open Sans"/>
          <w:color w:val="000000"/>
          <w:vertAlign w:val="superscript"/>
        </w:rPr>
        <w:t>2</w:t>
      </w:r>
      <w:r>
        <w:rPr>
          <w:rFonts w:ascii="Open Sans" w:eastAsia="Open Sans" w:hAnsi="Open Sans" w:cs="Open Sans"/>
          <w:color w:val="000000"/>
        </w:rPr>
        <w:t>, Extremadura con 1.159 euros/m</w:t>
      </w:r>
      <w:r>
        <w:rPr>
          <w:rFonts w:ascii="Open Sans" w:eastAsia="Open Sans" w:hAnsi="Open Sans" w:cs="Open Sans"/>
          <w:color w:val="000000"/>
          <w:vertAlign w:val="superscript"/>
        </w:rPr>
        <w:t>2</w:t>
      </w:r>
      <w:r>
        <w:rPr>
          <w:rFonts w:ascii="Open Sans" w:eastAsia="Open Sans" w:hAnsi="Open Sans" w:cs="Open Sans"/>
          <w:color w:val="000000"/>
        </w:rPr>
        <w:t>, Región de Murcia con 1.143 euros/m</w:t>
      </w:r>
      <w:r>
        <w:rPr>
          <w:rFonts w:ascii="Open Sans" w:eastAsia="Open Sans" w:hAnsi="Open Sans" w:cs="Open Sans"/>
          <w:color w:val="000000"/>
          <w:vertAlign w:val="superscript"/>
        </w:rPr>
        <w:t>2</w:t>
      </w:r>
      <w:r>
        <w:rPr>
          <w:rFonts w:ascii="Open Sans" w:eastAsia="Open Sans" w:hAnsi="Open Sans" w:cs="Open Sans"/>
          <w:color w:val="000000"/>
        </w:rPr>
        <w:t xml:space="preserve"> y Castilla-La Mancha con 1.116 euros/m</w:t>
      </w:r>
      <w:r>
        <w:rPr>
          <w:rFonts w:ascii="Open Sans" w:eastAsia="Open Sans" w:hAnsi="Open Sans" w:cs="Open Sans"/>
          <w:color w:val="000000"/>
          <w:vertAlign w:val="superscript"/>
        </w:rPr>
        <w:t>2</w:t>
      </w:r>
      <w:r>
        <w:rPr>
          <w:rFonts w:ascii="Open Sans" w:eastAsia="Open Sans" w:hAnsi="Open Sans" w:cs="Open Sans"/>
          <w:color w:val="000000"/>
        </w:rPr>
        <w:t>.</w:t>
      </w:r>
    </w:p>
    <w:p w14:paraId="34439AC3" w14:textId="77777777" w:rsidR="00234C28" w:rsidRDefault="00D44F81">
      <w:pPr>
        <w:pBdr>
          <w:top w:val="nil"/>
          <w:left w:val="nil"/>
          <w:bottom w:val="nil"/>
          <w:right w:val="nil"/>
          <w:between w:val="nil"/>
        </w:pBdr>
        <w:shd w:val="clear" w:color="auto" w:fill="FFFFFF"/>
        <w:spacing w:before="280" w:after="280" w:line="276" w:lineRule="auto"/>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CCAA de menor a mayor incremento interanual</w:t>
      </w:r>
    </w:p>
    <w:tbl>
      <w:tblPr>
        <w:tblStyle w:val="a"/>
        <w:tblW w:w="908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27"/>
        <w:gridCol w:w="2348"/>
        <w:gridCol w:w="2013"/>
        <w:gridCol w:w="1998"/>
      </w:tblGrid>
      <w:tr w:rsidR="00234C28" w14:paraId="3EDA3F46" w14:textId="77777777" w:rsidTr="00234C2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center"/>
          </w:tcPr>
          <w:p w14:paraId="2094F625"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348" w:type="dxa"/>
            <w:vAlign w:val="center"/>
          </w:tcPr>
          <w:p w14:paraId="0DB3B1FA" w14:textId="77777777" w:rsidR="00234C28" w:rsidRDefault="00D44F8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1BF70B4" w14:textId="77777777" w:rsidR="00234C28" w:rsidRDefault="00D44F8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13" w:type="dxa"/>
            <w:vAlign w:val="center"/>
          </w:tcPr>
          <w:p w14:paraId="68537BA9" w14:textId="77777777" w:rsidR="00234C28" w:rsidRDefault="00D44F8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998" w:type="dxa"/>
            <w:vAlign w:val="center"/>
          </w:tcPr>
          <w:p w14:paraId="65BBED2A" w14:textId="77777777" w:rsidR="00234C28" w:rsidRDefault="00D44F8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Mayo 2022</w:t>
            </w:r>
          </w:p>
          <w:p w14:paraId="75865E3D" w14:textId="77777777" w:rsidR="00234C28" w:rsidRDefault="00D44F8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234C28" w14:paraId="2FC74252" w14:textId="77777777" w:rsidTr="00234C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5BA36AC"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 xml:space="preserve"> Madrid </w:t>
            </w:r>
          </w:p>
        </w:tc>
        <w:tc>
          <w:tcPr>
            <w:tcW w:w="2348" w:type="dxa"/>
            <w:vAlign w:val="bottom"/>
          </w:tcPr>
          <w:p w14:paraId="63D040F2"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013" w:type="dxa"/>
            <w:vAlign w:val="bottom"/>
          </w:tcPr>
          <w:p w14:paraId="4758634C"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998" w:type="dxa"/>
            <w:vAlign w:val="bottom"/>
          </w:tcPr>
          <w:p w14:paraId="24E63D38"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3.291 €</w:t>
            </w:r>
          </w:p>
        </w:tc>
      </w:tr>
      <w:tr w:rsidR="00234C28" w14:paraId="7526699F" w14:textId="77777777" w:rsidTr="00234C28">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A480761"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 xml:space="preserve"> Baleares </w:t>
            </w:r>
          </w:p>
        </w:tc>
        <w:tc>
          <w:tcPr>
            <w:tcW w:w="2348" w:type="dxa"/>
            <w:vAlign w:val="bottom"/>
          </w:tcPr>
          <w:p w14:paraId="084FC193"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w:t>
            </w:r>
          </w:p>
        </w:tc>
        <w:tc>
          <w:tcPr>
            <w:tcW w:w="2013" w:type="dxa"/>
            <w:vAlign w:val="bottom"/>
          </w:tcPr>
          <w:p w14:paraId="76C1D3C1"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1998" w:type="dxa"/>
            <w:vAlign w:val="bottom"/>
          </w:tcPr>
          <w:p w14:paraId="04E58B87"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2.999 €</w:t>
            </w:r>
          </w:p>
        </w:tc>
      </w:tr>
      <w:tr w:rsidR="00234C28" w14:paraId="11960E7B" w14:textId="77777777" w:rsidTr="00234C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DAEDFB6"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 xml:space="preserve"> Andalucía </w:t>
            </w:r>
          </w:p>
        </w:tc>
        <w:tc>
          <w:tcPr>
            <w:tcW w:w="2348" w:type="dxa"/>
            <w:vAlign w:val="bottom"/>
          </w:tcPr>
          <w:p w14:paraId="18C93923"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013" w:type="dxa"/>
            <w:vAlign w:val="bottom"/>
          </w:tcPr>
          <w:p w14:paraId="7AA1BC64"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1998" w:type="dxa"/>
            <w:vAlign w:val="bottom"/>
          </w:tcPr>
          <w:p w14:paraId="29C54FE0"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1.722 €</w:t>
            </w:r>
          </w:p>
        </w:tc>
      </w:tr>
      <w:tr w:rsidR="00234C28" w14:paraId="00056F93" w14:textId="77777777" w:rsidTr="00234C28">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4B650D0"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 xml:space="preserve"> Cantabria </w:t>
            </w:r>
          </w:p>
        </w:tc>
        <w:tc>
          <w:tcPr>
            <w:tcW w:w="2348" w:type="dxa"/>
            <w:vAlign w:val="bottom"/>
          </w:tcPr>
          <w:p w14:paraId="21470405"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013" w:type="dxa"/>
            <w:vAlign w:val="bottom"/>
          </w:tcPr>
          <w:p w14:paraId="3C720018"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2,2%</w:t>
            </w:r>
          </w:p>
        </w:tc>
        <w:tc>
          <w:tcPr>
            <w:tcW w:w="1998" w:type="dxa"/>
            <w:vAlign w:val="bottom"/>
          </w:tcPr>
          <w:p w14:paraId="7C7A6F1C"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1.768 €</w:t>
            </w:r>
          </w:p>
        </w:tc>
      </w:tr>
      <w:tr w:rsidR="00234C28" w14:paraId="4A98B0A4" w14:textId="77777777" w:rsidTr="00234C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B960B2E"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 xml:space="preserve"> Cataluña </w:t>
            </w:r>
          </w:p>
        </w:tc>
        <w:tc>
          <w:tcPr>
            <w:tcW w:w="2348" w:type="dxa"/>
            <w:vAlign w:val="bottom"/>
          </w:tcPr>
          <w:p w14:paraId="7637C710"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013" w:type="dxa"/>
            <w:vAlign w:val="bottom"/>
          </w:tcPr>
          <w:p w14:paraId="54DCB968"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1998" w:type="dxa"/>
            <w:vAlign w:val="bottom"/>
          </w:tcPr>
          <w:p w14:paraId="32C1A9B7"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2.578 €</w:t>
            </w:r>
          </w:p>
        </w:tc>
      </w:tr>
      <w:tr w:rsidR="00234C28" w14:paraId="629B5646" w14:textId="77777777" w:rsidTr="00234C28">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EBD5147"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 xml:space="preserve"> Aragón </w:t>
            </w:r>
          </w:p>
        </w:tc>
        <w:tc>
          <w:tcPr>
            <w:tcW w:w="2348" w:type="dxa"/>
            <w:vAlign w:val="bottom"/>
          </w:tcPr>
          <w:p w14:paraId="1FE3F87F"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013" w:type="dxa"/>
            <w:vAlign w:val="bottom"/>
          </w:tcPr>
          <w:p w14:paraId="07C0E29A"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998" w:type="dxa"/>
            <w:vAlign w:val="bottom"/>
          </w:tcPr>
          <w:p w14:paraId="0DC1E5D8"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1.606 €</w:t>
            </w:r>
          </w:p>
        </w:tc>
      </w:tr>
      <w:tr w:rsidR="00234C28" w14:paraId="04147ECD" w14:textId="77777777" w:rsidTr="00234C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C49AE37"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 xml:space="preserve"> Canarias </w:t>
            </w:r>
          </w:p>
        </w:tc>
        <w:tc>
          <w:tcPr>
            <w:tcW w:w="2348" w:type="dxa"/>
            <w:vAlign w:val="bottom"/>
          </w:tcPr>
          <w:p w14:paraId="31AD7EAD"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013" w:type="dxa"/>
            <w:vAlign w:val="bottom"/>
          </w:tcPr>
          <w:p w14:paraId="67E16EB7"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998" w:type="dxa"/>
            <w:vAlign w:val="bottom"/>
          </w:tcPr>
          <w:p w14:paraId="4E614157"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1.801 €</w:t>
            </w:r>
          </w:p>
        </w:tc>
      </w:tr>
      <w:tr w:rsidR="00234C28" w14:paraId="395CD69A" w14:textId="77777777" w:rsidTr="00234C28">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215129EF"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 xml:space="preserve"> Navarra </w:t>
            </w:r>
          </w:p>
        </w:tc>
        <w:tc>
          <w:tcPr>
            <w:tcW w:w="2348" w:type="dxa"/>
            <w:vAlign w:val="bottom"/>
          </w:tcPr>
          <w:p w14:paraId="41C276CA"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-1,6%</w:t>
            </w:r>
          </w:p>
        </w:tc>
        <w:tc>
          <w:tcPr>
            <w:tcW w:w="2013" w:type="dxa"/>
            <w:vAlign w:val="bottom"/>
          </w:tcPr>
          <w:p w14:paraId="5C53E95D"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w:t>
            </w:r>
          </w:p>
        </w:tc>
        <w:tc>
          <w:tcPr>
            <w:tcW w:w="1998" w:type="dxa"/>
            <w:vAlign w:val="bottom"/>
          </w:tcPr>
          <w:p w14:paraId="1A2C87A7"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1.673 €</w:t>
            </w:r>
          </w:p>
        </w:tc>
      </w:tr>
      <w:tr w:rsidR="00234C28" w14:paraId="623E8975" w14:textId="77777777" w:rsidTr="00234C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39A1AFFB"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 xml:space="preserve"> Región de Murcia </w:t>
            </w:r>
          </w:p>
        </w:tc>
        <w:tc>
          <w:tcPr>
            <w:tcW w:w="2348" w:type="dxa"/>
            <w:vAlign w:val="bottom"/>
          </w:tcPr>
          <w:p w14:paraId="0AE90874"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2013" w:type="dxa"/>
            <w:vAlign w:val="bottom"/>
          </w:tcPr>
          <w:p w14:paraId="28F5FC92"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1,3%</w:t>
            </w:r>
          </w:p>
        </w:tc>
        <w:tc>
          <w:tcPr>
            <w:tcW w:w="1998" w:type="dxa"/>
            <w:vAlign w:val="bottom"/>
          </w:tcPr>
          <w:p w14:paraId="7FE729E1"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1.143 €</w:t>
            </w:r>
          </w:p>
        </w:tc>
      </w:tr>
      <w:tr w:rsidR="00234C28" w14:paraId="28272E33" w14:textId="77777777" w:rsidTr="00234C28">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42C3CED"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 xml:space="preserve"> </w:t>
            </w: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 </w:t>
            </w:r>
          </w:p>
        </w:tc>
        <w:tc>
          <w:tcPr>
            <w:tcW w:w="2348" w:type="dxa"/>
            <w:vAlign w:val="bottom"/>
          </w:tcPr>
          <w:p w14:paraId="002A0766"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013" w:type="dxa"/>
            <w:vAlign w:val="bottom"/>
          </w:tcPr>
          <w:p w14:paraId="676A897A"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998" w:type="dxa"/>
            <w:vAlign w:val="bottom"/>
          </w:tcPr>
          <w:p w14:paraId="7D28FAB7"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1.470 €</w:t>
            </w:r>
          </w:p>
        </w:tc>
      </w:tr>
      <w:tr w:rsidR="00234C28" w14:paraId="37DD5144" w14:textId="77777777" w:rsidTr="00234C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2242DC7"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 xml:space="preserve"> País Vasco </w:t>
            </w:r>
          </w:p>
        </w:tc>
        <w:tc>
          <w:tcPr>
            <w:tcW w:w="2348" w:type="dxa"/>
            <w:vAlign w:val="bottom"/>
          </w:tcPr>
          <w:p w14:paraId="40FCD734"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0,1%</w:t>
            </w:r>
          </w:p>
        </w:tc>
        <w:tc>
          <w:tcPr>
            <w:tcW w:w="2013" w:type="dxa"/>
            <w:vAlign w:val="bottom"/>
          </w:tcPr>
          <w:p w14:paraId="3ED8AA4E"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998" w:type="dxa"/>
            <w:vAlign w:val="bottom"/>
          </w:tcPr>
          <w:p w14:paraId="190A3699"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2.890 €</w:t>
            </w:r>
          </w:p>
        </w:tc>
      </w:tr>
      <w:tr w:rsidR="00234C28" w14:paraId="73C1DC27" w14:textId="77777777" w:rsidTr="00234C28">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08374B2"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 xml:space="preserve"> La Rioja </w:t>
            </w:r>
          </w:p>
        </w:tc>
        <w:tc>
          <w:tcPr>
            <w:tcW w:w="2348" w:type="dxa"/>
            <w:vAlign w:val="bottom"/>
          </w:tcPr>
          <w:p w14:paraId="0E20A616"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2013" w:type="dxa"/>
            <w:vAlign w:val="bottom"/>
          </w:tcPr>
          <w:p w14:paraId="1590502B"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998" w:type="dxa"/>
            <w:vAlign w:val="bottom"/>
          </w:tcPr>
          <w:p w14:paraId="5C60419C"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1.446 €</w:t>
            </w:r>
          </w:p>
        </w:tc>
      </w:tr>
      <w:tr w:rsidR="00234C28" w14:paraId="17294B60" w14:textId="77777777" w:rsidTr="00234C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F27C63E"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 xml:space="preserve"> Galicia </w:t>
            </w:r>
          </w:p>
        </w:tc>
        <w:tc>
          <w:tcPr>
            <w:tcW w:w="2348" w:type="dxa"/>
            <w:vAlign w:val="bottom"/>
          </w:tcPr>
          <w:p w14:paraId="63ED1EF3"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0,1%</w:t>
            </w:r>
          </w:p>
        </w:tc>
        <w:tc>
          <w:tcPr>
            <w:tcW w:w="2013" w:type="dxa"/>
            <w:vAlign w:val="bottom"/>
          </w:tcPr>
          <w:p w14:paraId="1AC935CF"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998" w:type="dxa"/>
            <w:vAlign w:val="bottom"/>
          </w:tcPr>
          <w:p w14:paraId="3421FE66"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1.617 €</w:t>
            </w:r>
          </w:p>
        </w:tc>
      </w:tr>
      <w:tr w:rsidR="00234C28" w14:paraId="3AFD43DF" w14:textId="77777777" w:rsidTr="00234C28">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263D5DD2"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 xml:space="preserve"> Castilla-La Mancha </w:t>
            </w:r>
          </w:p>
        </w:tc>
        <w:tc>
          <w:tcPr>
            <w:tcW w:w="2348" w:type="dxa"/>
            <w:vAlign w:val="bottom"/>
          </w:tcPr>
          <w:p w14:paraId="1B4500C2"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0,8%</w:t>
            </w:r>
          </w:p>
        </w:tc>
        <w:tc>
          <w:tcPr>
            <w:tcW w:w="2013" w:type="dxa"/>
            <w:vAlign w:val="bottom"/>
          </w:tcPr>
          <w:p w14:paraId="413AC02F"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998" w:type="dxa"/>
            <w:vAlign w:val="bottom"/>
          </w:tcPr>
          <w:p w14:paraId="05EB9D46"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1.116 €</w:t>
            </w:r>
          </w:p>
        </w:tc>
      </w:tr>
      <w:tr w:rsidR="00234C28" w14:paraId="5121B357" w14:textId="77777777" w:rsidTr="00234C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212199C1"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 xml:space="preserve"> Asturias </w:t>
            </w:r>
          </w:p>
        </w:tc>
        <w:tc>
          <w:tcPr>
            <w:tcW w:w="2348" w:type="dxa"/>
            <w:vAlign w:val="bottom"/>
          </w:tcPr>
          <w:p w14:paraId="21144F7E"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2013" w:type="dxa"/>
            <w:vAlign w:val="bottom"/>
          </w:tcPr>
          <w:p w14:paraId="233A481A"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998" w:type="dxa"/>
            <w:vAlign w:val="bottom"/>
          </w:tcPr>
          <w:p w14:paraId="0DECD12F"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1.572 €</w:t>
            </w:r>
          </w:p>
        </w:tc>
      </w:tr>
      <w:tr w:rsidR="00234C28" w14:paraId="03E480D0" w14:textId="77777777" w:rsidTr="00234C28">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4EA0473"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 xml:space="preserve"> Extremadura </w:t>
            </w:r>
          </w:p>
        </w:tc>
        <w:tc>
          <w:tcPr>
            <w:tcW w:w="2348" w:type="dxa"/>
            <w:vAlign w:val="bottom"/>
          </w:tcPr>
          <w:p w14:paraId="70B95C35"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w:t>
            </w:r>
          </w:p>
        </w:tc>
        <w:tc>
          <w:tcPr>
            <w:tcW w:w="2013" w:type="dxa"/>
            <w:vAlign w:val="bottom"/>
          </w:tcPr>
          <w:p w14:paraId="12135272"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998" w:type="dxa"/>
            <w:vAlign w:val="bottom"/>
          </w:tcPr>
          <w:p w14:paraId="0A4E9631"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1.159 €</w:t>
            </w:r>
          </w:p>
        </w:tc>
      </w:tr>
      <w:tr w:rsidR="00234C28" w14:paraId="2CDDA775" w14:textId="77777777" w:rsidTr="00234C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02E6913"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 xml:space="preserve"> Castilla y León </w:t>
            </w:r>
          </w:p>
        </w:tc>
        <w:tc>
          <w:tcPr>
            <w:tcW w:w="2348" w:type="dxa"/>
            <w:vAlign w:val="bottom"/>
          </w:tcPr>
          <w:p w14:paraId="3F8202FA"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013" w:type="dxa"/>
            <w:vAlign w:val="bottom"/>
          </w:tcPr>
          <w:p w14:paraId="79B8FB12"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1998" w:type="dxa"/>
            <w:vAlign w:val="bottom"/>
          </w:tcPr>
          <w:p w14:paraId="4884E1F7"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1.424 €</w:t>
            </w:r>
          </w:p>
        </w:tc>
      </w:tr>
      <w:tr w:rsidR="00234C28" w14:paraId="69F83A13" w14:textId="77777777" w:rsidTr="00234C28">
        <w:trPr>
          <w:trHeight w:val="283"/>
        </w:trPr>
        <w:tc>
          <w:tcPr>
            <w:cnfStyle w:val="001000000000" w:firstRow="0" w:lastRow="0" w:firstColumn="1" w:lastColumn="0" w:oddVBand="0" w:evenVBand="0" w:oddHBand="0" w:evenHBand="0" w:firstRowFirstColumn="0" w:firstRowLastColumn="0" w:lastRowFirstColumn="0" w:lastRowLastColumn="0"/>
            <w:tcW w:w="2727" w:type="dxa"/>
          </w:tcPr>
          <w:p w14:paraId="4E6E0E77"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 xml:space="preserve"> España </w:t>
            </w:r>
          </w:p>
        </w:tc>
        <w:tc>
          <w:tcPr>
            <w:tcW w:w="2348" w:type="dxa"/>
            <w:vAlign w:val="bottom"/>
          </w:tcPr>
          <w:p w14:paraId="6F2DD8B3"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0,7%</w:t>
            </w:r>
          </w:p>
        </w:tc>
        <w:tc>
          <w:tcPr>
            <w:tcW w:w="2013" w:type="dxa"/>
            <w:vAlign w:val="bottom"/>
          </w:tcPr>
          <w:p w14:paraId="4CDF3354"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2,2%</w:t>
            </w:r>
          </w:p>
        </w:tc>
        <w:tc>
          <w:tcPr>
            <w:tcW w:w="1998" w:type="dxa"/>
            <w:vAlign w:val="bottom"/>
          </w:tcPr>
          <w:p w14:paraId="29C0F15D"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1.934 €</w:t>
            </w:r>
          </w:p>
        </w:tc>
      </w:tr>
    </w:tbl>
    <w:p w14:paraId="035D809B" w14:textId="77777777" w:rsidR="00FF6852" w:rsidRDefault="00FF6852">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75AEE7F3" w14:textId="77777777" w:rsidR="00FF6852" w:rsidRDefault="00FF6852">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72D8DB11" w14:textId="351B5C41" w:rsidR="00234C28" w:rsidRDefault="00D44F81">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Municipios</w:t>
      </w:r>
    </w:p>
    <w:p w14:paraId="04591829" w14:textId="77777777" w:rsidR="00234C28" w:rsidRDefault="00D44F81">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16 de los 18 municipios con variación interanual analizados </w:t>
      </w:r>
      <w:r>
        <w:rPr>
          <w:rFonts w:ascii="Open Sans" w:eastAsia="Open Sans" w:hAnsi="Open Sans" w:cs="Open Sans"/>
        </w:rPr>
        <w:t xml:space="preserve">por </w:t>
      </w:r>
      <w:hyperlink r:id="rId14">
        <w:r>
          <w:rPr>
            <w:rFonts w:ascii="Open Sans" w:eastAsia="Open Sans" w:hAnsi="Open Sans" w:cs="Open Sans"/>
            <w:color w:val="0000FF"/>
            <w:u w:val="single"/>
          </w:rPr>
          <w:t>Fotocasa</w:t>
        </w:r>
      </w:hyperlink>
      <w:r>
        <w:rPr>
          <w:rFonts w:ascii="Open Sans" w:eastAsia="Open Sans" w:hAnsi="Open Sans" w:cs="Open Sans"/>
        </w:rPr>
        <w:t xml:space="preserve">. En seis </w:t>
      </w:r>
      <w:r>
        <w:rPr>
          <w:rFonts w:ascii="Open Sans" w:eastAsia="Open Sans" w:hAnsi="Open Sans" w:cs="Open Sans"/>
          <w:color w:val="000000"/>
        </w:rPr>
        <w:t>de los municipios sube el valor interanual de la vivienda por encima del 10% y son:</w:t>
      </w:r>
      <w:r>
        <w:t xml:space="preserve"> </w:t>
      </w:r>
      <w:r>
        <w:rPr>
          <w:rFonts w:ascii="Open Sans" w:eastAsia="Open Sans" w:hAnsi="Open Sans" w:cs="Open Sans"/>
          <w:color w:val="000000"/>
        </w:rPr>
        <w:t xml:space="preserve">Santa Margalida con 45,5%, Maó con 20,0%, Capdepera con 17,1%, Sant Josep de </w:t>
      </w:r>
      <w:proofErr w:type="spellStart"/>
      <w:r>
        <w:rPr>
          <w:rFonts w:ascii="Open Sans" w:eastAsia="Open Sans" w:hAnsi="Open Sans" w:cs="Open Sans"/>
          <w:color w:val="000000"/>
        </w:rPr>
        <w:t>sa</w:t>
      </w:r>
      <w:proofErr w:type="spellEnd"/>
      <w:r>
        <w:rPr>
          <w:rFonts w:ascii="Open Sans" w:eastAsia="Open Sans" w:hAnsi="Open Sans" w:cs="Open Sans"/>
          <w:color w:val="000000"/>
        </w:rPr>
        <w:t xml:space="preserve"> Talaia con 13,0%, </w:t>
      </w:r>
      <w:proofErr w:type="spellStart"/>
      <w:r>
        <w:rPr>
          <w:rFonts w:ascii="Open Sans" w:eastAsia="Open Sans" w:hAnsi="Open Sans" w:cs="Open Sans"/>
          <w:color w:val="000000"/>
        </w:rPr>
        <w:t>Alcúdia</w:t>
      </w:r>
      <w:proofErr w:type="spellEnd"/>
      <w:r>
        <w:rPr>
          <w:rFonts w:ascii="Open Sans" w:eastAsia="Open Sans" w:hAnsi="Open Sans" w:cs="Open Sans"/>
          <w:color w:val="000000"/>
        </w:rPr>
        <w:t xml:space="preserve"> con 11,7% y Santa Eulària des </w:t>
      </w:r>
      <w:proofErr w:type="spellStart"/>
      <w:r>
        <w:rPr>
          <w:rFonts w:ascii="Open Sans" w:eastAsia="Open Sans" w:hAnsi="Open Sans" w:cs="Open Sans"/>
          <w:color w:val="000000"/>
        </w:rPr>
        <w:t>Riu</w:t>
      </w:r>
      <w:proofErr w:type="spellEnd"/>
      <w:r>
        <w:rPr>
          <w:rFonts w:ascii="Open Sans" w:eastAsia="Open Sans" w:hAnsi="Open Sans" w:cs="Open Sans"/>
          <w:color w:val="000000"/>
        </w:rPr>
        <w:t xml:space="preserve"> con 10,5%. </w:t>
      </w:r>
    </w:p>
    <w:p w14:paraId="69008F78" w14:textId="77777777" w:rsidR="00234C28" w:rsidRDefault="00D44F81">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mayo, vemos que el orden de las ciudades más caras es:</w:t>
      </w:r>
      <w:r>
        <w:rPr>
          <w:rFonts w:ascii="Times New Roman" w:eastAsia="Times New Roman" w:hAnsi="Times New Roman" w:cs="Times New Roman"/>
          <w:color w:val="000000"/>
        </w:rPr>
        <w:t xml:space="preserve"> </w:t>
      </w:r>
      <w:r>
        <w:rPr>
          <w:rFonts w:ascii="Open Sans" w:eastAsia="Open Sans" w:hAnsi="Open Sans" w:cs="Open Sans"/>
          <w:color w:val="000000"/>
        </w:rPr>
        <w:t>Eivissa con 5.279 euros/m</w:t>
      </w:r>
      <w:r>
        <w:rPr>
          <w:rFonts w:ascii="Open Sans" w:eastAsia="Open Sans" w:hAnsi="Open Sans" w:cs="Open Sans"/>
          <w:color w:val="000000"/>
          <w:vertAlign w:val="superscript"/>
        </w:rPr>
        <w:t>2</w:t>
      </w:r>
      <w:r>
        <w:rPr>
          <w:rFonts w:ascii="Open Sans" w:eastAsia="Open Sans" w:hAnsi="Open Sans" w:cs="Open Sans"/>
          <w:color w:val="000000"/>
        </w:rPr>
        <w:t xml:space="preserve">, Santa Eulària des </w:t>
      </w:r>
      <w:proofErr w:type="spellStart"/>
      <w:r>
        <w:rPr>
          <w:rFonts w:ascii="Open Sans" w:eastAsia="Open Sans" w:hAnsi="Open Sans" w:cs="Open Sans"/>
          <w:color w:val="000000"/>
        </w:rPr>
        <w:t>Riu</w:t>
      </w:r>
      <w:proofErr w:type="spellEnd"/>
      <w:r>
        <w:rPr>
          <w:rFonts w:ascii="Open Sans" w:eastAsia="Open Sans" w:hAnsi="Open Sans" w:cs="Open Sans"/>
          <w:color w:val="000000"/>
        </w:rPr>
        <w:t xml:space="preserve"> con 4.894 euros/m</w:t>
      </w:r>
      <w:r>
        <w:rPr>
          <w:rFonts w:ascii="Open Sans" w:eastAsia="Open Sans" w:hAnsi="Open Sans" w:cs="Open Sans"/>
          <w:color w:val="000000"/>
          <w:vertAlign w:val="superscript"/>
        </w:rPr>
        <w:t>2</w:t>
      </w:r>
      <w:r>
        <w:rPr>
          <w:rFonts w:ascii="Open Sans" w:eastAsia="Open Sans" w:hAnsi="Open Sans" w:cs="Open Sans"/>
          <w:color w:val="000000"/>
        </w:rPr>
        <w:t xml:space="preserve"> y Sant Josep de </w:t>
      </w:r>
      <w:proofErr w:type="spellStart"/>
      <w:r>
        <w:rPr>
          <w:rFonts w:ascii="Open Sans" w:eastAsia="Open Sans" w:hAnsi="Open Sans" w:cs="Open Sans"/>
          <w:color w:val="000000"/>
        </w:rPr>
        <w:t>sa</w:t>
      </w:r>
      <w:proofErr w:type="spellEnd"/>
      <w:r>
        <w:rPr>
          <w:rFonts w:ascii="Open Sans" w:eastAsia="Open Sans" w:hAnsi="Open Sans" w:cs="Open Sans"/>
          <w:color w:val="000000"/>
        </w:rPr>
        <w:t xml:space="preserve"> Talaia con 4.744 euros/m</w:t>
      </w:r>
      <w:r>
        <w:rPr>
          <w:rFonts w:ascii="Open Sans" w:eastAsia="Open Sans" w:hAnsi="Open Sans" w:cs="Open Sans"/>
          <w:color w:val="000000"/>
          <w:vertAlign w:val="superscript"/>
        </w:rPr>
        <w:t>2</w:t>
      </w:r>
      <w:r>
        <w:rPr>
          <w:rFonts w:ascii="Open Sans" w:eastAsia="Open Sans" w:hAnsi="Open Sans" w:cs="Open Sans"/>
          <w:color w:val="000000"/>
        </w:rPr>
        <w:t>. Por otro lado, el municipio más económico es San Sa Pobla con un precio de 1.459 euros el metro cuadrado.</w:t>
      </w:r>
    </w:p>
    <w:p w14:paraId="558CDFBC" w14:textId="77777777" w:rsidR="00234C28" w:rsidRDefault="00D44F81">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con mayor variación mensual, interanual y precio</w:t>
      </w:r>
    </w:p>
    <w:tbl>
      <w:tblPr>
        <w:tblStyle w:val="a0"/>
        <w:tblW w:w="902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119"/>
        <w:gridCol w:w="1984"/>
        <w:gridCol w:w="1985"/>
        <w:gridCol w:w="1939"/>
      </w:tblGrid>
      <w:tr w:rsidR="00234C28" w14:paraId="3D24A55C" w14:textId="77777777" w:rsidTr="00234C28">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187013C7"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Municipio</w:t>
            </w:r>
          </w:p>
        </w:tc>
        <w:tc>
          <w:tcPr>
            <w:tcW w:w="1984" w:type="dxa"/>
          </w:tcPr>
          <w:p w14:paraId="1EB38306" w14:textId="77777777" w:rsidR="00234C28" w:rsidRDefault="00D44F8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67B64CD4" w14:textId="77777777" w:rsidR="00234C28" w:rsidRDefault="00D44F8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85" w:type="dxa"/>
          </w:tcPr>
          <w:p w14:paraId="57AE3E13" w14:textId="77777777" w:rsidR="00234C28" w:rsidRDefault="00D44F8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2904FAB" w14:textId="77777777" w:rsidR="00234C28" w:rsidRDefault="00D44F8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 (%)</w:t>
            </w:r>
          </w:p>
        </w:tc>
        <w:tc>
          <w:tcPr>
            <w:tcW w:w="1939" w:type="dxa"/>
          </w:tcPr>
          <w:p w14:paraId="054D3B20" w14:textId="77777777" w:rsidR="00234C28" w:rsidRDefault="00D44F8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Mayo 2022</w:t>
            </w:r>
          </w:p>
          <w:p w14:paraId="7EE1F298" w14:textId="77777777" w:rsidR="00234C28" w:rsidRDefault="00D44F8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 (euros/m²)</w:t>
            </w:r>
          </w:p>
        </w:tc>
      </w:tr>
      <w:tr w:rsidR="00234C28" w14:paraId="72F920CA" w14:textId="77777777" w:rsidTr="00234C28">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119" w:type="dxa"/>
            <w:vAlign w:val="bottom"/>
          </w:tcPr>
          <w:p w14:paraId="41E882E1"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Maó</w:t>
            </w:r>
          </w:p>
        </w:tc>
        <w:tc>
          <w:tcPr>
            <w:tcW w:w="1984" w:type="dxa"/>
            <w:vAlign w:val="bottom"/>
          </w:tcPr>
          <w:p w14:paraId="0FF1BE05"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-1,1%</w:t>
            </w:r>
          </w:p>
        </w:tc>
        <w:tc>
          <w:tcPr>
            <w:tcW w:w="1985" w:type="dxa"/>
            <w:vAlign w:val="bottom"/>
          </w:tcPr>
          <w:p w14:paraId="481375D8"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20,0%</w:t>
            </w:r>
          </w:p>
        </w:tc>
        <w:tc>
          <w:tcPr>
            <w:tcW w:w="1939" w:type="dxa"/>
            <w:vAlign w:val="bottom"/>
          </w:tcPr>
          <w:p w14:paraId="2D9CC9DE"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2.480 €</w:t>
            </w:r>
          </w:p>
        </w:tc>
      </w:tr>
      <w:tr w:rsidR="00234C28" w14:paraId="7844933D" w14:textId="77777777" w:rsidTr="00234C28">
        <w:trPr>
          <w:trHeight w:val="184"/>
        </w:trPr>
        <w:tc>
          <w:tcPr>
            <w:cnfStyle w:val="001000000000" w:firstRow="0" w:lastRow="0" w:firstColumn="1" w:lastColumn="0" w:oddVBand="0" w:evenVBand="0" w:oddHBand="0" w:evenHBand="0" w:firstRowFirstColumn="0" w:firstRowLastColumn="0" w:lastRowFirstColumn="0" w:lastRowLastColumn="0"/>
            <w:tcW w:w="3119" w:type="dxa"/>
            <w:vAlign w:val="bottom"/>
          </w:tcPr>
          <w:p w14:paraId="5A6BC8BD"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Capdepera</w:t>
            </w:r>
          </w:p>
        </w:tc>
        <w:tc>
          <w:tcPr>
            <w:tcW w:w="1984" w:type="dxa"/>
            <w:vAlign w:val="bottom"/>
          </w:tcPr>
          <w:p w14:paraId="7400CF1A"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2,5%</w:t>
            </w:r>
          </w:p>
        </w:tc>
        <w:tc>
          <w:tcPr>
            <w:tcW w:w="1985" w:type="dxa"/>
            <w:vAlign w:val="bottom"/>
          </w:tcPr>
          <w:p w14:paraId="5E160D7B"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17,1%</w:t>
            </w:r>
          </w:p>
        </w:tc>
        <w:tc>
          <w:tcPr>
            <w:tcW w:w="1939" w:type="dxa"/>
            <w:vAlign w:val="bottom"/>
          </w:tcPr>
          <w:p w14:paraId="0F101D66"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2.747 €</w:t>
            </w:r>
          </w:p>
        </w:tc>
      </w:tr>
      <w:tr w:rsidR="00234C28" w14:paraId="03FAE1C3" w14:textId="77777777" w:rsidTr="00234C28">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119" w:type="dxa"/>
            <w:vAlign w:val="bottom"/>
          </w:tcPr>
          <w:p w14:paraId="79D18C69"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 xml:space="preserve">Sant Josep de </w:t>
            </w:r>
            <w:proofErr w:type="spellStart"/>
            <w:r>
              <w:rPr>
                <w:rFonts w:ascii="Open Sans" w:eastAsia="Open Sans" w:hAnsi="Open Sans" w:cs="Open Sans"/>
                <w:b w:val="0"/>
                <w:sz w:val="22"/>
                <w:szCs w:val="22"/>
              </w:rPr>
              <w:t>sa</w:t>
            </w:r>
            <w:proofErr w:type="spellEnd"/>
            <w:r>
              <w:rPr>
                <w:rFonts w:ascii="Open Sans" w:eastAsia="Open Sans" w:hAnsi="Open Sans" w:cs="Open Sans"/>
                <w:b w:val="0"/>
                <w:sz w:val="22"/>
                <w:szCs w:val="22"/>
              </w:rPr>
              <w:t xml:space="preserve"> Talaia</w:t>
            </w:r>
          </w:p>
        </w:tc>
        <w:tc>
          <w:tcPr>
            <w:tcW w:w="1984" w:type="dxa"/>
            <w:vAlign w:val="bottom"/>
          </w:tcPr>
          <w:p w14:paraId="77047EB8"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1,9%</w:t>
            </w:r>
          </w:p>
        </w:tc>
        <w:tc>
          <w:tcPr>
            <w:tcW w:w="1985" w:type="dxa"/>
            <w:vAlign w:val="bottom"/>
          </w:tcPr>
          <w:p w14:paraId="027E4C50"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13,0%</w:t>
            </w:r>
          </w:p>
        </w:tc>
        <w:tc>
          <w:tcPr>
            <w:tcW w:w="1939" w:type="dxa"/>
            <w:vAlign w:val="bottom"/>
          </w:tcPr>
          <w:p w14:paraId="42424917"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4.744 €</w:t>
            </w:r>
          </w:p>
        </w:tc>
      </w:tr>
      <w:tr w:rsidR="00234C28" w14:paraId="135660E7" w14:textId="77777777" w:rsidTr="00234C28">
        <w:trPr>
          <w:trHeight w:val="184"/>
        </w:trPr>
        <w:tc>
          <w:tcPr>
            <w:cnfStyle w:val="001000000000" w:firstRow="0" w:lastRow="0" w:firstColumn="1" w:lastColumn="0" w:oddVBand="0" w:evenVBand="0" w:oddHBand="0" w:evenHBand="0" w:firstRowFirstColumn="0" w:firstRowLastColumn="0" w:lastRowFirstColumn="0" w:lastRowLastColumn="0"/>
            <w:tcW w:w="3119" w:type="dxa"/>
            <w:vAlign w:val="bottom"/>
          </w:tcPr>
          <w:p w14:paraId="4AB39742" w14:textId="77777777" w:rsidR="00234C28" w:rsidRDefault="00D44F81">
            <w:pPr>
              <w:rPr>
                <w:rFonts w:ascii="Open Sans" w:eastAsia="Open Sans" w:hAnsi="Open Sans" w:cs="Open Sans"/>
                <w:sz w:val="22"/>
                <w:szCs w:val="22"/>
              </w:rPr>
            </w:pPr>
            <w:proofErr w:type="spellStart"/>
            <w:r>
              <w:rPr>
                <w:rFonts w:ascii="Open Sans" w:eastAsia="Open Sans" w:hAnsi="Open Sans" w:cs="Open Sans"/>
                <w:b w:val="0"/>
                <w:sz w:val="22"/>
                <w:szCs w:val="22"/>
              </w:rPr>
              <w:t>Alcúdia</w:t>
            </w:r>
            <w:proofErr w:type="spellEnd"/>
          </w:p>
        </w:tc>
        <w:tc>
          <w:tcPr>
            <w:tcW w:w="1984" w:type="dxa"/>
            <w:vAlign w:val="bottom"/>
          </w:tcPr>
          <w:p w14:paraId="66BE9943"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c>
          <w:tcPr>
            <w:tcW w:w="1985" w:type="dxa"/>
            <w:vAlign w:val="bottom"/>
          </w:tcPr>
          <w:p w14:paraId="390A9AD3"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11,7%</w:t>
            </w:r>
          </w:p>
        </w:tc>
        <w:tc>
          <w:tcPr>
            <w:tcW w:w="1939" w:type="dxa"/>
            <w:vAlign w:val="bottom"/>
          </w:tcPr>
          <w:p w14:paraId="66E25150"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2.609 €</w:t>
            </w:r>
          </w:p>
        </w:tc>
      </w:tr>
      <w:tr w:rsidR="00234C28" w14:paraId="5EAF9AA7" w14:textId="77777777" w:rsidTr="00234C28">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119" w:type="dxa"/>
            <w:vAlign w:val="bottom"/>
          </w:tcPr>
          <w:p w14:paraId="73D0348A"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 xml:space="preserve">Santa Eulària des </w:t>
            </w:r>
            <w:proofErr w:type="spellStart"/>
            <w:r>
              <w:rPr>
                <w:rFonts w:ascii="Open Sans" w:eastAsia="Open Sans" w:hAnsi="Open Sans" w:cs="Open Sans"/>
                <w:b w:val="0"/>
                <w:sz w:val="22"/>
                <w:szCs w:val="22"/>
              </w:rPr>
              <w:t>Riu</w:t>
            </w:r>
            <w:proofErr w:type="spellEnd"/>
          </w:p>
        </w:tc>
        <w:tc>
          <w:tcPr>
            <w:tcW w:w="1984" w:type="dxa"/>
            <w:vAlign w:val="bottom"/>
          </w:tcPr>
          <w:p w14:paraId="157C7BEF"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-2,5%</w:t>
            </w:r>
          </w:p>
        </w:tc>
        <w:tc>
          <w:tcPr>
            <w:tcW w:w="1985" w:type="dxa"/>
            <w:vAlign w:val="bottom"/>
          </w:tcPr>
          <w:p w14:paraId="63AB4595"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10,5%</w:t>
            </w:r>
          </w:p>
        </w:tc>
        <w:tc>
          <w:tcPr>
            <w:tcW w:w="1939" w:type="dxa"/>
            <w:vAlign w:val="bottom"/>
          </w:tcPr>
          <w:p w14:paraId="3C994317"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4.894 €</w:t>
            </w:r>
          </w:p>
        </w:tc>
      </w:tr>
      <w:tr w:rsidR="00234C28" w14:paraId="6246B6B3" w14:textId="77777777" w:rsidTr="00234C28">
        <w:trPr>
          <w:trHeight w:val="184"/>
        </w:trPr>
        <w:tc>
          <w:tcPr>
            <w:cnfStyle w:val="001000000000" w:firstRow="0" w:lastRow="0" w:firstColumn="1" w:lastColumn="0" w:oddVBand="0" w:evenVBand="0" w:oddHBand="0" w:evenHBand="0" w:firstRowFirstColumn="0" w:firstRowLastColumn="0" w:lastRowFirstColumn="0" w:lastRowLastColumn="0"/>
            <w:tcW w:w="3119" w:type="dxa"/>
            <w:vAlign w:val="bottom"/>
          </w:tcPr>
          <w:p w14:paraId="11CCD595"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Calvià</w:t>
            </w:r>
          </w:p>
        </w:tc>
        <w:tc>
          <w:tcPr>
            <w:tcW w:w="1984" w:type="dxa"/>
            <w:vAlign w:val="bottom"/>
          </w:tcPr>
          <w:p w14:paraId="7A2A7198"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w:t>
            </w:r>
          </w:p>
        </w:tc>
        <w:tc>
          <w:tcPr>
            <w:tcW w:w="1985" w:type="dxa"/>
            <w:vAlign w:val="bottom"/>
          </w:tcPr>
          <w:p w14:paraId="4954C476"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9,2%</w:t>
            </w:r>
          </w:p>
        </w:tc>
        <w:tc>
          <w:tcPr>
            <w:tcW w:w="1939" w:type="dxa"/>
            <w:vAlign w:val="bottom"/>
          </w:tcPr>
          <w:p w14:paraId="5401C09A"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4.361 €</w:t>
            </w:r>
          </w:p>
        </w:tc>
      </w:tr>
      <w:tr w:rsidR="00234C28" w14:paraId="0F918DF5" w14:textId="77777777" w:rsidTr="00234C28">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119" w:type="dxa"/>
            <w:vAlign w:val="bottom"/>
          </w:tcPr>
          <w:p w14:paraId="4DDBDA4D"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Ciutadella de Menorca</w:t>
            </w:r>
          </w:p>
        </w:tc>
        <w:tc>
          <w:tcPr>
            <w:tcW w:w="1984" w:type="dxa"/>
            <w:vAlign w:val="bottom"/>
          </w:tcPr>
          <w:p w14:paraId="06529DAF"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1985" w:type="dxa"/>
            <w:vAlign w:val="bottom"/>
          </w:tcPr>
          <w:p w14:paraId="2A77F0A8"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D0D0D"/>
                <w:sz w:val="22"/>
                <w:szCs w:val="22"/>
              </w:rPr>
              <w:t>6,4%</w:t>
            </w:r>
          </w:p>
        </w:tc>
        <w:tc>
          <w:tcPr>
            <w:tcW w:w="1939" w:type="dxa"/>
            <w:vAlign w:val="bottom"/>
          </w:tcPr>
          <w:p w14:paraId="56582BB4"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2.157 €</w:t>
            </w:r>
          </w:p>
        </w:tc>
      </w:tr>
      <w:tr w:rsidR="00234C28" w14:paraId="59CCBD15" w14:textId="77777777" w:rsidTr="00234C28">
        <w:trPr>
          <w:trHeight w:val="184"/>
        </w:trPr>
        <w:tc>
          <w:tcPr>
            <w:cnfStyle w:val="001000000000" w:firstRow="0" w:lastRow="0" w:firstColumn="1" w:lastColumn="0" w:oddVBand="0" w:evenVBand="0" w:oddHBand="0" w:evenHBand="0" w:firstRowFirstColumn="0" w:firstRowLastColumn="0" w:lastRowFirstColumn="0" w:lastRowLastColumn="0"/>
            <w:tcW w:w="3119" w:type="dxa"/>
            <w:vAlign w:val="bottom"/>
          </w:tcPr>
          <w:p w14:paraId="5DFFA341"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Llucmajor</w:t>
            </w:r>
          </w:p>
        </w:tc>
        <w:tc>
          <w:tcPr>
            <w:tcW w:w="1984" w:type="dxa"/>
            <w:vAlign w:val="bottom"/>
          </w:tcPr>
          <w:p w14:paraId="3326D7BF"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985" w:type="dxa"/>
            <w:vAlign w:val="bottom"/>
          </w:tcPr>
          <w:p w14:paraId="742F79C6"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D0D0D"/>
                <w:sz w:val="22"/>
                <w:szCs w:val="22"/>
              </w:rPr>
              <w:t>6,0%</w:t>
            </w:r>
          </w:p>
        </w:tc>
        <w:tc>
          <w:tcPr>
            <w:tcW w:w="1939" w:type="dxa"/>
            <w:vAlign w:val="bottom"/>
          </w:tcPr>
          <w:p w14:paraId="5C5F9465"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2.564 €</w:t>
            </w:r>
          </w:p>
        </w:tc>
      </w:tr>
      <w:tr w:rsidR="00234C28" w14:paraId="3F63CCF5" w14:textId="77777777" w:rsidTr="00234C28">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119" w:type="dxa"/>
            <w:vAlign w:val="bottom"/>
          </w:tcPr>
          <w:p w14:paraId="1E7EB908"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Manacor</w:t>
            </w:r>
          </w:p>
        </w:tc>
        <w:tc>
          <w:tcPr>
            <w:tcW w:w="1984" w:type="dxa"/>
            <w:vAlign w:val="bottom"/>
          </w:tcPr>
          <w:p w14:paraId="7E8D18AE"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-1,5%</w:t>
            </w:r>
          </w:p>
        </w:tc>
        <w:tc>
          <w:tcPr>
            <w:tcW w:w="1985" w:type="dxa"/>
            <w:vAlign w:val="bottom"/>
          </w:tcPr>
          <w:p w14:paraId="05F8D4EF"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5,8%</w:t>
            </w:r>
          </w:p>
        </w:tc>
        <w:tc>
          <w:tcPr>
            <w:tcW w:w="1939" w:type="dxa"/>
            <w:vAlign w:val="bottom"/>
          </w:tcPr>
          <w:p w14:paraId="360D82E8"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1.678 €</w:t>
            </w:r>
          </w:p>
        </w:tc>
      </w:tr>
      <w:tr w:rsidR="00234C28" w14:paraId="0011BC85" w14:textId="77777777" w:rsidTr="00234C28">
        <w:trPr>
          <w:trHeight w:val="184"/>
        </w:trPr>
        <w:tc>
          <w:tcPr>
            <w:cnfStyle w:val="001000000000" w:firstRow="0" w:lastRow="0" w:firstColumn="1" w:lastColumn="0" w:oddVBand="0" w:evenVBand="0" w:oddHBand="0" w:evenHBand="0" w:firstRowFirstColumn="0" w:firstRowLastColumn="0" w:lastRowFirstColumn="0" w:lastRowLastColumn="0"/>
            <w:tcW w:w="3119" w:type="dxa"/>
            <w:vAlign w:val="bottom"/>
          </w:tcPr>
          <w:p w14:paraId="72BAA233"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Palma de Mallorca</w:t>
            </w:r>
          </w:p>
        </w:tc>
        <w:tc>
          <w:tcPr>
            <w:tcW w:w="1984" w:type="dxa"/>
            <w:vAlign w:val="bottom"/>
          </w:tcPr>
          <w:p w14:paraId="7CED7E80"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3,5%</w:t>
            </w:r>
          </w:p>
        </w:tc>
        <w:tc>
          <w:tcPr>
            <w:tcW w:w="1985" w:type="dxa"/>
            <w:vAlign w:val="bottom"/>
          </w:tcPr>
          <w:p w14:paraId="3E1AFDFE"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w:t>
            </w:r>
          </w:p>
        </w:tc>
        <w:tc>
          <w:tcPr>
            <w:tcW w:w="1939" w:type="dxa"/>
            <w:vAlign w:val="bottom"/>
          </w:tcPr>
          <w:p w14:paraId="2C8EDF1A"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3.273 €</w:t>
            </w:r>
          </w:p>
        </w:tc>
      </w:tr>
      <w:tr w:rsidR="00234C28" w14:paraId="2E6596E5" w14:textId="77777777" w:rsidTr="00234C28">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119" w:type="dxa"/>
            <w:vAlign w:val="bottom"/>
          </w:tcPr>
          <w:p w14:paraId="4379E626"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Eivissa</w:t>
            </w:r>
          </w:p>
        </w:tc>
        <w:tc>
          <w:tcPr>
            <w:tcW w:w="1984" w:type="dxa"/>
            <w:vAlign w:val="bottom"/>
          </w:tcPr>
          <w:p w14:paraId="367F239D"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-2,2%</w:t>
            </w:r>
          </w:p>
        </w:tc>
        <w:tc>
          <w:tcPr>
            <w:tcW w:w="1985" w:type="dxa"/>
            <w:vAlign w:val="bottom"/>
          </w:tcPr>
          <w:p w14:paraId="4685FD0D"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D0D0D"/>
                <w:sz w:val="22"/>
                <w:szCs w:val="22"/>
              </w:rPr>
              <w:t>5,4%</w:t>
            </w:r>
          </w:p>
        </w:tc>
        <w:tc>
          <w:tcPr>
            <w:tcW w:w="1939" w:type="dxa"/>
            <w:vAlign w:val="bottom"/>
          </w:tcPr>
          <w:p w14:paraId="1D49AC59"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5.279 €</w:t>
            </w:r>
          </w:p>
        </w:tc>
      </w:tr>
      <w:tr w:rsidR="00234C28" w14:paraId="5C627062" w14:textId="77777777" w:rsidTr="00234C28">
        <w:trPr>
          <w:trHeight w:val="184"/>
        </w:trPr>
        <w:tc>
          <w:tcPr>
            <w:cnfStyle w:val="001000000000" w:firstRow="0" w:lastRow="0" w:firstColumn="1" w:lastColumn="0" w:oddVBand="0" w:evenVBand="0" w:oddHBand="0" w:evenHBand="0" w:firstRowFirstColumn="0" w:firstRowLastColumn="0" w:lastRowFirstColumn="0" w:lastRowLastColumn="0"/>
            <w:tcW w:w="3119" w:type="dxa"/>
            <w:vAlign w:val="bottom"/>
          </w:tcPr>
          <w:p w14:paraId="0A5A8A63"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Sant Antoni de Portmany</w:t>
            </w:r>
          </w:p>
        </w:tc>
        <w:tc>
          <w:tcPr>
            <w:tcW w:w="1984" w:type="dxa"/>
            <w:vAlign w:val="bottom"/>
          </w:tcPr>
          <w:p w14:paraId="4E7BBE79"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w:t>
            </w:r>
          </w:p>
        </w:tc>
        <w:tc>
          <w:tcPr>
            <w:tcW w:w="1985" w:type="dxa"/>
            <w:vAlign w:val="bottom"/>
          </w:tcPr>
          <w:p w14:paraId="7C46FEDF"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D0D0D"/>
                <w:sz w:val="22"/>
                <w:szCs w:val="22"/>
              </w:rPr>
              <w:t>4,3%</w:t>
            </w:r>
          </w:p>
        </w:tc>
        <w:tc>
          <w:tcPr>
            <w:tcW w:w="1939" w:type="dxa"/>
            <w:vAlign w:val="bottom"/>
          </w:tcPr>
          <w:p w14:paraId="4AACA5D3"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3.666 €</w:t>
            </w:r>
          </w:p>
        </w:tc>
      </w:tr>
      <w:tr w:rsidR="00234C28" w14:paraId="6054320B" w14:textId="77777777" w:rsidTr="00234C28">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119" w:type="dxa"/>
            <w:vAlign w:val="bottom"/>
          </w:tcPr>
          <w:p w14:paraId="477E4C8C"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Son Servera</w:t>
            </w:r>
          </w:p>
        </w:tc>
        <w:tc>
          <w:tcPr>
            <w:tcW w:w="1984" w:type="dxa"/>
            <w:vAlign w:val="bottom"/>
          </w:tcPr>
          <w:p w14:paraId="534B74BE"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-0,5%</w:t>
            </w:r>
          </w:p>
        </w:tc>
        <w:tc>
          <w:tcPr>
            <w:tcW w:w="1985" w:type="dxa"/>
            <w:vAlign w:val="bottom"/>
          </w:tcPr>
          <w:p w14:paraId="10CA8DB8"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D0D0D"/>
                <w:sz w:val="22"/>
                <w:szCs w:val="22"/>
              </w:rPr>
              <w:t>3,5%</w:t>
            </w:r>
          </w:p>
        </w:tc>
        <w:tc>
          <w:tcPr>
            <w:tcW w:w="1939" w:type="dxa"/>
            <w:vAlign w:val="bottom"/>
          </w:tcPr>
          <w:p w14:paraId="45AB8683"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2.122 €</w:t>
            </w:r>
          </w:p>
        </w:tc>
      </w:tr>
      <w:tr w:rsidR="00234C28" w14:paraId="76672614" w14:textId="77777777" w:rsidTr="00234C28">
        <w:trPr>
          <w:trHeight w:val="184"/>
        </w:trPr>
        <w:tc>
          <w:tcPr>
            <w:cnfStyle w:val="001000000000" w:firstRow="0" w:lastRow="0" w:firstColumn="1" w:lastColumn="0" w:oddVBand="0" w:evenVBand="0" w:oddHBand="0" w:evenHBand="0" w:firstRowFirstColumn="0" w:firstRowLastColumn="0" w:lastRowFirstColumn="0" w:lastRowLastColumn="0"/>
            <w:tcW w:w="3119" w:type="dxa"/>
            <w:vAlign w:val="bottom"/>
          </w:tcPr>
          <w:p w14:paraId="1910C3C3"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Inca</w:t>
            </w:r>
          </w:p>
        </w:tc>
        <w:tc>
          <w:tcPr>
            <w:tcW w:w="1984" w:type="dxa"/>
            <w:vAlign w:val="bottom"/>
          </w:tcPr>
          <w:p w14:paraId="3332DBAB"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0,5%</w:t>
            </w:r>
          </w:p>
        </w:tc>
        <w:tc>
          <w:tcPr>
            <w:tcW w:w="1985" w:type="dxa"/>
            <w:vAlign w:val="bottom"/>
          </w:tcPr>
          <w:p w14:paraId="41220211"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D0D0D"/>
                <w:sz w:val="22"/>
                <w:szCs w:val="22"/>
              </w:rPr>
              <w:t>3,0%</w:t>
            </w:r>
          </w:p>
        </w:tc>
        <w:tc>
          <w:tcPr>
            <w:tcW w:w="1939" w:type="dxa"/>
            <w:vAlign w:val="bottom"/>
          </w:tcPr>
          <w:p w14:paraId="50B622F0"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1.583 €</w:t>
            </w:r>
          </w:p>
        </w:tc>
      </w:tr>
      <w:tr w:rsidR="00234C28" w14:paraId="0823188E" w14:textId="77777777" w:rsidTr="00234C28">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119" w:type="dxa"/>
            <w:vAlign w:val="bottom"/>
          </w:tcPr>
          <w:p w14:paraId="6E2CC5BF"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Andratx</w:t>
            </w:r>
          </w:p>
        </w:tc>
        <w:tc>
          <w:tcPr>
            <w:tcW w:w="1984" w:type="dxa"/>
            <w:vAlign w:val="bottom"/>
          </w:tcPr>
          <w:p w14:paraId="46AB3396"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w:t>
            </w:r>
          </w:p>
        </w:tc>
        <w:tc>
          <w:tcPr>
            <w:tcW w:w="1985" w:type="dxa"/>
            <w:vAlign w:val="bottom"/>
          </w:tcPr>
          <w:p w14:paraId="30E6DD6E"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D0D0D"/>
                <w:sz w:val="22"/>
                <w:szCs w:val="22"/>
              </w:rPr>
              <w:t>2,8%</w:t>
            </w:r>
          </w:p>
        </w:tc>
        <w:tc>
          <w:tcPr>
            <w:tcW w:w="1939" w:type="dxa"/>
            <w:vAlign w:val="bottom"/>
          </w:tcPr>
          <w:p w14:paraId="23C999EF"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4.379 €</w:t>
            </w:r>
          </w:p>
        </w:tc>
      </w:tr>
      <w:tr w:rsidR="00234C28" w14:paraId="17C6503A" w14:textId="77777777" w:rsidTr="00234C28">
        <w:trPr>
          <w:trHeight w:val="184"/>
        </w:trPr>
        <w:tc>
          <w:tcPr>
            <w:cnfStyle w:val="001000000000" w:firstRow="0" w:lastRow="0" w:firstColumn="1" w:lastColumn="0" w:oddVBand="0" w:evenVBand="0" w:oddHBand="0" w:evenHBand="0" w:firstRowFirstColumn="0" w:firstRowLastColumn="0" w:lastRowFirstColumn="0" w:lastRowLastColumn="0"/>
            <w:tcW w:w="3119" w:type="dxa"/>
            <w:vAlign w:val="bottom"/>
          </w:tcPr>
          <w:p w14:paraId="4571B1F0"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Sa Pobla</w:t>
            </w:r>
          </w:p>
        </w:tc>
        <w:tc>
          <w:tcPr>
            <w:tcW w:w="1984" w:type="dxa"/>
            <w:vAlign w:val="bottom"/>
          </w:tcPr>
          <w:p w14:paraId="35C4206D"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-3,5%</w:t>
            </w:r>
          </w:p>
        </w:tc>
        <w:tc>
          <w:tcPr>
            <w:tcW w:w="1985" w:type="dxa"/>
            <w:vAlign w:val="bottom"/>
          </w:tcPr>
          <w:p w14:paraId="401CC014"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9C0006"/>
                <w:sz w:val="22"/>
                <w:szCs w:val="22"/>
              </w:rPr>
              <w:t>-1,1%</w:t>
            </w:r>
          </w:p>
        </w:tc>
        <w:tc>
          <w:tcPr>
            <w:tcW w:w="1939" w:type="dxa"/>
            <w:vAlign w:val="bottom"/>
          </w:tcPr>
          <w:p w14:paraId="2A0187DF" w14:textId="77777777" w:rsidR="00234C28" w:rsidRDefault="00D44F8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1.459 €</w:t>
            </w:r>
          </w:p>
        </w:tc>
      </w:tr>
      <w:tr w:rsidR="00234C28" w14:paraId="0CC3485C" w14:textId="77777777" w:rsidTr="00234C28">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119" w:type="dxa"/>
            <w:vAlign w:val="bottom"/>
          </w:tcPr>
          <w:p w14:paraId="2E008F39" w14:textId="77777777" w:rsidR="00234C28" w:rsidRDefault="00D44F81">
            <w:pPr>
              <w:rPr>
                <w:rFonts w:ascii="Open Sans" w:eastAsia="Open Sans" w:hAnsi="Open Sans" w:cs="Open Sans"/>
                <w:sz w:val="22"/>
                <w:szCs w:val="22"/>
              </w:rPr>
            </w:pPr>
            <w:r>
              <w:rPr>
                <w:rFonts w:ascii="Open Sans" w:eastAsia="Open Sans" w:hAnsi="Open Sans" w:cs="Open Sans"/>
                <w:b w:val="0"/>
                <w:sz w:val="22"/>
                <w:szCs w:val="22"/>
              </w:rPr>
              <w:t>Pollença</w:t>
            </w:r>
          </w:p>
        </w:tc>
        <w:tc>
          <w:tcPr>
            <w:tcW w:w="1984" w:type="dxa"/>
            <w:vAlign w:val="bottom"/>
          </w:tcPr>
          <w:p w14:paraId="6683427D"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1,9%</w:t>
            </w:r>
          </w:p>
        </w:tc>
        <w:tc>
          <w:tcPr>
            <w:tcW w:w="1985" w:type="dxa"/>
            <w:vAlign w:val="bottom"/>
          </w:tcPr>
          <w:p w14:paraId="549AABDF"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9C0006"/>
                <w:sz w:val="22"/>
                <w:szCs w:val="22"/>
              </w:rPr>
              <w:t>-6,6%</w:t>
            </w:r>
          </w:p>
        </w:tc>
        <w:tc>
          <w:tcPr>
            <w:tcW w:w="1939" w:type="dxa"/>
            <w:vAlign w:val="bottom"/>
          </w:tcPr>
          <w:p w14:paraId="4CC06A85" w14:textId="77777777" w:rsidR="00234C28" w:rsidRDefault="00D44F8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3.612 €</w:t>
            </w:r>
          </w:p>
        </w:tc>
      </w:tr>
    </w:tbl>
    <w:p w14:paraId="3ABBB54F" w14:textId="77777777" w:rsidR="00234C28" w:rsidRDefault="00234C28">
      <w:pPr>
        <w:spacing w:line="276" w:lineRule="auto"/>
        <w:jc w:val="right"/>
        <w:rPr>
          <w:rFonts w:ascii="Open Sans Light" w:eastAsia="Open Sans Light" w:hAnsi="Open Sans Light" w:cs="Open Sans Light"/>
          <w:b/>
          <w:color w:val="303AB2"/>
        </w:rPr>
      </w:pPr>
    </w:p>
    <w:p w14:paraId="4E2760E7" w14:textId="77777777" w:rsidR="00234C28" w:rsidRDefault="00234C28">
      <w:pPr>
        <w:spacing w:line="276" w:lineRule="auto"/>
        <w:jc w:val="right"/>
        <w:rPr>
          <w:rFonts w:ascii="Open Sans Light" w:eastAsia="Open Sans Light" w:hAnsi="Open Sans Light" w:cs="Open Sans Light"/>
          <w:b/>
          <w:color w:val="303AB2"/>
        </w:rPr>
      </w:pPr>
    </w:p>
    <w:p w14:paraId="57BD6984" w14:textId="77777777" w:rsidR="00234C28" w:rsidRDefault="00234C28">
      <w:pPr>
        <w:spacing w:line="276" w:lineRule="auto"/>
        <w:jc w:val="right"/>
        <w:rPr>
          <w:rFonts w:ascii="Open Sans Light" w:eastAsia="Open Sans Light" w:hAnsi="Open Sans Light" w:cs="Open Sans Light"/>
          <w:b/>
          <w:color w:val="303AB2"/>
        </w:rPr>
      </w:pPr>
    </w:p>
    <w:p w14:paraId="1885C080" w14:textId="52055A46" w:rsidR="00234C28" w:rsidRDefault="00234C28">
      <w:pPr>
        <w:spacing w:line="276" w:lineRule="auto"/>
        <w:jc w:val="right"/>
        <w:rPr>
          <w:rFonts w:ascii="Open Sans Light" w:eastAsia="Open Sans Light" w:hAnsi="Open Sans Light" w:cs="Open Sans Light"/>
          <w:b/>
          <w:color w:val="303AB2"/>
        </w:rPr>
      </w:pPr>
    </w:p>
    <w:p w14:paraId="32651928" w14:textId="6B82D252" w:rsidR="00FF6852" w:rsidRDefault="00FF6852">
      <w:pPr>
        <w:spacing w:line="276" w:lineRule="auto"/>
        <w:jc w:val="right"/>
        <w:rPr>
          <w:rFonts w:ascii="Open Sans Light" w:eastAsia="Open Sans Light" w:hAnsi="Open Sans Light" w:cs="Open Sans Light"/>
          <w:b/>
          <w:color w:val="303AB2"/>
        </w:rPr>
      </w:pPr>
    </w:p>
    <w:p w14:paraId="14CB75E0" w14:textId="77777777" w:rsidR="00FF6852" w:rsidRDefault="00FF6852">
      <w:pPr>
        <w:spacing w:line="276" w:lineRule="auto"/>
        <w:jc w:val="right"/>
        <w:rPr>
          <w:rFonts w:ascii="Open Sans Light" w:eastAsia="Open Sans Light" w:hAnsi="Open Sans Light" w:cs="Open Sans Light"/>
          <w:b/>
          <w:color w:val="303AB2"/>
        </w:rPr>
      </w:pPr>
    </w:p>
    <w:p w14:paraId="5E36B648" w14:textId="77777777" w:rsidR="00234C28" w:rsidRDefault="00234C28">
      <w:pPr>
        <w:spacing w:line="276" w:lineRule="auto"/>
        <w:jc w:val="right"/>
        <w:rPr>
          <w:rFonts w:ascii="Open Sans Light" w:eastAsia="Open Sans Light" w:hAnsi="Open Sans Light" w:cs="Open Sans Light"/>
          <w:b/>
          <w:color w:val="303AB2"/>
        </w:rPr>
      </w:pPr>
    </w:p>
    <w:p w14:paraId="73FBC271" w14:textId="77777777" w:rsidR="00234C28" w:rsidRDefault="00D44F81">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1C5F6489" w14:textId="77777777" w:rsidR="00234C28" w:rsidRDefault="00D44F81">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r>
        <w:rPr>
          <w:rFonts w:ascii="Open Sans" w:eastAsia="Open Sans" w:hAnsi="Open Sans" w:cs="Open Sans"/>
          <w:sz w:val="22"/>
          <w:szCs w:val="22"/>
        </w:rPr>
        <w:t xml:space="preserve"> </w:t>
      </w:r>
      <w:r>
        <w:rPr>
          <w:rFonts w:ascii="Open Sans" w:eastAsia="Open Sans" w:hAnsi="Open Sans" w:cs="Open Sans"/>
          <w:color w:val="000000"/>
          <w:sz w:val="22"/>
          <w:szCs w:val="22"/>
        </w:rPr>
        <w:t xml:space="preserve">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30j0zll" w:colFirst="0" w:colLast="0"/>
    <w:bookmarkEnd w:id="1"/>
    <w:p w14:paraId="369E1ECC" w14:textId="2BE0DD21" w:rsidR="00234C28" w:rsidRDefault="00D44F81" w:rsidP="00FF6852">
      <w:pPr>
        <w:shd w:val="clear" w:color="auto" w:fill="FFFFFF"/>
        <w:spacing w:before="280" w:after="280" w:line="276" w:lineRule="auto"/>
        <w:jc w:val="both"/>
        <w:rPr>
          <w:rFonts w:ascii="Open Sans Light" w:eastAsia="Open Sans Light" w:hAnsi="Open Sans Light" w:cs="Open Sans Light"/>
          <w:b/>
          <w:color w:val="303AB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rsidR="00747CD9">
        <w:fldChar w:fldCharType="begin"/>
      </w:r>
      <w:r w:rsidR="00747CD9">
        <w:instrText xml:space="preserve"> HYPERLINK "https://www.adevinta.com/" \h </w:instrText>
      </w:r>
      <w:r w:rsidR="00747CD9">
        <w:fldChar w:fldCharType="separate"/>
      </w:r>
      <w:r>
        <w:rPr>
          <w:rFonts w:ascii="Open Sans" w:eastAsia="Open Sans" w:hAnsi="Open Sans" w:cs="Open Sans"/>
          <w:color w:val="0000FF"/>
          <w:sz w:val="22"/>
          <w:szCs w:val="22"/>
          <w:u w:val="single"/>
        </w:rPr>
        <w:t>Adevinta</w:t>
      </w:r>
      <w:proofErr w:type="spellEnd"/>
      <w:r w:rsidR="00747CD9">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w:t>
      </w:r>
    </w:p>
    <w:p w14:paraId="6B105518" w14:textId="77777777" w:rsidR="00234C28" w:rsidRDefault="00D44F81">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6C9D6384" w14:textId="77777777" w:rsidR="00234C28" w:rsidRDefault="00D44F81">
      <w:pPr>
        <w:spacing w:before="143" w:after="200"/>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rsidR="00747CD9">
        <w:fldChar w:fldCharType="begin"/>
      </w:r>
      <w:r w:rsidR="00747CD9">
        <w:instrText xml:space="preserve"> HYPERLINK "https://www.milanuncios.com/" \h </w:instrText>
      </w:r>
      <w:r w:rsidR="00747CD9">
        <w:fldChar w:fldCharType="separate"/>
      </w:r>
      <w:r>
        <w:rPr>
          <w:rFonts w:ascii="Open Sans" w:eastAsia="Open Sans" w:hAnsi="Open Sans" w:cs="Open Sans"/>
          <w:color w:val="1155CC"/>
          <w:sz w:val="22"/>
          <w:szCs w:val="22"/>
          <w:u w:val="single"/>
        </w:rPr>
        <w:t>Milanuncios</w:t>
      </w:r>
      <w:proofErr w:type="spellEnd"/>
      <w:r w:rsidR="00747CD9">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6CFFAB12" w14:textId="77777777" w:rsidR="00234C28" w:rsidRDefault="00D44F81">
      <w:pPr>
        <w:spacing w:after="160"/>
        <w:jc w:val="both"/>
        <w:rPr>
          <w:rFonts w:ascii="Open Sans" w:eastAsia="Open Sans" w:hAnsi="Open Sans" w:cs="Open Sans"/>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2752D5F0" w14:textId="77777777" w:rsidR="00234C28" w:rsidRDefault="00D44F81">
      <w:pPr>
        <w:spacing w:after="160"/>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14 países. El conjunto de sus plataformas locales recibe un promedio de 1.300 millones de visitas cada mes. </w:t>
      </w:r>
    </w:p>
    <w:p w14:paraId="2FE63087" w14:textId="77777777" w:rsidR="00234C28" w:rsidRDefault="00D44F81">
      <w:pPr>
        <w:spacing w:after="160"/>
        <w:jc w:val="both"/>
        <w:rPr>
          <w:rFonts w:ascii="Open Sans" w:eastAsia="Open Sans" w:hAnsi="Open Sans" w:cs="Open Sans"/>
        </w:rPr>
      </w:pPr>
      <w:r>
        <w:rPr>
          <w:rFonts w:ascii="Open Sans" w:eastAsia="Open Sans" w:hAnsi="Open Sans" w:cs="Open Sans"/>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2CE08ACE" w14:textId="77777777" w:rsidR="00234C28" w:rsidRDefault="00234C28">
      <w:pPr>
        <w:spacing w:line="276" w:lineRule="auto"/>
        <w:ind w:right="-716"/>
        <w:rPr>
          <w:rFonts w:ascii="Open Sans Light" w:eastAsia="Open Sans Light" w:hAnsi="Open Sans Light" w:cs="Open Sans Light"/>
          <w:b/>
          <w:color w:val="303AB2"/>
          <w:sz w:val="22"/>
          <w:szCs w:val="22"/>
        </w:rPr>
      </w:pPr>
    </w:p>
    <w:p w14:paraId="3D39B98F" w14:textId="77777777" w:rsidR="00234C28" w:rsidRDefault="00D44F81">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6A9069AE" w14:textId="77777777" w:rsidR="00234C28" w:rsidRDefault="00D44F81">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41332408" w14:textId="77777777" w:rsidR="00234C28" w:rsidRDefault="00747CD9">
      <w:pPr>
        <w:shd w:val="clear" w:color="auto" w:fill="FFFFFF"/>
        <w:spacing w:line="276" w:lineRule="auto"/>
        <w:ind w:right="-716"/>
        <w:rPr>
          <w:rFonts w:ascii="Open Sans" w:eastAsia="Open Sans" w:hAnsi="Open Sans" w:cs="Open Sans"/>
          <w:color w:val="0000FF"/>
          <w:sz w:val="22"/>
          <w:szCs w:val="22"/>
          <w:u w:val="single"/>
        </w:rPr>
      </w:pPr>
      <w:hyperlink r:id="rId24">
        <w:r w:rsidR="00D44F81">
          <w:rPr>
            <w:rFonts w:ascii="Open Sans" w:eastAsia="Open Sans" w:hAnsi="Open Sans" w:cs="Open Sans"/>
            <w:color w:val="0000FF"/>
            <w:sz w:val="22"/>
            <w:szCs w:val="22"/>
            <w:u w:val="single"/>
          </w:rPr>
          <w:t>rtorne@llorenteycuenca.com</w:t>
        </w:r>
      </w:hyperlink>
      <w:r w:rsidR="00D44F81">
        <w:rPr>
          <w:rFonts w:ascii="Open Sans" w:eastAsia="Open Sans" w:hAnsi="Open Sans" w:cs="Open Sans"/>
          <w:color w:val="0000FF"/>
          <w:sz w:val="22"/>
          <w:szCs w:val="22"/>
        </w:rPr>
        <w:tab/>
      </w:r>
      <w:r w:rsidR="00D44F81">
        <w:rPr>
          <w:rFonts w:ascii="Open Sans" w:eastAsia="Open Sans" w:hAnsi="Open Sans" w:cs="Open Sans"/>
          <w:color w:val="0000FF"/>
          <w:sz w:val="22"/>
          <w:szCs w:val="22"/>
        </w:rPr>
        <w:tab/>
      </w:r>
      <w:r w:rsidR="00D44F81">
        <w:rPr>
          <w:rFonts w:ascii="Open Sans" w:eastAsia="Open Sans" w:hAnsi="Open Sans" w:cs="Open Sans"/>
          <w:color w:val="0000FF"/>
          <w:sz w:val="22"/>
          <w:szCs w:val="22"/>
        </w:rPr>
        <w:tab/>
        <w:t xml:space="preserve">                        </w:t>
      </w:r>
      <w:hyperlink r:id="rId25">
        <w:r w:rsidR="00D44F81">
          <w:rPr>
            <w:rFonts w:ascii="Open Sans" w:eastAsia="Open Sans" w:hAnsi="Open Sans" w:cs="Open Sans"/>
            <w:color w:val="0000FF"/>
            <w:sz w:val="22"/>
            <w:szCs w:val="22"/>
            <w:u w:val="single"/>
          </w:rPr>
          <w:t>comunicacion@fotocasa.es</w:t>
        </w:r>
      </w:hyperlink>
    </w:p>
    <w:p w14:paraId="61FA2F5B" w14:textId="77777777" w:rsidR="00234C28" w:rsidRDefault="00D44F81">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55F797D7" w14:textId="77777777" w:rsidR="00234C28" w:rsidRDefault="00D44F81">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1688EE85" w14:textId="77777777" w:rsidR="00234C28" w:rsidRDefault="00D44F81">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1E332EDF" w14:textId="77777777" w:rsidR="00234C28" w:rsidRDefault="00747CD9">
      <w:pPr>
        <w:shd w:val="clear" w:color="auto" w:fill="FFFFFF"/>
        <w:ind w:right="-716"/>
        <w:rPr>
          <w:rFonts w:ascii="Open Sans" w:eastAsia="Open Sans" w:hAnsi="Open Sans" w:cs="Open Sans"/>
          <w:b/>
          <w:color w:val="000000"/>
          <w:sz w:val="22"/>
          <w:szCs w:val="22"/>
        </w:rPr>
      </w:pPr>
      <w:hyperlink r:id="rId26">
        <w:r w:rsidR="00D44F81">
          <w:rPr>
            <w:rFonts w:ascii="Open Sans" w:eastAsia="Open Sans" w:hAnsi="Open Sans" w:cs="Open Sans"/>
            <w:color w:val="0000FF"/>
            <w:sz w:val="22"/>
            <w:szCs w:val="22"/>
            <w:u w:val="single"/>
          </w:rPr>
          <w:t>emerino@llorenteycuenca.com</w:t>
        </w:r>
      </w:hyperlink>
      <w:r w:rsidR="00D44F81">
        <w:rPr>
          <w:rFonts w:ascii="Open Sans" w:eastAsia="Open Sans" w:hAnsi="Open Sans" w:cs="Open Sans"/>
          <w:color w:val="0000FF"/>
          <w:sz w:val="22"/>
          <w:szCs w:val="22"/>
        </w:rPr>
        <w:tab/>
      </w:r>
      <w:r w:rsidR="00D44F81">
        <w:rPr>
          <w:rFonts w:ascii="Open Sans" w:eastAsia="Open Sans" w:hAnsi="Open Sans" w:cs="Open Sans"/>
          <w:color w:val="0000FF"/>
          <w:sz w:val="22"/>
          <w:szCs w:val="22"/>
        </w:rPr>
        <w:tab/>
      </w:r>
    </w:p>
    <w:p w14:paraId="2C99F096" w14:textId="77777777" w:rsidR="00234C28" w:rsidRDefault="00D44F81">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28AF8096" w14:textId="77777777" w:rsidR="00234C28" w:rsidRDefault="00234C28">
      <w:pPr>
        <w:shd w:val="clear" w:color="auto" w:fill="FFFFFF"/>
        <w:ind w:right="-716"/>
        <w:rPr>
          <w:rFonts w:ascii="Open Sans" w:eastAsia="Open Sans" w:hAnsi="Open Sans" w:cs="Open Sans"/>
          <w:color w:val="000000"/>
          <w:sz w:val="22"/>
          <w:szCs w:val="22"/>
        </w:rPr>
      </w:pPr>
    </w:p>
    <w:p w14:paraId="6FE4C904" w14:textId="77777777" w:rsidR="00234C28" w:rsidRDefault="00D44F81">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37008614" w14:textId="77777777" w:rsidR="00234C28" w:rsidRDefault="00747CD9">
      <w:pPr>
        <w:shd w:val="clear" w:color="auto" w:fill="FFFFFF"/>
        <w:ind w:right="-716"/>
        <w:rPr>
          <w:rFonts w:ascii="Open Sans" w:eastAsia="Open Sans" w:hAnsi="Open Sans" w:cs="Open Sans"/>
          <w:b/>
          <w:color w:val="000000"/>
          <w:sz w:val="22"/>
          <w:szCs w:val="22"/>
        </w:rPr>
      </w:pPr>
      <w:hyperlink r:id="rId27">
        <w:r w:rsidR="00D44F81">
          <w:rPr>
            <w:rFonts w:ascii="Open Sans" w:eastAsia="Open Sans" w:hAnsi="Open Sans" w:cs="Open Sans"/>
            <w:color w:val="0000FF"/>
            <w:sz w:val="22"/>
            <w:szCs w:val="22"/>
            <w:u w:val="single"/>
          </w:rPr>
          <w:t>piglesias@llorenteycuenca.com</w:t>
        </w:r>
      </w:hyperlink>
      <w:r w:rsidR="00D44F81">
        <w:rPr>
          <w:rFonts w:ascii="Open Sans" w:eastAsia="Open Sans" w:hAnsi="Open Sans" w:cs="Open Sans"/>
          <w:color w:val="0000FF"/>
          <w:sz w:val="22"/>
          <w:szCs w:val="22"/>
        </w:rPr>
        <w:tab/>
      </w:r>
      <w:r w:rsidR="00D44F81">
        <w:rPr>
          <w:rFonts w:ascii="Open Sans" w:eastAsia="Open Sans" w:hAnsi="Open Sans" w:cs="Open Sans"/>
          <w:color w:val="0000FF"/>
          <w:sz w:val="22"/>
          <w:szCs w:val="22"/>
        </w:rPr>
        <w:tab/>
      </w:r>
    </w:p>
    <w:p w14:paraId="3E1B3C44" w14:textId="6C8D70EE" w:rsidR="00234C28" w:rsidRDefault="00D44F81" w:rsidP="00FF6852">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sectPr w:rsidR="00234C28">
      <w:footerReference w:type="default" r:id="rId28"/>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E795" w14:textId="77777777" w:rsidR="00747CD9" w:rsidRDefault="00747CD9">
      <w:r>
        <w:separator/>
      </w:r>
    </w:p>
  </w:endnote>
  <w:endnote w:type="continuationSeparator" w:id="0">
    <w:p w14:paraId="2B0FA74C" w14:textId="77777777" w:rsidR="00747CD9" w:rsidRDefault="0074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3DAC" w14:textId="77777777" w:rsidR="00234C28" w:rsidRDefault="00D44F81">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60EAA86C" wp14:editId="254C2502">
          <wp:simplePos x="0" y="0"/>
          <wp:positionH relativeFrom="column">
            <wp:posOffset>-1068069</wp:posOffset>
          </wp:positionH>
          <wp:positionV relativeFrom="paragraph">
            <wp:posOffset>174608</wp:posOffset>
          </wp:positionV>
          <wp:extent cx="7670550" cy="45131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0CB6" w14:textId="77777777" w:rsidR="00747CD9" w:rsidRDefault="00747CD9">
      <w:r>
        <w:separator/>
      </w:r>
    </w:p>
  </w:footnote>
  <w:footnote w:type="continuationSeparator" w:id="0">
    <w:p w14:paraId="393FF166" w14:textId="77777777" w:rsidR="00747CD9" w:rsidRDefault="00747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B6AC0"/>
    <w:multiLevelType w:val="multilevel"/>
    <w:tmpl w:val="40D4910A"/>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10991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28"/>
    <w:rsid w:val="00234C28"/>
    <w:rsid w:val="00747CD9"/>
    <w:rsid w:val="009C2182"/>
    <w:rsid w:val="00D44F81"/>
    <w:rsid w:val="00D9568D"/>
    <w:rsid w:val="00E0250D"/>
    <w:rsid w:val="00FF68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33AD"/>
  <w15:docId w15:val="{6358BE3A-38FF-401E-AF64-BE8C7855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8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 w:type="character" w:styleId="Mencinsinresolver">
    <w:name w:val="Unresolved Mention"/>
    <w:basedOn w:val="Fuentedeprrafopredeter"/>
    <w:uiPriority w:val="99"/>
    <w:semiHidden/>
    <w:unhideWhenUsed/>
    <w:rsid w:val="00990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visitado">
    <w:name w:val="FollowedHyperlink"/>
    <w:basedOn w:val="Fuentedeprrafopredeter"/>
    <w:uiPriority w:val="99"/>
    <w:semiHidden/>
    <w:unhideWhenUsed/>
    <w:rsid w:val="009C2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www.fotocasa.es/es/"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fotocasa.es/es/quienes-somo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infojob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adevinta.es" TargetMode="External"/><Relationship Id="rId28" Type="http://schemas.openxmlformats.org/officeDocument/2006/relationships/footer" Target="footer1.xml"/><Relationship Id="rId10" Type="http://schemas.openxmlformats.org/officeDocument/2006/relationships/hyperlink" Target="https://www.fotocasa.es" TargetMode="External"/><Relationship Id="rId19" Type="http://schemas.openxmlformats.org/officeDocument/2006/relationships/hyperlink" Target="https://www.habitaclia.com/" TargetMode="External"/><Relationship Id="rId4" Type="http://schemas.openxmlformats.org/officeDocument/2006/relationships/settings" Target="settings.xml"/><Relationship Id="rId9" Type="http://schemas.openxmlformats.org/officeDocument/2006/relationships/hyperlink" Target="https://youtu.be/mxMNiMYZw-0" TargetMode="External"/><Relationship Id="rId14" Type="http://schemas.openxmlformats.org/officeDocument/2006/relationships/hyperlink" Target="http://www.fotocasa.es" TargetMode="External"/><Relationship Id="rId22" Type="http://schemas.openxmlformats.org/officeDocument/2006/relationships/hyperlink" Target="https://motos.coches.net/" TargetMode="External"/><Relationship Id="rId27" Type="http://schemas.openxmlformats.org/officeDocument/2006/relationships/hyperlink" Target="mailto:piglesias@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AppData\Roaming\Microsoft\Excel\Copia%20de%20PRENSA%20VENTA%20MAY%202022ok%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4.605375202992458E-2"/>
          <c:y val="6.6425644952746263E-2"/>
          <c:w val="0.89913341540741254"/>
          <c:h val="0.69173660984684604"/>
        </c:manualLayout>
      </c:layout>
      <c:barChart>
        <c:barDir val="col"/>
        <c:grouping val="clustered"/>
        <c:varyColors val="0"/>
        <c:ser>
          <c:idx val="0"/>
          <c:order val="0"/>
          <c:tx>
            <c:strRef>
              <c:f>Hoja5!$C$30</c:f>
              <c:strCache>
                <c:ptCount val="1"/>
                <c:pt idx="0">
                  <c:v>  % MENSUAL </c:v>
                </c:pt>
              </c:strCache>
            </c:strRef>
          </c:tx>
          <c:spPr>
            <a:solidFill>
              <a:srgbClr val="5B9BD5">
                <a:lumMod val="75000"/>
              </a:srgbClr>
            </a:solidFill>
            <a:ln>
              <a:noFill/>
            </a:ln>
            <a:effectLst/>
          </c:spPr>
          <c:invertIfNegative val="0"/>
          <c:dLbls>
            <c:dLbl>
              <c:idx val="5"/>
              <c:layout>
                <c:manualLayout>
                  <c:x val="6.782645755229802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F9-4D63-8FEE-A2CC54EDB1D1}"/>
                </c:ext>
              </c:extLst>
            </c:dLbl>
            <c:dLbl>
              <c:idx val="9"/>
              <c:layout>
                <c:manualLayout>
                  <c:x val="-1.9456212644456145E-3"/>
                  <c:y val="1.0997860559850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F9-4D63-8FEE-A2CC54EDB1D1}"/>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Hoja5!$A$31:$B$43</c:f>
              <c:multiLvlStrCache>
                <c:ptCount val="13"/>
                <c:lvl>
                  <c:pt idx="0">
                    <c:v>MAY</c:v>
                  </c:pt>
                  <c:pt idx="1">
                    <c:v>JUN</c:v>
                  </c:pt>
                  <c:pt idx="2">
                    <c:v>JUL</c:v>
                  </c:pt>
                  <c:pt idx="3">
                    <c:v>AGO</c:v>
                  </c:pt>
                  <c:pt idx="4">
                    <c:v>SEP</c:v>
                  </c:pt>
                  <c:pt idx="5">
                    <c:v>OCT</c:v>
                  </c:pt>
                  <c:pt idx="6">
                    <c:v>NOV</c:v>
                  </c:pt>
                  <c:pt idx="7">
                    <c:v>DIC</c:v>
                  </c:pt>
                  <c:pt idx="8">
                    <c:v>ENE</c:v>
                  </c:pt>
                  <c:pt idx="9">
                    <c:v>FEB</c:v>
                  </c:pt>
                  <c:pt idx="10">
                    <c:v>MAR</c:v>
                  </c:pt>
                  <c:pt idx="11">
                    <c:v>ABR</c:v>
                  </c:pt>
                  <c:pt idx="12">
                    <c:v>MAY</c:v>
                  </c:pt>
                </c:lvl>
                <c:lvl>
                  <c:pt idx="0">
                    <c:v>2021</c:v>
                  </c:pt>
                  <c:pt idx="11">
                    <c:v>2022</c:v>
                  </c:pt>
                </c:lvl>
              </c:multiLvlStrCache>
            </c:multiLvlStrRef>
          </c:cat>
          <c:val>
            <c:numRef>
              <c:f>Hoja5!$C$31:$C$43</c:f>
              <c:numCache>
                <c:formatCode>#,##0.0"%"</c:formatCode>
                <c:ptCount val="13"/>
                <c:pt idx="0">
                  <c:v>-0.16598730932469996</c:v>
                </c:pt>
                <c:pt idx="1">
                  <c:v>-0.10382686169280175</c:v>
                </c:pt>
                <c:pt idx="2">
                  <c:v>-6.671488865636066E-2</c:v>
                </c:pt>
                <c:pt idx="3">
                  <c:v>0.85381793650125548</c:v>
                </c:pt>
                <c:pt idx="4">
                  <c:v>-0.73127225346126812</c:v>
                </c:pt>
                <c:pt idx="5">
                  <c:v>0.37973572920140253</c:v>
                </c:pt>
                <c:pt idx="6">
                  <c:v>2.2026662750818105E-2</c:v>
                </c:pt>
                <c:pt idx="7">
                  <c:v>1.0151006711409449</c:v>
                </c:pt>
                <c:pt idx="8">
                  <c:v>-0.16298480192674658</c:v>
                </c:pt>
                <c:pt idx="9">
                  <c:v>-9.8089167559167745E-2</c:v>
                </c:pt>
                <c:pt idx="10">
                  <c:v>1.0855913680047236</c:v>
                </c:pt>
                <c:pt idx="11">
                  <c:v>0.15513507391224923</c:v>
                </c:pt>
                <c:pt idx="12">
                  <c:v>2.7661739961824638</c:v>
                </c:pt>
              </c:numCache>
            </c:numRef>
          </c:val>
          <c:extLst>
            <c:ext xmlns:c16="http://schemas.microsoft.com/office/drawing/2014/chart" uri="{C3380CC4-5D6E-409C-BE32-E72D297353CC}">
              <c16:uniqueId val="{00000002-E9F9-4D63-8FEE-A2CC54EDB1D1}"/>
            </c:ext>
          </c:extLst>
        </c:ser>
        <c:ser>
          <c:idx val="1"/>
          <c:order val="1"/>
          <c:tx>
            <c:strRef>
              <c:f>Hoja5!$D$30</c:f>
              <c:strCache>
                <c:ptCount val="1"/>
                <c:pt idx="0">
                  <c:v> % INTERANUAL </c:v>
                </c:pt>
              </c:strCache>
            </c:strRef>
          </c:tx>
          <c:spPr>
            <a:solidFill>
              <a:sysClr val="window" lastClr="FFFFFF">
                <a:lumMod val="75000"/>
              </a:sysClr>
            </a:solidFill>
            <a:ln>
              <a:noFill/>
            </a:ln>
            <a:effectLst/>
          </c:spPr>
          <c:invertIfNegative val="0"/>
          <c:dLbls>
            <c:dLbl>
              <c:idx val="0"/>
              <c:layout>
                <c:manualLayout>
                  <c:x val="-1.1105598223618119E-17"/>
                  <c:y val="1.87046995557633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F9-4D63-8FEE-A2CC54EDB1D1}"/>
                </c:ext>
              </c:extLst>
            </c:dLbl>
            <c:dLbl>
              <c:idx val="3"/>
              <c:layout>
                <c:manualLayout>
                  <c:x val="6.782645755229781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9F9-4D63-8FEE-A2CC54EDB1D1}"/>
                </c:ext>
              </c:extLst>
            </c:dLbl>
            <c:dLbl>
              <c:idx val="5"/>
              <c:layout>
                <c:manualLayout>
                  <c:x val="-4.1449023014864612E-17"/>
                  <c:y val="-2.39409356381563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9F9-4D63-8FEE-A2CC54EDB1D1}"/>
                </c:ext>
              </c:extLst>
            </c:dLbl>
            <c:dLbl>
              <c:idx val="9"/>
              <c:layout>
                <c:manualLayout>
                  <c:x val="4.8461352071722799E-3"/>
                  <c:y val="4.67617488894084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9F9-4D63-8FEE-A2CC54EDB1D1}"/>
                </c:ext>
              </c:extLst>
            </c:dLbl>
            <c:dLbl>
              <c:idx val="12"/>
              <c:layout>
                <c:manualLayout>
                  <c:x val="5.8574787781698993E-3"/>
                  <c:y val="-1.45130127157417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9F9-4D63-8FEE-A2CC54EDB1D1}"/>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Hoja5!$A$31:$B$43</c:f>
              <c:multiLvlStrCache>
                <c:ptCount val="13"/>
                <c:lvl>
                  <c:pt idx="0">
                    <c:v>MAY</c:v>
                  </c:pt>
                  <c:pt idx="1">
                    <c:v>JUN</c:v>
                  </c:pt>
                  <c:pt idx="2">
                    <c:v>JUL</c:v>
                  </c:pt>
                  <c:pt idx="3">
                    <c:v>AGO</c:v>
                  </c:pt>
                  <c:pt idx="4">
                    <c:v>SEP</c:v>
                  </c:pt>
                  <c:pt idx="5">
                    <c:v>OCT</c:v>
                  </c:pt>
                  <c:pt idx="6">
                    <c:v>NOV</c:v>
                  </c:pt>
                  <c:pt idx="7">
                    <c:v>DIC</c:v>
                  </c:pt>
                  <c:pt idx="8">
                    <c:v>ENE</c:v>
                  </c:pt>
                  <c:pt idx="9">
                    <c:v>FEB</c:v>
                  </c:pt>
                  <c:pt idx="10">
                    <c:v>MAR</c:v>
                  </c:pt>
                  <c:pt idx="11">
                    <c:v>ABR</c:v>
                  </c:pt>
                  <c:pt idx="12">
                    <c:v>MAY</c:v>
                  </c:pt>
                </c:lvl>
                <c:lvl>
                  <c:pt idx="0">
                    <c:v>2021</c:v>
                  </c:pt>
                  <c:pt idx="11">
                    <c:v>2022</c:v>
                  </c:pt>
                </c:lvl>
              </c:multiLvlStrCache>
            </c:multiLvlStrRef>
          </c:cat>
          <c:val>
            <c:numRef>
              <c:f>Hoja5!$D$31:$D$43</c:f>
              <c:numCache>
                <c:formatCode>#,##0.0"%"</c:formatCode>
                <c:ptCount val="13"/>
                <c:pt idx="0">
                  <c:v>3.4088765724068937</c:v>
                </c:pt>
                <c:pt idx="1">
                  <c:v>3.0521893623873364</c:v>
                </c:pt>
                <c:pt idx="2">
                  <c:v>2.2273466880744719</c:v>
                </c:pt>
                <c:pt idx="3">
                  <c:v>2.8040328790673419</c:v>
                </c:pt>
                <c:pt idx="4">
                  <c:v>1.9748261558888647</c:v>
                </c:pt>
                <c:pt idx="5">
                  <c:v>2.6069955156950764</c:v>
                </c:pt>
                <c:pt idx="6">
                  <c:v>1.9987592432810342</c:v>
                </c:pt>
                <c:pt idx="7">
                  <c:v>3.4383523398406446</c:v>
                </c:pt>
                <c:pt idx="8">
                  <c:v>2.1310854483312047</c:v>
                </c:pt>
                <c:pt idx="9">
                  <c:v>1.7358954085954892</c:v>
                </c:pt>
                <c:pt idx="10">
                  <c:v>1.1761560151681616</c:v>
                </c:pt>
                <c:pt idx="11">
                  <c:v>2.1876006779566248</c:v>
                </c:pt>
                <c:pt idx="12">
                  <c:v>5.1888877196674565</c:v>
                </c:pt>
              </c:numCache>
            </c:numRef>
          </c:val>
          <c:extLst>
            <c:ext xmlns:c16="http://schemas.microsoft.com/office/drawing/2014/chart" uri="{C3380CC4-5D6E-409C-BE32-E72D297353CC}">
              <c16:uniqueId val="{00000008-E9F9-4D63-8FEE-A2CC54EDB1D1}"/>
            </c:ext>
          </c:extLst>
        </c:ser>
        <c:dLbls>
          <c:showLegendKey val="0"/>
          <c:showVal val="0"/>
          <c:showCatName val="0"/>
          <c:showSerName val="0"/>
          <c:showPercent val="0"/>
          <c:showBubbleSize val="0"/>
        </c:dLbls>
        <c:gapWidth val="100"/>
        <c:overlap val="-14"/>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7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5.8298029647702497E-2"/>
          <c:y val="0.9028352560581091"/>
          <c:w val="0.84440494727317739"/>
          <c:h val="9.1817028103173839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0.0238</cdr:x>
      <cdr:y>0.58434</cdr:y>
    </cdr:from>
    <cdr:to>
      <cdr:x>0.94162</cdr:x>
      <cdr:y>0.58459</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flipV="1">
          <a:off x="134458" y="1487203"/>
          <a:ext cx="5185894" cy="636"/>
        </a:xfrm>
        <a:prstGeom xmlns:a="http://schemas.openxmlformats.org/drawingml/2006/main" prst="line">
          <a:avLst/>
        </a:prstGeom>
        <a:ln xmlns:a="http://schemas.openxmlformats.org/drawingml/2006/main" w="12700"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8nylgN27yl6E1D4QiNDUOh90vQ==">AMUW2mUpgHQPXIttcYzhXsfwfB7s326KTcQjuWv2g1W5lnhKxNHIWbHju6OA3/A5Bk4DEiJ6wDhLklRnZjTurYoF2qgaVc/EYbumR7F5cdJWFPI3YY+JhJHV+lu+l+wNNMZDm8V+0uX+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1303</Words>
  <Characters>7170</Characters>
  <Application>Microsoft Office Word</Application>
  <DocSecurity>0</DocSecurity>
  <Lines>59</Lines>
  <Paragraphs>16</Paragraphs>
  <ScaleCrop>false</ScaleCrop>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5</cp:revision>
  <dcterms:created xsi:type="dcterms:W3CDTF">2022-05-26T20:30:00Z</dcterms:created>
  <dcterms:modified xsi:type="dcterms:W3CDTF">2022-06-07T11:50:00Z</dcterms:modified>
</cp:coreProperties>
</file>