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right="-574"/>
        <w:jc w:val="center"/>
        <w:rPr>
          <w:rFonts w:ascii="National" w:cs="National" w:eastAsia="National" w:hAnsi="National"/>
          <w:b w:val="1"/>
          <w:color w:val="1dbdc5"/>
          <w:sz w:val="28"/>
          <w:szCs w:val="28"/>
        </w:rPr>
      </w:pPr>
      <w:r w:rsidDel="00000000" w:rsidR="00000000" w:rsidRPr="00000000">
        <w:rPr>
          <w:rFonts w:ascii="National" w:cs="National" w:eastAsia="National" w:hAnsi="National"/>
          <w:b w:val="1"/>
          <w:color w:val="1dbdc5"/>
          <w:sz w:val="28"/>
          <w:szCs w:val="28"/>
          <w:rtl w:val="0"/>
        </w:rPr>
        <w:t xml:space="preserve">DEMANDA DE VIVIENDA FUERA DE LAS CIUDADES</w:t>
      </w:r>
    </w:p>
    <w:p w:rsidR="00000000" w:rsidDel="00000000" w:rsidP="00000000" w:rsidRDefault="00000000" w:rsidRPr="00000000" w14:paraId="00000002">
      <w:pPr>
        <w:spacing w:line="276" w:lineRule="auto"/>
        <w:ind w:right="-574"/>
        <w:jc w:val="center"/>
        <w:rPr>
          <w:rFonts w:ascii="National" w:cs="National" w:eastAsia="National" w:hAnsi="National"/>
          <w:b w:val="1"/>
          <w:color w:val="303ab2"/>
          <w:sz w:val="42"/>
          <w:szCs w:val="42"/>
        </w:rPr>
      </w:pPr>
      <w:r w:rsidDel="00000000" w:rsidR="00000000" w:rsidRPr="00000000">
        <w:rPr>
          <w:rFonts w:ascii="National" w:cs="National" w:eastAsia="National" w:hAnsi="National"/>
          <w:b w:val="1"/>
          <w:color w:val="303ab2"/>
          <w:sz w:val="42"/>
          <w:szCs w:val="42"/>
          <w:rtl w:val="0"/>
        </w:rPr>
        <w:t xml:space="preserve">La periferia de las ciudades sigue en auge: las zonas rurales y la costa son lo más buscado para comprar</w:t>
      </w:r>
    </w:p>
    <w:p w:rsidR="00000000" w:rsidDel="00000000" w:rsidP="00000000" w:rsidRDefault="00000000" w:rsidRPr="00000000" w14:paraId="00000003">
      <w:pPr>
        <w:spacing w:line="276" w:lineRule="auto"/>
        <w:ind w:right="-574"/>
        <w:rPr>
          <w:rFonts w:ascii="Open Sans" w:cs="Open Sans" w:eastAsia="Open Sans" w:hAnsi="Open Sans"/>
          <w:color w:val="323f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23fac"/>
        </w:rPr>
      </w:pPr>
      <w:r w:rsidDel="00000000" w:rsidR="00000000" w:rsidRPr="00000000">
        <w:rPr>
          <w:rFonts w:ascii="Open Sans" w:cs="Open Sans" w:eastAsia="Open Sans" w:hAnsi="Open Sans"/>
          <w:color w:val="323fac"/>
          <w:rtl w:val="0"/>
        </w:rPr>
        <w:t xml:space="preserve">El 30% de la demanda de vivienda busca en una capital de provincia, un 24% en los grandes centros urbanos y un 22% en una zona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23fac"/>
        </w:rPr>
      </w:pPr>
      <w:r w:rsidDel="00000000" w:rsidR="00000000" w:rsidRPr="00000000">
        <w:rPr>
          <w:rFonts w:ascii="Open Sans" w:cs="Open Sans" w:eastAsia="Open Sans" w:hAnsi="Open Sans"/>
          <w:color w:val="323fac"/>
          <w:rtl w:val="0"/>
        </w:rPr>
        <w:t xml:space="preserve">La calidad de vida y la tranquilidad son las principales razones para comprar vivienda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23fac"/>
        </w:rPr>
      </w:pPr>
      <w:r w:rsidDel="00000000" w:rsidR="00000000" w:rsidRPr="00000000">
        <w:rPr>
          <w:rFonts w:ascii="Open Sans" w:cs="Open Sans" w:eastAsia="Open Sans" w:hAnsi="Open Sans"/>
          <w:color w:val="323fac"/>
          <w:rtl w:val="0"/>
        </w:rPr>
        <w:t xml:space="preserve">El alquiler se inclina por capitales de provincia y las grandes urbes, mientras quién compra busca en las zonas más periféricas de las ciudades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23fac"/>
        </w:rPr>
      </w:pPr>
      <w:r w:rsidDel="00000000" w:rsidR="00000000" w:rsidRPr="00000000">
        <w:rPr>
          <w:rFonts w:ascii="Open Sans" w:cs="Open Sans" w:eastAsia="Open Sans" w:hAnsi="Open Sans"/>
          <w:color w:val="323fac"/>
          <w:rtl w:val="0"/>
        </w:rPr>
        <w:t xml:space="preserve">Los jóvenes compran y alquilan más en los entornos urbanos que los más mayores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b w:val="1"/>
          <w:color w:val="323fac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b w:val="1"/>
            <w:color w:val="0000ff"/>
            <w:u w:val="single"/>
            <w:rtl w:val="0"/>
          </w:rPr>
          <w:t xml:space="preserve">Aquí se puede ver la valoración en vídeo de la directora de Estudios de Fotocasa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Madrid, 27 de julio de 2022</w:t>
      </w:r>
    </w:p>
    <w:p w:rsidR="00000000" w:rsidDel="00000000" w:rsidP="00000000" w:rsidRDefault="00000000" w:rsidRPr="00000000" w14:paraId="0000000B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La demanda de vivienda siempre está en movimiento, un incesante ir y venir de personas que ya tienen o no una casa, en propiedad o en alquiler, pero que están buscando algo más grande, una inversión, una casa en el pueblo vaciado de sus padres. Es, por tanto, un retrato de cómo vivimos (en grandes ciudades y capitales de provincia) y hacia dónde tendemos a trasladarnos cuando las circunstancias lo aconsejan (ubicaciones costeras, zonas rurales y el extrarradio de las grandes urbes). </w:t>
      </w:r>
    </w:p>
    <w:p w:rsidR="00000000" w:rsidDel="00000000" w:rsidP="00000000" w:rsidRDefault="00000000" w:rsidRPr="00000000" w14:paraId="0000000D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Los últimos datos de </w:t>
      </w:r>
      <w:hyperlink r:id="rId8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Fotocasa Research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a partir de casi 4.600 encuestas a demandantes de vivienda en el último año (ya sea de alquiler o de compra;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e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materializarse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la operación o no) proporcionan ese retrato sobre la ubicación de sus pretensiones inmobiliarias. Por un lado, un 30% de ellos ha buscado casa en una capital de provincia, un 24% en los grandes centros urbanos y un 22% en una zona rural. Por tanto, el punto de partida es que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el protagonismo de las ciudades (grandes, medianas y pequeñas) en la demanda de vivienda sigue bien alto y supera al resto de segmentos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Ahora bien, lo significativo, en este caso, es comparar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estos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porcentajes con los que proporciona la ubicación de la residencia anterior a la acción de demanda de vivienda: el 30% residía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o reside, si no ha completado todavía la acción de búsqueda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en una capital de provincia, el 25% en un gran centro urbano, el 18% en una zona rural, un 16% cerca de la costa e idéntico porcentaje en el extrarradio de una gran urbe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Al combinar la ubicación de la residencia previa con la zona en la que ha buscado vivienda es donde encontramos que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hay más interés del esperable por inmuebles en zonas rurales (4 puntos porcentuales de diferencia), cerca de la costa (4 p.p. m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ás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) y el extrarradio de una gran urbe (aumenta 3 p.p.)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ind w:right="-574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802852" cy="4062270"/>
            <wp:effectExtent b="0" l="0" r="0" t="0"/>
            <wp:docPr descr="Diagrama&#10;&#10;Descripción generada automáticamente con confianza media" id="60" name="image6.png"/>
            <a:graphic>
              <a:graphicData uri="http://schemas.openxmlformats.org/drawingml/2006/picture">
                <pic:pic>
                  <pic:nvPicPr>
                    <pic:cNvPr descr="Diagrama&#10;&#10;Descripción generada automáticamente con confianza media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2852" cy="4062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“Las preferencias y necesidades habitacionales de los ciudadanos se han modificado, generando una gran demanda por mejorar su condición de vida a través de la compra de vivienda. Conjuntamente, se requieren segundas residencias, nuevas tipologías, y características en el hogar como la luz natural y los espacios amplios con salida al exterior. Estos requisitos se han vuelto lo más cotizado del mercado. Por ello, no es de extrañar, que las nuevas exigencias de zonas ajardinadas y de más contacto con la naturaleza estén relacionadas con la búsqueda de tranquilidad y bienestar. La mejora de calidad de vida es un reclamo de la mayoría de la sociedad y estos aspectos son más fáciles de encontrar en la periferia que en el centro de una gran urbe. Por lo tanto, la demanda continúa dirigiéndose hacia la playa y zonas de costa, propiciando un éxodo rural donde encontrar una segunda vivienda o instalar su residencia habitual”, comenta María Matos, directora de Estudios y Portavoz de </w:t>
      </w: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9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826848" cy="3239119"/>
            <wp:effectExtent b="0" l="0" r="0" t="0"/>
            <wp:docPr descr="Interfaz de usuario gráfica, Aplicación&#10;&#10;Descripción generada automáticamente" id="62" name="image2.jpg"/>
            <a:graphic>
              <a:graphicData uri="http://schemas.openxmlformats.org/drawingml/2006/picture">
                <pic:pic>
                  <pic:nvPicPr>
                    <pic:cNvPr descr="Interfaz de usuario gráfica, Aplicación&#10;&#10;Descripción generada automáticamente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6848" cy="3239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Pero no toda la demanda de vivienda es igual: si separamos a las personas que, en los últimos doce meses, han comprado o buscado casa en propiedad de quienes han alquilado (o lo han intentado) como inquilinos tenemos dos perfiles muy diferentes. </w:t>
      </w:r>
    </w:p>
    <w:p w:rsidR="00000000" w:rsidDel="00000000" w:rsidP="00000000" w:rsidRDefault="00000000" w:rsidRPr="00000000" w14:paraId="0000001D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Entre los inquilinos tienen mucho más protagonismo —hasta diez puntos porcentuales de diferencia— las capitales de provincia (35 %) y los grandes centros urbanos (28 %). Por el contrario,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quienes compran (o pretenden hacerlo) buscan en mayor medida en zonas rurales (24 %), cerca de la costa (22 %) y el extrarradio de las grandes urbes (20 %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1E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756491" cy="4029815"/>
            <wp:effectExtent b="0" l="0" r="0" t="0"/>
            <wp:docPr descr="Imagen que contiene Gráfico de barras&#10;&#10;Descripción generada automáticamente" id="61" name="image1.png"/>
            <a:graphic>
              <a:graphicData uri="http://schemas.openxmlformats.org/drawingml/2006/picture">
                <pic:pic>
                  <pic:nvPicPr>
                    <pic:cNvPr descr="Imagen que contiene Gráfico de barras&#10;&#10;Descripción generada automáticamente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6491" cy="402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En los centros urbanos y en las capitales de provincia hay unas bases administrativas, educativas, empresariales, etc. que siempre actúan como polos de atracción de potenciales inquilinos.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Casi dos de cada tres demandantes de alquiler buscan en estas ciudades, cuyos precios de arrendamiento son significativamente más altos.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Fuera de estas zonas, el alquiler pierde protagonismo y la demanda de vivienda en propiedad la gana: su mayor peso se nutre de muchas variables personales que se entrecruzan y muchas veces conducen a una mudanza de las ciudades hacia otros lugares. </w:t>
      </w:r>
    </w:p>
    <w:p w:rsidR="00000000" w:rsidDel="00000000" w:rsidP="00000000" w:rsidRDefault="00000000" w:rsidRPr="00000000" w14:paraId="00000023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6"/>
          <w:szCs w:val="26"/>
          <w:rtl w:val="0"/>
        </w:rPr>
        <w:t xml:space="preserve">¿Por qué buscamos zonas periféricas?</w:t>
      </w:r>
    </w:p>
    <w:p w:rsidR="00000000" w:rsidDel="00000000" w:rsidP="00000000" w:rsidRDefault="00000000" w:rsidRPr="00000000" w14:paraId="00000025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Quienes migran desde zonas urbanas a periféricas lo hacen, principalmente, por motivos vinculados con la calidad de vida. Esta tendencia es especialmente notable entre los compradores —entendiendo como tales a los que han comprado o pretendido hacerlo en los últimos 12 meses—: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el 51 % lo argumenta con la búsqueda de zonas más tranquilas y otro 38 % lo hizo aspirando a una mayor calidad de vida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7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714958" cy="4569680"/>
            <wp:effectExtent b="0" l="0" r="0" t="0"/>
            <wp:docPr descr="Imagen que contiene Gráfico&#10;&#10;Descripción generada automáticamente" id="64" name="image7.png"/>
            <a:graphic>
              <a:graphicData uri="http://schemas.openxmlformats.org/drawingml/2006/picture">
                <pic:pic>
                  <pic:nvPicPr>
                    <pic:cNvPr descr="Imagen que contiene Gráfico&#10;&#10;Descripción generada automáticamente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4958" cy="4569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6"/>
          <w:szCs w:val="26"/>
          <w:rtl w:val="0"/>
        </w:rPr>
        <w:t xml:space="preserve">Los jóvenes a las ciudades; los mayores a la periferia</w:t>
      </w:r>
    </w:p>
    <w:p w:rsidR="00000000" w:rsidDel="00000000" w:rsidP="00000000" w:rsidRDefault="00000000" w:rsidRPr="00000000" w14:paraId="0000002C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Si estudiamos la demanda en función de la edad, apreciamos cambios significativos: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los compradores menores de 45 años concentran sus compras en el extrarradio de las grandes ciudades, capitales de provincia y grandes centros urbanos. Frente a esto,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los mayores de 45 años priorizan las zonas rurales y la localización cercana a la costa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E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Entre los compradores más jóvenes sigue habiendo un gran anclaje por las ciudades, mientras que, entre las personas mayores, la periferia gana terreno. Una interpretación plausible de estos datos conduce a los ciclos de vida de uno y otro colectivo: el trabajo y la primera residencia son las prioridades desde la juventud hasta la madurez, cuando entran en juego otras variables: segunda residencia, horizonte de jubilación, naturaleza y entornos tranquilos. </w:t>
      </w:r>
    </w:p>
    <w:p w:rsidR="00000000" w:rsidDel="00000000" w:rsidP="00000000" w:rsidRDefault="00000000" w:rsidRPr="00000000" w14:paraId="00000030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Los inquilinos destacan por buscar o alquilar en grandes ciudades y capitales de provincia. Entre los menores de 45 años, esta situación se intensifica aún más: así el 41 % de las personas entre 18 y 24 años buscan en capitales de provincia. Casi misma cifra entre las personas entre 25 y 34 años (41,1%) y baja ligeramente entre las personas entre 35 y 44 años (36,8 %). </w:t>
      </w:r>
    </w:p>
    <w:p w:rsidR="00000000" w:rsidDel="00000000" w:rsidP="00000000" w:rsidRDefault="00000000" w:rsidRPr="00000000" w14:paraId="00000032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En el caso de los grandes centros urbanos: el 28,4 % de las personas entre 18 y 24 años buscan alquilar o han alquilado en estos lugares; cifra que aumenta hasta el 32,3 % entre aquellos con 25 y 34 años, y que luego disminuye al 26,2 % entre las personas con edades entre 35 y 44 años.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 La demanda de alquiler (sea efectiva o no) en zonas de costa o entornos rurales solo aumenta entre las personas de más de 45 años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34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6"/>
          <w:szCs w:val="26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6"/>
          <w:szCs w:val="26"/>
          <w:rtl w:val="0"/>
        </w:rPr>
        <w:t xml:space="preserve">Geografía de la demanda de vivienda</w:t>
      </w:r>
    </w:p>
    <w:p w:rsidR="00000000" w:rsidDel="00000000" w:rsidP="00000000" w:rsidRDefault="00000000" w:rsidRPr="00000000" w14:paraId="00000037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La ubicación de la demanda de vivienda, como hemos dicho, responde mucho a fases vitales, pero también a particularidades territoriales: es perfectamente lógico que la búsqueda de vivienda en la costa supere el 20 % en Cataluña y se sitúe entre el 5% y el 10 % en Madrid. </w:t>
      </w:r>
    </w:p>
    <w:p w:rsidR="00000000" w:rsidDel="00000000" w:rsidP="00000000" w:rsidRDefault="00000000" w:rsidRPr="00000000" w14:paraId="00000039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Cataluña y Madrid, sí que comparten un mayor protagonismo (con respecto a la media nacional) de demanda en el extrarradio de una gran urbe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; algo muy razonable puesto que son las comunidades autónomas que albergan las dos mayores urbes. </w:t>
      </w:r>
    </w:p>
    <w:p w:rsidR="00000000" w:rsidDel="00000000" w:rsidP="00000000" w:rsidRDefault="00000000" w:rsidRPr="00000000" w14:paraId="0000003B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right="-574"/>
        <w:jc w:val="both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En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Andalucía y la Comunidad Valenciana también tienen un peso significativo las localizaciones costeras y las capitales de provincia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, mientras que los grandes centros urbanos y su extrarradio no captan tanto interés por parte de quienes demandan vivienda.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right="-71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/>
        <w:drawing>
          <wp:inline distB="0" distT="0" distL="0" distR="0">
            <wp:extent cx="5805764" cy="4564404"/>
            <wp:effectExtent b="0" l="0" r="0" t="0"/>
            <wp:docPr descr="Escala de tiempo&#10;&#10;Descripción generada automáticamente con confianza media" id="63" name="image3.png"/>
            <a:graphic>
              <a:graphicData uri="http://schemas.openxmlformats.org/drawingml/2006/picture">
                <pic:pic>
                  <pic:nvPicPr>
                    <pic:cNvPr descr="Escala de tiempo&#10;&#10;Descripción generada automáticamente con confianza media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764" cy="4564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Sobre Fotocasa</w:t>
      </w:r>
    </w:p>
    <w:p w:rsidR="00000000" w:rsidDel="00000000" w:rsidP="00000000" w:rsidRDefault="00000000" w:rsidRPr="00000000" w14:paraId="00000043">
      <w:pPr>
        <w:shd w:fill="ffffff" w:val="clear"/>
        <w:spacing w:after="280" w:before="280" w:line="276" w:lineRule="auto"/>
        <w:ind w:right="-716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5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índice inmobiliario 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, un informe de referencia sobre la evolución del precio medio de la vivienda en España, tanto en venta como en alquiler.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Toda nuestra información la puedes encontrar en nuestra </w:t>
      </w:r>
      <w:hyperlink r:id="rId16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Sala de Prensa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44">
      <w:pPr>
        <w:shd w:fill="ffffff" w:val="clear"/>
        <w:spacing w:after="280" w:before="280" w:line="276" w:lineRule="auto"/>
        <w:ind w:right="-716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bookmarkStart w:colFirst="0" w:colLast="0" w:name="_heading=h.30j0zll" w:id="0"/>
      <w:bookmarkEnd w:id="0"/>
      <w:hyperlink r:id="rId17">
        <w:r w:rsidDel="00000000" w:rsidR="00000000" w:rsidRPr="00000000">
          <w:rPr>
            <w:rFonts w:ascii="Open Sans" w:cs="Open Sans" w:eastAsia="Open Sans" w:hAnsi="Open Sans"/>
            <w:b w:val="1"/>
            <w:color w:val="0000ff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 pertenece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a </w:t>
      </w:r>
      <w:hyperlink r:id="rId18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Adevinta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, una empresa 100% especializada en Marketplace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digitales y el único “pure player” del sector a nivel mundial. </w:t>
      </w:r>
      <w:hyperlink r:id="rId19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Más información sobre 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45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Sobre Adevinta Spain</w:t>
      </w:r>
    </w:p>
    <w:p w:rsidR="00000000" w:rsidDel="00000000" w:rsidP="00000000" w:rsidRDefault="00000000" w:rsidRPr="00000000" w14:paraId="00000047">
      <w:pPr>
        <w:spacing w:after="200" w:before="143" w:lineRule="auto"/>
        <w:ind w:right="-71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Adevinta Spain es una compañía líder en marketplaces digitales y una de las principales empresas del sector tecnológico del país, con más de 18 millones de usuarios al mes en sus plataformas de los sectores inmobiliario (</w:t>
      </w:r>
      <w:hyperlink r:id="rId20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hyperlink r:id="rId21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habitaclia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), empleo (</w:t>
      </w:r>
      <w:hyperlink r:id="rId22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InfoJobs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), motor (</w:t>
      </w:r>
      <w:hyperlink r:id="rId23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coches.net</w:t>
        </w:r>
      </w:hyperlink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hyperlink r:id="rId24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motos.net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 y compraventa de artículos de segunda mano (</w:t>
      </w:r>
      <w:hyperlink r:id="rId25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Milanuncios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Rule="auto"/>
        <w:ind w:right="-71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Los negocios de Adevinta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Rule="auto"/>
        <w:ind w:right="-71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Adevinta tiene presencia mundial en 14 países. El conjunto de sus plataformas locales recibe un promedio de 1.300 millones de visitas cada mes.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Rule="auto"/>
        <w:ind w:right="-71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Más información en </w:t>
      </w:r>
      <w:hyperlink r:id="rId26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adevinta.es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2"/>
          <w:szCs w:val="22"/>
          <w:rtl w:val="0"/>
        </w:rPr>
        <w:t xml:space="preserve">Llorente y Cuenca    </w:t>
        <w:tab/>
        <w:tab/>
        <w:tab/>
        <w:t xml:space="preserve">       </w:t>
        <w:tab/>
        <w:t xml:space="preserve">               Departamento Comunicación Fotocasa</w:t>
      </w:r>
    </w:p>
    <w:p w:rsidR="00000000" w:rsidDel="00000000" w:rsidP="00000000" w:rsidRDefault="00000000" w:rsidRPr="00000000" w14:paraId="0000004D">
      <w:pPr>
        <w:shd w:fill="ffffff" w:val="clear"/>
        <w:spacing w:line="276" w:lineRule="auto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Ramon Torné</w:t>
        <w:tab/>
        <w:tab/>
        <w:tab/>
        <w:tab/>
        <w:tab/>
        <w:tab/>
        <w:tab/>
        <w:t xml:space="preserve">                     Anaïs López </w:t>
      </w:r>
    </w:p>
    <w:p w:rsidR="00000000" w:rsidDel="00000000" w:rsidP="00000000" w:rsidRDefault="00000000" w:rsidRPr="00000000" w14:paraId="0000004E">
      <w:pPr>
        <w:shd w:fill="ffffff" w:val="clear"/>
        <w:spacing w:line="276" w:lineRule="auto"/>
        <w:ind w:right="-716"/>
        <w:rPr>
          <w:rFonts w:ascii="Open Sans" w:cs="Open Sans" w:eastAsia="Open Sans" w:hAnsi="Open Sans"/>
          <w:color w:val="0000ff"/>
          <w:sz w:val="22"/>
          <w:szCs w:val="22"/>
          <w:u w:val="single"/>
        </w:rPr>
      </w:pPr>
      <w:hyperlink r:id="rId27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rtorne@llorenteycuenca.com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  <w:tab/>
        <w:t xml:space="preserve">                     </w:t>
      </w:r>
      <w:hyperlink r:id="rId28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comunicacion@fotocasa.es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76" w:lineRule="auto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638 68 19 85      </w:t>
        <w:tab/>
        <w:tab/>
        <w:tab/>
        <w:tab/>
        <w:tab/>
        <w:t xml:space="preserve">                          </w:t>
        <w:tab/>
        <w:t xml:space="preserve">         620 66 29 26</w:t>
      </w:r>
    </w:p>
    <w:p w:rsidR="00000000" w:rsidDel="00000000" w:rsidP="00000000" w:rsidRDefault="00000000" w:rsidRPr="00000000" w14:paraId="00000050">
      <w:pPr>
        <w:shd w:fill="ffffff" w:val="clear"/>
        <w:ind w:right="-716"/>
        <w:rPr>
          <w:rFonts w:ascii="Open Sans" w:cs="Open Sans" w:eastAsia="Open Sans" w:hAnsi="Open Sans"/>
          <w:color w:val="0000ff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ab/>
        <w:tab/>
        <w:t xml:space="preserve">                </w:t>
        <w:tab/>
        <w:tab/>
        <w:tab/>
        <w:tab/>
        <w:tab/>
        <w:tab/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Fanny Merino</w:t>
      </w:r>
    </w:p>
    <w:p w:rsidR="00000000" w:rsidDel="00000000" w:rsidP="00000000" w:rsidRDefault="00000000" w:rsidRPr="00000000" w14:paraId="00000052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hyperlink r:id="rId29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emerino@llorenteycuenca.com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663 35 69 75 </w:t>
      </w:r>
    </w:p>
    <w:p w:rsidR="00000000" w:rsidDel="00000000" w:rsidP="00000000" w:rsidRDefault="00000000" w:rsidRPr="00000000" w14:paraId="00000054">
      <w:pPr>
        <w:shd w:fill="ffffff" w:val="clear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Paula Iglesias</w:t>
      </w:r>
    </w:p>
    <w:p w:rsidR="00000000" w:rsidDel="00000000" w:rsidP="00000000" w:rsidRDefault="00000000" w:rsidRPr="00000000" w14:paraId="00000056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hyperlink r:id="rId30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piglesias@llorenteycuenca.com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662 450 236</w:t>
      </w:r>
    </w:p>
    <w:p w:rsidR="00000000" w:rsidDel="00000000" w:rsidP="00000000" w:rsidRDefault="00000000" w:rsidRPr="00000000" w14:paraId="00000058">
      <w:pPr>
        <w:shd w:fill="ffffff" w:val="clear"/>
        <w:spacing w:line="276" w:lineRule="auto"/>
        <w:ind w:right="-716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ind w:right="-574"/>
        <w:jc w:val="right"/>
        <w:rPr>
          <w:rFonts w:ascii="Open Sans" w:cs="Open Sans" w:eastAsia="Open Sans" w:hAnsi="Open Sans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6840" w:w="11900" w:orient="portrait"/>
      <w:pgMar w:bottom="1417" w:top="1417" w:left="1701" w:right="1701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ational"/>
  <w:font w:name="Noto Sans Symbols"/>
  <w:font w:name="Open Sa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-1068063</wp:posOffset>
          </wp:positionH>
          <wp:positionV relativeFrom="paragraph">
            <wp:posOffset>174608</wp:posOffset>
          </wp:positionV>
          <wp:extent cx="7670550" cy="451315"/>
          <wp:effectExtent b="0" l="0" r="0" t="0"/>
          <wp:wrapNone/>
          <wp:docPr id="5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-1121127</wp:posOffset>
          </wp:positionH>
          <wp:positionV relativeFrom="paragraph">
            <wp:posOffset>225177</wp:posOffset>
          </wp:positionV>
          <wp:extent cx="7581265" cy="1019175"/>
          <wp:effectExtent b="0" l="0" r="0" t="0"/>
          <wp:wrapNone/>
          <wp:docPr id="5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1265" cy="10191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5497C"/>
  </w:style>
  <w:style w:type="paragraph" w:styleId="Ttulo1">
    <w:name w:val="heading 1"/>
    <w:basedOn w:val="Normal"/>
    <w:next w:val="Normal"/>
    <w:link w:val="Ttulo1Car"/>
    <w:uiPriority w:val="9"/>
    <w:qFormat w:val="1"/>
    <w:rsid w:val="00E44764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343AB8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link w:val="Ttulo3Car"/>
    <w:uiPriority w:val="9"/>
    <w:semiHidden w:val="1"/>
    <w:unhideWhenUsed w:val="1"/>
    <w:qFormat w:val="1"/>
    <w:rsid w:val="009F2EE6"/>
    <w:pPr>
      <w:spacing w:after="100" w:afterAutospacing="1" w:before="100" w:beforeAutospacing="1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val="es-ES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Web">
    <w:name w:val="Normal (Web)"/>
    <w:basedOn w:val="Normal"/>
    <w:uiPriority w:val="99"/>
    <w:unhideWhenUsed w:val="1"/>
    <w:rsid w:val="00A84CA7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ES_tradnl"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DD4CA4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 w:val="1"/>
    <w:rsid w:val="00DD4CA4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 w:val="1"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5029E9"/>
    <w:pPr>
      <w:ind w:left="720"/>
      <w:contextualSpacing w:val="1"/>
    </w:pPr>
  </w:style>
  <w:style w:type="table" w:styleId="Tabladecuadrcula5oscura-nfasis11" w:customStyle="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e2f3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band1Vert">
      <w:tblPr/>
      <w:tcPr>
        <w:shd w:color="auto" w:fill="b4c6e7" w:themeFill="accent1" w:themeFillTint="000066" w:val="clear"/>
      </w:tcPr>
    </w:tblStylePr>
    <w:tblStylePr w:type="band1Horz">
      <w:tblPr/>
      <w:tcPr>
        <w:shd w:color="auto" w:fill="b4c6e7" w:themeFill="accent1" w:themeFillTint="000066" w:val="clear"/>
      </w:tcPr>
    </w:tblStyle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964BE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C72FE2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C72FE2"/>
    <w:rPr>
      <w:rFonts w:ascii="Segoe UI" w:cs="Segoe UI" w:hAnsi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7C4E4A"/>
    <w:rPr>
      <w:color w:val="605e5c"/>
      <w:shd w:color="auto" w:fill="e1dfdd" w:val="clear"/>
    </w:rPr>
  </w:style>
  <w:style w:type="paragraph" w:styleId="Descripcin">
    <w:name w:val="caption"/>
    <w:basedOn w:val="Normal"/>
    <w:next w:val="Normal"/>
    <w:uiPriority w:val="35"/>
    <w:unhideWhenUsed w:val="1"/>
    <w:qFormat w:val="1"/>
    <w:rsid w:val="00813155"/>
    <w:pPr>
      <w:spacing w:after="200"/>
    </w:pPr>
    <w:rPr>
      <w:i w:val="1"/>
      <w:iCs w:val="1"/>
      <w:color w:val="44546a" w:themeColor="text2"/>
      <w:sz w:val="18"/>
      <w:szCs w:val="18"/>
      <w:lang w:val="es-ES"/>
    </w:rPr>
  </w:style>
  <w:style w:type="paragraph" w:styleId="Prrafodelista1" w:customStyle="1">
    <w:name w:val="Párrafo de lista1"/>
    <w:basedOn w:val="Normal"/>
    <w:uiPriority w:val="34"/>
    <w:qFormat w:val="1"/>
    <w:rsid w:val="00471E3C"/>
    <w:pPr>
      <w:spacing w:after="160" w:line="259" w:lineRule="auto"/>
      <w:ind w:left="720"/>
      <w:contextualSpacing w:val="1"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E2636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FE2636"/>
    <w:rPr>
      <w:b w:val="1"/>
      <w:bCs w:val="1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FE2636"/>
    <w:rPr>
      <w:color w:val="605e5c"/>
      <w:shd w:color="auto" w:fill="e1dfdd" w:val="clear"/>
    </w:rPr>
  </w:style>
  <w:style w:type="character" w:styleId="Ttulo3Car" w:customStyle="1">
    <w:name w:val="Título 3 Car"/>
    <w:basedOn w:val="Fuentedeprrafopredeter"/>
    <w:link w:val="Ttulo3"/>
    <w:uiPriority w:val="9"/>
    <w:rsid w:val="009F2EE6"/>
    <w:rPr>
      <w:rFonts w:ascii="Times New Roman" w:cs="Times New Roman" w:eastAsia="Times New Roman" w:hAnsi="Times New Roman"/>
      <w:b w:val="1"/>
      <w:bCs w:val="1"/>
      <w:sz w:val="27"/>
      <w:szCs w:val="27"/>
      <w:lang w:eastAsia="es-ES" w:val="es-ES"/>
    </w:rPr>
  </w:style>
  <w:style w:type="character" w:styleId="Textoennegrita">
    <w:name w:val="Strong"/>
    <w:basedOn w:val="Fuentedeprrafopredeter"/>
    <w:uiPriority w:val="22"/>
    <w:qFormat w:val="1"/>
    <w:rsid w:val="009F2EE6"/>
    <w:rPr>
      <w:b w:val="1"/>
      <w:bCs w:val="1"/>
    </w:rPr>
  </w:style>
  <w:style w:type="character" w:styleId="Ttulo1Car" w:customStyle="1">
    <w:name w:val="Título 1 Car"/>
    <w:basedOn w:val="Fuentedeprrafopredeter"/>
    <w:link w:val="Ttulo1"/>
    <w:uiPriority w:val="9"/>
    <w:rsid w:val="00E44764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nfasis">
    <w:name w:val="Emphasis"/>
    <w:basedOn w:val="Fuentedeprrafopredeter"/>
    <w:uiPriority w:val="20"/>
    <w:qFormat w:val="1"/>
    <w:rsid w:val="002A7EA9"/>
    <w:rPr>
      <w:i w:val="1"/>
      <w:iCs w:val="1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DF36B8"/>
    <w:rPr>
      <w:color w:val="954f72" w:themeColor="followedHyperlink"/>
      <w:u w:val="single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343AB8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bold" w:customStyle="1">
    <w:name w:val="bold"/>
    <w:basedOn w:val="Fuentedeprrafopredeter"/>
    <w:rsid w:val="008A24C9"/>
  </w:style>
  <w:style w:type="character" w:styleId="d-none" w:customStyle="1">
    <w:name w:val="d-none"/>
    <w:basedOn w:val="Fuentedeprrafopredeter"/>
    <w:rsid w:val="008A24C9"/>
  </w:style>
  <w:style w:type="character" w:styleId="font-2x" w:customStyle="1">
    <w:name w:val="font-2x"/>
    <w:basedOn w:val="Fuentedeprrafopredeter"/>
    <w:rsid w:val="008A24C9"/>
  </w:style>
  <w:style w:type="character" w:styleId="decoracion2" w:customStyle="1">
    <w:name w:val="decoracion2"/>
    <w:basedOn w:val="Fuentedeprrafopredeter"/>
    <w:rsid w:val="008A24C9"/>
  </w:style>
  <w:style w:type="paragraph" w:styleId="Revisin">
    <w:name w:val="Revision"/>
    <w:hidden w:val="1"/>
    <w:uiPriority w:val="99"/>
    <w:semiHidden w:val="1"/>
    <w:rsid w:val="00FC54D1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fontstyle01" w:customStyle="1">
    <w:name w:val="fontstyle01"/>
    <w:basedOn w:val="Fuentedeprrafopredeter"/>
    <w:rsid w:val="00D95EF1"/>
    <w:rPr>
      <w:rFonts w:ascii="National-Regular" w:hAnsi="National-Regular" w:hint="default"/>
      <w:b w:val="0"/>
      <w:bCs w:val="0"/>
      <w:i w:val="0"/>
      <w:iCs w:val="0"/>
      <w:color w:val="000000"/>
      <w:sz w:val="22"/>
      <w:szCs w:val="22"/>
    </w:rPr>
  </w:style>
  <w:style w:type="character" w:styleId="fontstyle21" w:customStyle="1">
    <w:name w:val="fontstyle21"/>
    <w:basedOn w:val="Fuentedeprrafopredeter"/>
    <w:rsid w:val="00D95EF1"/>
    <w:rPr>
      <w:rFonts w:ascii="National-MediumItalic" w:hAnsi="National-MediumItalic" w:hint="default"/>
      <w:b w:val="0"/>
      <w:bCs w:val="0"/>
      <w:i w:val="1"/>
      <w:iCs w:val="1"/>
      <w:color w:val="575756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otocasa.es/es/" TargetMode="External"/><Relationship Id="rId22" Type="http://schemas.openxmlformats.org/officeDocument/2006/relationships/hyperlink" Target="https://www.infojobs.net/" TargetMode="External"/><Relationship Id="rId21" Type="http://schemas.openxmlformats.org/officeDocument/2006/relationships/hyperlink" Target="https://www.habitaclia.com/" TargetMode="External"/><Relationship Id="rId24" Type="http://schemas.openxmlformats.org/officeDocument/2006/relationships/hyperlink" Target="https://motos.coches.net/" TargetMode="External"/><Relationship Id="rId23" Type="http://schemas.openxmlformats.org/officeDocument/2006/relationships/hyperlink" Target="https://www.coches.net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://adevinta.es" TargetMode="External"/><Relationship Id="rId25" Type="http://schemas.openxmlformats.org/officeDocument/2006/relationships/hyperlink" Target="https://www.milanuncios.com/" TargetMode="External"/><Relationship Id="rId28" Type="http://schemas.openxmlformats.org/officeDocument/2006/relationships/hyperlink" Target="mailto:comunicacion@fotocasa.es" TargetMode="External"/><Relationship Id="rId27" Type="http://schemas.openxmlformats.org/officeDocument/2006/relationships/hyperlink" Target="mailto:rtorne@llorenteycuenca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mailto:emerino@llorenteycuenca.com" TargetMode="External"/><Relationship Id="rId7" Type="http://schemas.openxmlformats.org/officeDocument/2006/relationships/hyperlink" Target="https://youtu.be/KSeERPShzlw" TargetMode="External"/><Relationship Id="rId8" Type="http://schemas.openxmlformats.org/officeDocument/2006/relationships/hyperlink" Target="https://research.fotocasa.es/" TargetMode="External"/><Relationship Id="rId31" Type="http://schemas.openxmlformats.org/officeDocument/2006/relationships/header" Target="header1.xml"/><Relationship Id="rId30" Type="http://schemas.openxmlformats.org/officeDocument/2006/relationships/hyperlink" Target="mailto:piglesias@llorenteycuenca.com" TargetMode="External"/><Relationship Id="rId11" Type="http://schemas.openxmlformats.org/officeDocument/2006/relationships/image" Target="media/image2.jpg"/><Relationship Id="rId10" Type="http://schemas.openxmlformats.org/officeDocument/2006/relationships/hyperlink" Target="https://www.fotocasa.es/es/" TargetMode="External"/><Relationship Id="rId32" Type="http://schemas.openxmlformats.org/officeDocument/2006/relationships/footer" Target="footer1.xml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5" Type="http://schemas.openxmlformats.org/officeDocument/2006/relationships/hyperlink" Target="https://www.fotocasa.es/indice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://www.fotocasa.es/" TargetMode="External"/><Relationship Id="rId16" Type="http://schemas.openxmlformats.org/officeDocument/2006/relationships/hyperlink" Target="http://prensa.fotocasa.es" TargetMode="External"/><Relationship Id="rId19" Type="http://schemas.openxmlformats.org/officeDocument/2006/relationships/hyperlink" Target="https://www.fotocasa.es/es/quienes-somos/" TargetMode="External"/><Relationship Id="rId18" Type="http://schemas.openxmlformats.org/officeDocument/2006/relationships/hyperlink" Target="https://www.adevin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Light-regular.ttf"/><Relationship Id="rId2" Type="http://schemas.openxmlformats.org/officeDocument/2006/relationships/font" Target="fonts/OpenSansLight-bold.ttf"/><Relationship Id="rId3" Type="http://schemas.openxmlformats.org/officeDocument/2006/relationships/font" Target="fonts/OpenSansLight-italic.ttf"/><Relationship Id="rId4" Type="http://schemas.openxmlformats.org/officeDocument/2006/relationships/font" Target="fonts/OpenSansLight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idWlph5WiAfTpQjh8JPxBLXRJw==">AMUW2mUUd1Q6c2KcikHkXAjSFhKfgUDd5EjBas/tN/rGH6z7p6Kx/rlLq8sgdVVRCyhroP1x89N3K4vwARpD3Vr5+Y20naceZOR6mfwzpcyw2QLBeHV63fw19zOB8n9EXcruwqfENKI+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2022-04-21T07:41:00Z</dcterms:created>
  <dc:creator>Sara Urrea Rodriguez</dc:creator>
</cp:coreProperties>
</file>