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5780" w14:textId="77777777" w:rsidR="001A24BA" w:rsidRDefault="007A2CB3">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528676DB" wp14:editId="0B8A8EB9">
            <wp:simplePos x="0" y="0"/>
            <wp:positionH relativeFrom="column">
              <wp:posOffset>-1078863</wp:posOffset>
            </wp:positionH>
            <wp:positionV relativeFrom="paragraph">
              <wp:posOffset>-350451</wp:posOffset>
            </wp:positionV>
            <wp:extent cx="7581265" cy="101917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280A609" w14:textId="77777777" w:rsidR="001A24BA" w:rsidRDefault="001A24BA">
      <w:pPr>
        <w:ind w:right="-574"/>
        <w:jc w:val="right"/>
        <w:rPr>
          <w:rFonts w:ascii="National" w:eastAsia="National" w:hAnsi="National" w:cs="National"/>
          <w:color w:val="303AB2"/>
          <w:sz w:val="36"/>
          <w:szCs w:val="36"/>
        </w:rPr>
      </w:pPr>
    </w:p>
    <w:p w14:paraId="4C6E8D9F" w14:textId="77777777" w:rsidR="001A24BA" w:rsidRDefault="001A24BA">
      <w:pPr>
        <w:ind w:right="-574"/>
        <w:jc w:val="right"/>
        <w:rPr>
          <w:rFonts w:ascii="National" w:eastAsia="National" w:hAnsi="National" w:cs="National"/>
          <w:color w:val="303AB2"/>
          <w:sz w:val="36"/>
          <w:szCs w:val="36"/>
        </w:rPr>
      </w:pPr>
    </w:p>
    <w:p w14:paraId="483BEB65" w14:textId="77777777" w:rsidR="001A24BA" w:rsidRDefault="001A24BA">
      <w:pPr>
        <w:spacing w:line="276" w:lineRule="auto"/>
        <w:ind w:right="-574"/>
        <w:jc w:val="center"/>
        <w:rPr>
          <w:rFonts w:ascii="National" w:eastAsia="National" w:hAnsi="National" w:cs="National"/>
          <w:b/>
          <w:color w:val="1DBDC5"/>
          <w:sz w:val="38"/>
          <w:szCs w:val="38"/>
        </w:rPr>
      </w:pPr>
    </w:p>
    <w:p w14:paraId="3DC26B57" w14:textId="77777777" w:rsidR="001A24BA" w:rsidRDefault="007A2CB3">
      <w:pPr>
        <w:spacing w:line="276" w:lineRule="auto"/>
        <w:ind w:right="-574"/>
        <w:jc w:val="center"/>
        <w:rPr>
          <w:rFonts w:ascii="National" w:eastAsia="National" w:hAnsi="National" w:cs="National"/>
          <w:b/>
          <w:color w:val="1DBDC5"/>
          <w:sz w:val="38"/>
          <w:szCs w:val="38"/>
        </w:rPr>
      </w:pPr>
      <w:r>
        <w:rPr>
          <w:rFonts w:ascii="National" w:eastAsia="National" w:hAnsi="National" w:cs="National"/>
          <w:b/>
          <w:color w:val="1DBDC5"/>
          <w:sz w:val="38"/>
          <w:szCs w:val="38"/>
        </w:rPr>
        <w:t>ANÁLISIS RENTABILIDAD ZONAS COSTERAS</w:t>
      </w:r>
    </w:p>
    <w:p w14:paraId="669CC6CA" w14:textId="77777777" w:rsidR="001A24BA" w:rsidRDefault="007A2CB3">
      <w:pPr>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Gandía multiplica por dos su rentabilidad en diez años y alcanza el 11,5% en junio  </w:t>
      </w:r>
    </w:p>
    <w:p w14:paraId="27831996" w14:textId="77777777" w:rsidR="001A24BA" w:rsidRDefault="001A24BA">
      <w:pPr>
        <w:pBdr>
          <w:top w:val="nil"/>
          <w:left w:val="nil"/>
          <w:bottom w:val="nil"/>
          <w:right w:val="nil"/>
          <w:between w:val="nil"/>
        </w:pBdr>
        <w:spacing w:line="276" w:lineRule="auto"/>
        <w:ind w:left="720" w:right="-574"/>
        <w:rPr>
          <w:rFonts w:ascii="Open Sans" w:eastAsia="Open Sans" w:hAnsi="Open Sans" w:cs="Open Sans"/>
          <w:color w:val="000000"/>
          <w:sz w:val="22"/>
          <w:szCs w:val="22"/>
        </w:rPr>
      </w:pPr>
    </w:p>
    <w:p w14:paraId="6B79600A" w14:textId="77777777" w:rsidR="001A24BA" w:rsidRDefault="007A2CB3">
      <w:pPr>
        <w:numPr>
          <w:ilvl w:val="0"/>
          <w:numId w:val="1"/>
        </w:numPr>
        <w:pBdr>
          <w:top w:val="nil"/>
          <w:left w:val="nil"/>
          <w:bottom w:val="nil"/>
          <w:right w:val="nil"/>
          <w:between w:val="nil"/>
        </w:pBdr>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 xml:space="preserve">La rentabilidad media en España se sitúa en un 6,9% en junio de 2022 </w:t>
      </w:r>
    </w:p>
    <w:p w14:paraId="2A664397" w14:textId="77777777" w:rsidR="001A24BA" w:rsidRDefault="007A2CB3">
      <w:pPr>
        <w:numPr>
          <w:ilvl w:val="0"/>
          <w:numId w:val="1"/>
        </w:numPr>
        <w:pBdr>
          <w:top w:val="nil"/>
          <w:left w:val="nil"/>
          <w:bottom w:val="nil"/>
          <w:right w:val="nil"/>
          <w:between w:val="nil"/>
        </w:pBdr>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Gandía y Santa Pola son los municipios costeros que ofrecen una rentabilidad superior al 10%</w:t>
      </w:r>
    </w:p>
    <w:p w14:paraId="303BB752" w14:textId="77777777" w:rsidR="001A24BA" w:rsidRDefault="001A24BA">
      <w:pPr>
        <w:spacing w:line="276" w:lineRule="auto"/>
        <w:ind w:right="-574"/>
        <w:rPr>
          <w:rFonts w:ascii="Open Sans Light" w:eastAsia="Open Sans Light" w:hAnsi="Open Sans Light" w:cs="Open Sans Light"/>
          <w:b/>
          <w:color w:val="303AB2"/>
        </w:rPr>
      </w:pPr>
    </w:p>
    <w:p w14:paraId="7DF498DB" w14:textId="77777777" w:rsidR="001A24BA" w:rsidRDefault="007A2CB3">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11 de julio de 2022</w:t>
      </w:r>
    </w:p>
    <w:p w14:paraId="2B99021F" w14:textId="77777777" w:rsidR="001A24BA" w:rsidRDefault="007A2CB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rentabilidad de la vivienda ha pasado por distintos escenarios a lo largo de los últimos diez años, y en concreto, las ciudades costeras de España han experimentado un cambio post pandémico que hace cada vez más atractiva la idea de invertir en ese tipo de viviendas. Muestra de ello es la ciudad de Gandía, en Valencia, que ha visto disparar su rentabilidad hasta alcanzar el 11,5% en junio de 2022, es decir, 6,2 puntos más que hace diez años (junio de 2013). Estos datos corresponden al análisis </w:t>
      </w:r>
      <w:r>
        <w:rPr>
          <w:rFonts w:ascii="Open Sans" w:eastAsia="Open Sans" w:hAnsi="Open Sans" w:cs="Open Sans"/>
          <w:b/>
          <w:i/>
          <w:color w:val="000000"/>
          <w:sz w:val="22"/>
          <w:szCs w:val="22"/>
        </w:rPr>
        <w:t>“Rentabilidad en municipios costeros en verano de 2022”</w:t>
      </w:r>
      <w:r>
        <w:rPr>
          <w:rFonts w:ascii="Open Sans" w:eastAsia="Open Sans" w:hAnsi="Open Sans" w:cs="Open Sans"/>
          <w:color w:val="000000"/>
          <w:sz w:val="22"/>
          <w:szCs w:val="22"/>
        </w:rPr>
        <w:t xml:space="preserve"> realizado por el portal inmobiliario </w:t>
      </w:r>
      <w:hyperlink r:id="rId9">
        <w:r>
          <w:rPr>
            <w:rFonts w:ascii="Open Sans" w:eastAsia="Open Sans" w:hAnsi="Open Sans" w:cs="Open Sans"/>
            <w:color w:val="0000FF"/>
            <w:sz w:val="22"/>
            <w:szCs w:val="22"/>
          </w:rPr>
          <w:t>Fotocasa</w:t>
        </w:r>
      </w:hyperlink>
      <w:r>
        <w:rPr>
          <w:rFonts w:ascii="Open Sans" w:eastAsia="Open Sans" w:hAnsi="Open Sans" w:cs="Open Sans"/>
          <w:color w:val="000000"/>
          <w:sz w:val="22"/>
          <w:szCs w:val="22"/>
        </w:rPr>
        <w:t>, a partir de los datos de oferta del precio de la vivienda en venta y en alquiler del portal y que sitúa la rentabilidad de España en un 6,9% a mitad del año 2022.</w:t>
      </w:r>
    </w:p>
    <w:p w14:paraId="27F31CC8" w14:textId="5E6F0B99" w:rsidR="001A24BA" w:rsidRDefault="007A2CB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en la última década la política monetaria europea ha hundido la rentabilidad de los depósitos bancarios a plazo fijo (el tipo de interés medio de los depósitos ha pasado del 2,74% al 0,05% en 10 años, según el Banco de España en septiembre de 2021), los pequeños inversores cada vez más van a la búsqueda de productos que aporten algo de rentabilidad para su dinero. Así, a la rentabilidad que aportan las viviendas de la ciudad de Gandía, le siguen las viviendas ubicadas en los municipios de Santa Pola (10,2%), Vera (9,4%), Sagunto / Sagunt (9,0%), Cartagena (8,2%), La Línea de la Concepción (8,0%), Roquetas de Mar (8,0%), Huelva capital (7,9%), Algeciras (7,8%), Badalona (7,4%), El Puerto de Santa María (7,3%), Torrevieja (7,3%), Almería capital (7,2%) y Castro-Urdiales (7,2%). Todas estas ciudades tienen una rentabilidad superior a la rentabilidad media de España (6,9%) y todas tenían una rentabilidad inferior al 6% hace diez años (rentabilidad en 2013).</w:t>
      </w:r>
    </w:p>
    <w:p w14:paraId="651CDC60" w14:textId="77777777" w:rsidR="00272EC1" w:rsidRDefault="00272EC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34A3DD01" w14:textId="77777777" w:rsidR="001A24BA" w:rsidRDefault="007A2CB3">
      <w:pPr>
        <w:spacing w:line="276" w:lineRule="auto"/>
        <w:ind w:right="-574"/>
        <w:jc w:val="center"/>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Rentabilidad media de las viviendas en junio de 2022</w:t>
      </w:r>
    </w:p>
    <w:p w14:paraId="0D62399F" w14:textId="77777777" w:rsidR="001A24BA" w:rsidRDefault="007A2CB3">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rPr>
      </w:pPr>
      <w:r>
        <w:rPr>
          <w:noProof/>
          <w:sz w:val="20"/>
          <w:szCs w:val="20"/>
        </w:rPr>
        <w:drawing>
          <wp:inline distT="0" distB="0" distL="0" distR="0" wp14:anchorId="5D91F68B" wp14:editId="43AC1A32">
            <wp:extent cx="5516880" cy="284988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493C77" w14:textId="77777777" w:rsidR="001A24BA" w:rsidRDefault="007A2CB3">
      <w:pPr>
        <w:spacing w:line="276" w:lineRule="auto"/>
        <w:ind w:right="-574"/>
        <w:jc w:val="center"/>
        <w:rPr>
          <w:rFonts w:ascii="Open Sans Light" w:eastAsia="Open Sans Light" w:hAnsi="Open Sans Light" w:cs="Open Sans Light"/>
          <w:b/>
          <w:color w:val="303AB2"/>
        </w:rPr>
      </w:pPr>
      <w:r>
        <w:rPr>
          <w:rFonts w:ascii="Open Sans Light" w:eastAsia="Open Sans Light" w:hAnsi="Open Sans Light" w:cs="Open Sans Light"/>
          <w:b/>
          <w:color w:val="303AB2"/>
        </w:rPr>
        <w:t>Comparativa de la rentabilidad de las viviendas en las ciudades costeras 2013-2022</w:t>
      </w:r>
    </w:p>
    <w:p w14:paraId="70A16171" w14:textId="77777777" w:rsidR="001A24BA" w:rsidRDefault="007A2CB3">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noProof/>
        </w:rPr>
        <w:drawing>
          <wp:inline distT="0" distB="0" distL="0" distR="0" wp14:anchorId="3C75D8FD" wp14:editId="1012402C">
            <wp:extent cx="5396230" cy="2990215"/>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9994B0" w14:textId="1B4C6FF0" w:rsidR="00272EC1" w:rsidRDefault="00272EC1" w:rsidP="00272EC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272EC1">
        <w:rPr>
          <w:rFonts w:ascii="Open Sans" w:eastAsia="Open Sans" w:hAnsi="Open Sans" w:cs="Open Sans"/>
          <w:sz w:val="22"/>
          <w:szCs w:val="22"/>
        </w:rPr>
        <w:t xml:space="preserve">“En los últimos diez años el crecimiento de la rentabilidad de las zonas costeras ha sido exponencial debido al incremento del precio de los alquileres. Aunque los datos de este año son los mejores de la última década. Históricamente los territorios cercanos al mar siempre han sido los más demandados, pero con el impacto de la pandemia, la búsqueda de viviendas para invertir en la costa se ha disparado, tanto los que optan por alquiler residencial como por alquiler vacacional de más corta duración. Frente a momentos de incertidumbre, el ladrillo siempre ha resultado un activo refugio para inversores y este año especialmente, los ahorradores particulares se están atreviendo a dar el paso al </w:t>
      </w:r>
      <w:r w:rsidRPr="00272EC1">
        <w:rPr>
          <w:rFonts w:ascii="Open Sans" w:eastAsia="Open Sans" w:hAnsi="Open Sans" w:cs="Open Sans"/>
          <w:sz w:val="22"/>
          <w:szCs w:val="22"/>
        </w:rPr>
        <w:lastRenderedPageBreak/>
        <w:t xml:space="preserve">detectar el inmobiliario como un valor seguro para evitar que sus ahorros se devalúen y luchar contra la inflación. Otro año más se constata que la vivienda no tiene rival como inversión. De hecho, en estos momentos no existe otro producto financiero con una rentabilidad tan alta. Por ello, España se sitúa como uno de los mercados favoritos de los inversores. Además, cada año vemos cómo se van incluyendo más municipios costeros en el ranking de rendimiento”, explica María Matos, directora de Estudios y Portavoz de </w:t>
      </w:r>
      <w:hyperlink r:id="rId12" w:history="1">
        <w:r w:rsidRPr="00272EC1">
          <w:rPr>
            <w:rStyle w:val="Hipervnculo"/>
            <w:rFonts w:ascii="Open Sans" w:eastAsia="Open Sans" w:hAnsi="Open Sans" w:cs="Open Sans"/>
            <w:sz w:val="22"/>
            <w:szCs w:val="22"/>
          </w:rPr>
          <w:t>Fotocasa</w:t>
        </w:r>
      </w:hyperlink>
      <w:r w:rsidRPr="00272EC1">
        <w:rPr>
          <w:rFonts w:ascii="Open Sans" w:eastAsia="Open Sans" w:hAnsi="Open Sans" w:cs="Open Sans"/>
          <w:sz w:val="22"/>
          <w:szCs w:val="22"/>
        </w:rPr>
        <w:t>.</w:t>
      </w:r>
    </w:p>
    <w:p w14:paraId="56D70166" w14:textId="4284ED8A" w:rsidR="001A24BA" w:rsidRDefault="007A2CB3">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de la costa con mayor rentabilidad en junio de 2022</w:t>
      </w:r>
    </w:p>
    <w:tbl>
      <w:tblPr>
        <w:tblStyle w:val="a1"/>
        <w:tblW w:w="900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38"/>
        <w:gridCol w:w="1559"/>
        <w:gridCol w:w="2127"/>
        <w:gridCol w:w="1701"/>
        <w:gridCol w:w="1781"/>
      </w:tblGrid>
      <w:tr w:rsidR="001A24BA" w14:paraId="36FD9ECB" w14:textId="77777777" w:rsidTr="001A24BA">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15D8DAF" w14:textId="77777777" w:rsidR="001A24BA" w:rsidRDefault="007A2CB3">
            <w:pPr>
              <w:rPr>
                <w:rFonts w:ascii="Open Sans" w:eastAsia="Open Sans" w:hAnsi="Open Sans" w:cs="Open Sans"/>
                <w:sz w:val="22"/>
                <w:szCs w:val="22"/>
              </w:rPr>
            </w:pPr>
            <w:r>
              <w:rPr>
                <w:rFonts w:ascii="Open Sans" w:eastAsia="Open Sans" w:hAnsi="Open Sans" w:cs="Open Sans"/>
                <w:sz w:val="22"/>
                <w:szCs w:val="22"/>
              </w:rPr>
              <w:t>CC.AA.</w:t>
            </w:r>
          </w:p>
        </w:tc>
        <w:tc>
          <w:tcPr>
            <w:tcW w:w="1559" w:type="dxa"/>
            <w:vAlign w:val="center"/>
          </w:tcPr>
          <w:p w14:paraId="4D112E11" w14:textId="77777777" w:rsidR="001A24BA" w:rsidRDefault="007A2CB3">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Provincia</w:t>
            </w:r>
          </w:p>
        </w:tc>
        <w:tc>
          <w:tcPr>
            <w:tcW w:w="2127" w:type="dxa"/>
            <w:vAlign w:val="center"/>
          </w:tcPr>
          <w:p w14:paraId="2721248F" w14:textId="77777777" w:rsidR="001A24BA" w:rsidRDefault="007A2CB3">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Municipio</w:t>
            </w:r>
          </w:p>
        </w:tc>
        <w:tc>
          <w:tcPr>
            <w:tcW w:w="1701" w:type="dxa"/>
          </w:tcPr>
          <w:p w14:paraId="3D844862" w14:textId="77777777" w:rsidR="001A24BA" w:rsidRDefault="007A2CB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Rentabilidad media 2013</w:t>
            </w:r>
          </w:p>
        </w:tc>
        <w:tc>
          <w:tcPr>
            <w:tcW w:w="1781" w:type="dxa"/>
            <w:vAlign w:val="center"/>
          </w:tcPr>
          <w:p w14:paraId="16D9A78E" w14:textId="77777777" w:rsidR="001A24BA" w:rsidRDefault="007A2CB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Rentabilidad media 2022</w:t>
            </w:r>
          </w:p>
        </w:tc>
      </w:tr>
      <w:tr w:rsidR="001A24BA" w14:paraId="04FE3092"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3AC1B208" w14:textId="77777777" w:rsidR="001A24BA" w:rsidRDefault="007A2CB3">
            <w:pPr>
              <w:rPr>
                <w:rFonts w:ascii="Open Sans" w:eastAsia="Open Sans" w:hAnsi="Open Sans" w:cs="Open Sans"/>
                <w:sz w:val="22"/>
                <w:szCs w:val="22"/>
              </w:rPr>
            </w:pPr>
            <w:proofErr w:type="spellStart"/>
            <w:r>
              <w:rPr>
                <w:rFonts w:ascii="Open Sans" w:eastAsia="Open Sans" w:hAnsi="Open Sans" w:cs="Open Sans"/>
                <w:b w:val="0"/>
              </w:rPr>
              <w:t>Comunitat</w:t>
            </w:r>
            <w:proofErr w:type="spellEnd"/>
            <w:r>
              <w:rPr>
                <w:rFonts w:ascii="Open Sans" w:eastAsia="Open Sans" w:hAnsi="Open Sans" w:cs="Open Sans"/>
                <w:b w:val="0"/>
              </w:rPr>
              <w:t xml:space="preserve"> Valenciana</w:t>
            </w:r>
          </w:p>
        </w:tc>
        <w:tc>
          <w:tcPr>
            <w:tcW w:w="1559" w:type="dxa"/>
            <w:vAlign w:val="bottom"/>
          </w:tcPr>
          <w:p w14:paraId="33D7A00B"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2127" w:type="dxa"/>
            <w:vAlign w:val="bottom"/>
          </w:tcPr>
          <w:p w14:paraId="7223963E"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Gandía</w:t>
            </w:r>
          </w:p>
        </w:tc>
        <w:tc>
          <w:tcPr>
            <w:tcW w:w="1701" w:type="dxa"/>
            <w:vAlign w:val="bottom"/>
          </w:tcPr>
          <w:p w14:paraId="5A47B6F7"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781" w:type="dxa"/>
            <w:vAlign w:val="bottom"/>
          </w:tcPr>
          <w:p w14:paraId="0C43180C"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w:t>
            </w:r>
          </w:p>
        </w:tc>
      </w:tr>
      <w:tr w:rsidR="001A24BA" w14:paraId="0B9BF735"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269A0AF6" w14:textId="77777777" w:rsidR="001A24BA" w:rsidRDefault="007A2CB3">
            <w:pPr>
              <w:rPr>
                <w:rFonts w:ascii="Open Sans" w:eastAsia="Open Sans" w:hAnsi="Open Sans" w:cs="Open Sans"/>
                <w:sz w:val="22"/>
                <w:szCs w:val="22"/>
              </w:rPr>
            </w:pPr>
            <w:proofErr w:type="spellStart"/>
            <w:r>
              <w:rPr>
                <w:rFonts w:ascii="Open Sans" w:eastAsia="Open Sans" w:hAnsi="Open Sans" w:cs="Open Sans"/>
                <w:b w:val="0"/>
              </w:rPr>
              <w:t>Comunitat</w:t>
            </w:r>
            <w:proofErr w:type="spellEnd"/>
            <w:r>
              <w:rPr>
                <w:rFonts w:ascii="Open Sans" w:eastAsia="Open Sans" w:hAnsi="Open Sans" w:cs="Open Sans"/>
                <w:b w:val="0"/>
              </w:rPr>
              <w:t xml:space="preserve"> Valenciana</w:t>
            </w:r>
          </w:p>
        </w:tc>
        <w:tc>
          <w:tcPr>
            <w:tcW w:w="1559" w:type="dxa"/>
            <w:vAlign w:val="bottom"/>
          </w:tcPr>
          <w:p w14:paraId="7EA34280"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2127" w:type="dxa"/>
            <w:vAlign w:val="bottom"/>
          </w:tcPr>
          <w:p w14:paraId="583B1F1C"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Pola</w:t>
            </w:r>
          </w:p>
        </w:tc>
        <w:tc>
          <w:tcPr>
            <w:tcW w:w="1701" w:type="dxa"/>
            <w:vAlign w:val="bottom"/>
          </w:tcPr>
          <w:p w14:paraId="6F2563B0"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781" w:type="dxa"/>
            <w:vAlign w:val="bottom"/>
          </w:tcPr>
          <w:p w14:paraId="086E5412"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w:t>
            </w:r>
          </w:p>
        </w:tc>
      </w:tr>
      <w:tr w:rsidR="001A24BA" w14:paraId="61D48E06"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7967565C" w14:textId="77777777" w:rsidR="001A24BA" w:rsidRDefault="007A2CB3">
            <w:pPr>
              <w:rPr>
                <w:rFonts w:ascii="Open Sans" w:eastAsia="Open Sans" w:hAnsi="Open Sans" w:cs="Open Sans"/>
                <w:sz w:val="22"/>
                <w:szCs w:val="22"/>
              </w:rPr>
            </w:pPr>
            <w:r>
              <w:rPr>
                <w:rFonts w:ascii="Open Sans" w:eastAsia="Open Sans" w:hAnsi="Open Sans" w:cs="Open Sans"/>
                <w:b w:val="0"/>
              </w:rPr>
              <w:t>Andalucía</w:t>
            </w:r>
          </w:p>
        </w:tc>
        <w:tc>
          <w:tcPr>
            <w:tcW w:w="1559" w:type="dxa"/>
            <w:vAlign w:val="bottom"/>
          </w:tcPr>
          <w:p w14:paraId="0C690AC6"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w:t>
            </w:r>
          </w:p>
        </w:tc>
        <w:tc>
          <w:tcPr>
            <w:tcW w:w="2127" w:type="dxa"/>
            <w:vAlign w:val="bottom"/>
          </w:tcPr>
          <w:p w14:paraId="34CF1171"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Vera</w:t>
            </w:r>
          </w:p>
        </w:tc>
        <w:tc>
          <w:tcPr>
            <w:tcW w:w="1701" w:type="dxa"/>
            <w:vAlign w:val="bottom"/>
          </w:tcPr>
          <w:p w14:paraId="06DCE8C8"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781" w:type="dxa"/>
            <w:vAlign w:val="bottom"/>
          </w:tcPr>
          <w:p w14:paraId="63DAF421"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w:t>
            </w:r>
          </w:p>
        </w:tc>
      </w:tr>
      <w:tr w:rsidR="001A24BA" w14:paraId="1F3CB232"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32595592" w14:textId="77777777" w:rsidR="001A24BA" w:rsidRDefault="007A2CB3">
            <w:pPr>
              <w:rPr>
                <w:rFonts w:ascii="Open Sans" w:eastAsia="Open Sans" w:hAnsi="Open Sans" w:cs="Open Sans"/>
                <w:sz w:val="22"/>
                <w:szCs w:val="22"/>
              </w:rPr>
            </w:pPr>
            <w:proofErr w:type="spellStart"/>
            <w:r>
              <w:rPr>
                <w:rFonts w:ascii="Open Sans" w:eastAsia="Open Sans" w:hAnsi="Open Sans" w:cs="Open Sans"/>
                <w:b w:val="0"/>
              </w:rPr>
              <w:t>Comunitat</w:t>
            </w:r>
            <w:proofErr w:type="spellEnd"/>
            <w:r>
              <w:rPr>
                <w:rFonts w:ascii="Open Sans" w:eastAsia="Open Sans" w:hAnsi="Open Sans" w:cs="Open Sans"/>
                <w:b w:val="0"/>
              </w:rPr>
              <w:t xml:space="preserve"> Valenciana</w:t>
            </w:r>
          </w:p>
        </w:tc>
        <w:tc>
          <w:tcPr>
            <w:tcW w:w="1559" w:type="dxa"/>
            <w:vAlign w:val="bottom"/>
          </w:tcPr>
          <w:p w14:paraId="28349044"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2127" w:type="dxa"/>
            <w:vAlign w:val="bottom"/>
          </w:tcPr>
          <w:p w14:paraId="038F4C76"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Sagunto / Sagunt</w:t>
            </w:r>
          </w:p>
        </w:tc>
        <w:tc>
          <w:tcPr>
            <w:tcW w:w="1701" w:type="dxa"/>
            <w:vAlign w:val="bottom"/>
          </w:tcPr>
          <w:p w14:paraId="2B74F07C"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781" w:type="dxa"/>
            <w:vAlign w:val="bottom"/>
          </w:tcPr>
          <w:p w14:paraId="403A7F91"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w:t>
            </w:r>
          </w:p>
        </w:tc>
      </w:tr>
      <w:tr w:rsidR="001A24BA" w14:paraId="79478992"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768CFDCE" w14:textId="77777777" w:rsidR="001A24BA" w:rsidRDefault="007A2CB3">
            <w:pPr>
              <w:rPr>
                <w:rFonts w:ascii="Open Sans" w:eastAsia="Open Sans" w:hAnsi="Open Sans" w:cs="Open Sans"/>
                <w:sz w:val="22"/>
                <w:szCs w:val="22"/>
              </w:rPr>
            </w:pPr>
            <w:r>
              <w:rPr>
                <w:rFonts w:ascii="Open Sans" w:eastAsia="Open Sans" w:hAnsi="Open Sans" w:cs="Open Sans"/>
                <w:b w:val="0"/>
              </w:rPr>
              <w:t>Región de Murcia</w:t>
            </w:r>
          </w:p>
        </w:tc>
        <w:tc>
          <w:tcPr>
            <w:tcW w:w="1559" w:type="dxa"/>
            <w:vAlign w:val="bottom"/>
          </w:tcPr>
          <w:p w14:paraId="19F1B948"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Murcia</w:t>
            </w:r>
          </w:p>
        </w:tc>
        <w:tc>
          <w:tcPr>
            <w:tcW w:w="2127" w:type="dxa"/>
            <w:vAlign w:val="bottom"/>
          </w:tcPr>
          <w:p w14:paraId="695DB2EE"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Cartagena</w:t>
            </w:r>
          </w:p>
        </w:tc>
        <w:tc>
          <w:tcPr>
            <w:tcW w:w="1701" w:type="dxa"/>
            <w:vAlign w:val="bottom"/>
          </w:tcPr>
          <w:p w14:paraId="4AA64201"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781" w:type="dxa"/>
            <w:vAlign w:val="bottom"/>
          </w:tcPr>
          <w:p w14:paraId="673F0FA1"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r>
      <w:tr w:rsidR="001A24BA" w14:paraId="1174C70D"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4875B06E" w14:textId="77777777" w:rsidR="001A24BA" w:rsidRDefault="007A2CB3">
            <w:pPr>
              <w:rPr>
                <w:rFonts w:ascii="Open Sans" w:eastAsia="Open Sans" w:hAnsi="Open Sans" w:cs="Open Sans"/>
                <w:sz w:val="22"/>
                <w:szCs w:val="22"/>
              </w:rPr>
            </w:pPr>
            <w:r>
              <w:rPr>
                <w:rFonts w:ascii="Open Sans" w:eastAsia="Open Sans" w:hAnsi="Open Sans" w:cs="Open Sans"/>
                <w:b w:val="0"/>
              </w:rPr>
              <w:t>Andalucía</w:t>
            </w:r>
          </w:p>
        </w:tc>
        <w:tc>
          <w:tcPr>
            <w:tcW w:w="1559" w:type="dxa"/>
            <w:vAlign w:val="bottom"/>
          </w:tcPr>
          <w:p w14:paraId="65FE58AE"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2127" w:type="dxa"/>
            <w:vAlign w:val="bottom"/>
          </w:tcPr>
          <w:p w14:paraId="699CFA8D"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 Línea de la Concepción</w:t>
            </w:r>
          </w:p>
        </w:tc>
        <w:tc>
          <w:tcPr>
            <w:tcW w:w="1701" w:type="dxa"/>
            <w:vAlign w:val="bottom"/>
          </w:tcPr>
          <w:p w14:paraId="4644F047"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781" w:type="dxa"/>
            <w:vAlign w:val="bottom"/>
          </w:tcPr>
          <w:p w14:paraId="5DC2B3B3"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r>
      <w:tr w:rsidR="001A24BA" w14:paraId="24E598C4"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4804FC36" w14:textId="77777777" w:rsidR="001A24BA" w:rsidRDefault="007A2CB3">
            <w:pPr>
              <w:rPr>
                <w:rFonts w:ascii="Open Sans" w:eastAsia="Open Sans" w:hAnsi="Open Sans" w:cs="Open Sans"/>
              </w:rPr>
            </w:pPr>
            <w:r>
              <w:rPr>
                <w:rFonts w:ascii="Open Sans" w:eastAsia="Open Sans" w:hAnsi="Open Sans" w:cs="Open Sans"/>
                <w:b w:val="0"/>
              </w:rPr>
              <w:t>Andalucía</w:t>
            </w:r>
          </w:p>
        </w:tc>
        <w:tc>
          <w:tcPr>
            <w:tcW w:w="1559" w:type="dxa"/>
            <w:vAlign w:val="bottom"/>
          </w:tcPr>
          <w:p w14:paraId="024C9031"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rPr>
              <w:t>Almería</w:t>
            </w:r>
          </w:p>
        </w:tc>
        <w:tc>
          <w:tcPr>
            <w:tcW w:w="2127" w:type="dxa"/>
            <w:vAlign w:val="bottom"/>
          </w:tcPr>
          <w:p w14:paraId="4E4462D8"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rPr>
              <w:t>Roquetas de Mar</w:t>
            </w:r>
          </w:p>
        </w:tc>
        <w:tc>
          <w:tcPr>
            <w:tcW w:w="1701" w:type="dxa"/>
            <w:vAlign w:val="bottom"/>
          </w:tcPr>
          <w:p w14:paraId="3090D768"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color w:val="000000"/>
                <w:sz w:val="22"/>
                <w:szCs w:val="22"/>
              </w:rPr>
              <w:t>4,1%</w:t>
            </w:r>
          </w:p>
        </w:tc>
        <w:tc>
          <w:tcPr>
            <w:tcW w:w="1781" w:type="dxa"/>
            <w:vAlign w:val="bottom"/>
          </w:tcPr>
          <w:p w14:paraId="3FA48095"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r>
      <w:tr w:rsidR="001A24BA" w14:paraId="558219C1"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1722595E" w14:textId="77777777" w:rsidR="001A24BA" w:rsidRDefault="007A2CB3">
            <w:pPr>
              <w:rPr>
                <w:rFonts w:ascii="Open Sans" w:eastAsia="Open Sans" w:hAnsi="Open Sans" w:cs="Open Sans"/>
                <w:sz w:val="22"/>
                <w:szCs w:val="22"/>
              </w:rPr>
            </w:pPr>
            <w:r>
              <w:rPr>
                <w:rFonts w:ascii="Open Sans" w:eastAsia="Open Sans" w:hAnsi="Open Sans" w:cs="Open Sans"/>
                <w:b w:val="0"/>
              </w:rPr>
              <w:t>Andalucía</w:t>
            </w:r>
          </w:p>
        </w:tc>
        <w:tc>
          <w:tcPr>
            <w:tcW w:w="1559" w:type="dxa"/>
            <w:vAlign w:val="bottom"/>
          </w:tcPr>
          <w:p w14:paraId="1BCB2D8A"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Huelva</w:t>
            </w:r>
          </w:p>
        </w:tc>
        <w:tc>
          <w:tcPr>
            <w:tcW w:w="2127" w:type="dxa"/>
            <w:vAlign w:val="bottom"/>
          </w:tcPr>
          <w:p w14:paraId="5C9EB80F"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1701" w:type="dxa"/>
            <w:vAlign w:val="bottom"/>
          </w:tcPr>
          <w:p w14:paraId="500808BD"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781" w:type="dxa"/>
            <w:vAlign w:val="bottom"/>
          </w:tcPr>
          <w:p w14:paraId="5F442D13"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r>
      <w:tr w:rsidR="001A24BA" w14:paraId="1C6162FC"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7B22D182" w14:textId="77777777" w:rsidR="001A24BA" w:rsidRDefault="007A2CB3">
            <w:pPr>
              <w:rPr>
                <w:rFonts w:ascii="Open Sans" w:eastAsia="Open Sans" w:hAnsi="Open Sans" w:cs="Open Sans"/>
                <w:sz w:val="22"/>
                <w:szCs w:val="22"/>
              </w:rPr>
            </w:pPr>
            <w:r>
              <w:rPr>
                <w:rFonts w:ascii="Open Sans" w:eastAsia="Open Sans" w:hAnsi="Open Sans" w:cs="Open Sans"/>
                <w:b w:val="0"/>
              </w:rPr>
              <w:t>Andalucía</w:t>
            </w:r>
          </w:p>
        </w:tc>
        <w:tc>
          <w:tcPr>
            <w:tcW w:w="1559" w:type="dxa"/>
            <w:vAlign w:val="bottom"/>
          </w:tcPr>
          <w:p w14:paraId="01CC649D"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2127" w:type="dxa"/>
            <w:vAlign w:val="bottom"/>
          </w:tcPr>
          <w:p w14:paraId="193C7C3B"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Algeciras</w:t>
            </w:r>
          </w:p>
        </w:tc>
        <w:tc>
          <w:tcPr>
            <w:tcW w:w="1701" w:type="dxa"/>
            <w:vAlign w:val="bottom"/>
          </w:tcPr>
          <w:p w14:paraId="4076A8D2"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781" w:type="dxa"/>
            <w:vAlign w:val="bottom"/>
          </w:tcPr>
          <w:p w14:paraId="2337526A"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r>
      <w:tr w:rsidR="001A24BA" w14:paraId="787C2E08"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5F1F130B" w14:textId="77777777" w:rsidR="001A24BA" w:rsidRDefault="007A2CB3">
            <w:pPr>
              <w:rPr>
                <w:rFonts w:ascii="Open Sans" w:eastAsia="Open Sans" w:hAnsi="Open Sans" w:cs="Open Sans"/>
                <w:sz w:val="22"/>
                <w:szCs w:val="22"/>
              </w:rPr>
            </w:pPr>
            <w:r>
              <w:rPr>
                <w:rFonts w:ascii="Open Sans" w:eastAsia="Open Sans" w:hAnsi="Open Sans" w:cs="Open Sans"/>
                <w:b w:val="0"/>
              </w:rPr>
              <w:t>Cataluña</w:t>
            </w:r>
          </w:p>
        </w:tc>
        <w:tc>
          <w:tcPr>
            <w:tcW w:w="1559" w:type="dxa"/>
            <w:vAlign w:val="bottom"/>
          </w:tcPr>
          <w:p w14:paraId="462A815C"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127" w:type="dxa"/>
            <w:vAlign w:val="bottom"/>
          </w:tcPr>
          <w:p w14:paraId="67B183A1"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Badalona</w:t>
            </w:r>
          </w:p>
        </w:tc>
        <w:tc>
          <w:tcPr>
            <w:tcW w:w="1701" w:type="dxa"/>
            <w:vAlign w:val="bottom"/>
          </w:tcPr>
          <w:p w14:paraId="2013B632"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781" w:type="dxa"/>
            <w:vAlign w:val="bottom"/>
          </w:tcPr>
          <w:p w14:paraId="2F41558F"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1A24BA" w14:paraId="21B5AEC9"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4EFED600" w14:textId="77777777" w:rsidR="001A24BA" w:rsidRDefault="007A2CB3">
            <w:pPr>
              <w:rPr>
                <w:rFonts w:ascii="Open Sans" w:eastAsia="Open Sans" w:hAnsi="Open Sans" w:cs="Open Sans"/>
                <w:sz w:val="22"/>
                <w:szCs w:val="22"/>
              </w:rPr>
            </w:pPr>
            <w:r>
              <w:rPr>
                <w:rFonts w:ascii="Open Sans" w:eastAsia="Open Sans" w:hAnsi="Open Sans" w:cs="Open Sans"/>
                <w:b w:val="0"/>
              </w:rPr>
              <w:t>Andalucía</w:t>
            </w:r>
          </w:p>
        </w:tc>
        <w:tc>
          <w:tcPr>
            <w:tcW w:w="1559" w:type="dxa"/>
            <w:vAlign w:val="bottom"/>
          </w:tcPr>
          <w:p w14:paraId="2164A9D3"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2127" w:type="dxa"/>
            <w:vAlign w:val="bottom"/>
          </w:tcPr>
          <w:p w14:paraId="2DD3C5BE"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 Puerto de Santa María</w:t>
            </w:r>
          </w:p>
        </w:tc>
        <w:tc>
          <w:tcPr>
            <w:tcW w:w="1701" w:type="dxa"/>
            <w:vAlign w:val="bottom"/>
          </w:tcPr>
          <w:p w14:paraId="3055C571"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781" w:type="dxa"/>
            <w:vAlign w:val="bottom"/>
          </w:tcPr>
          <w:p w14:paraId="65845B76"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1A24BA" w14:paraId="23D218A5"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51FF2498" w14:textId="77777777" w:rsidR="001A24BA" w:rsidRDefault="007A2CB3">
            <w:pPr>
              <w:rPr>
                <w:rFonts w:ascii="Open Sans" w:eastAsia="Open Sans" w:hAnsi="Open Sans" w:cs="Open Sans"/>
                <w:sz w:val="22"/>
                <w:szCs w:val="22"/>
              </w:rPr>
            </w:pPr>
            <w:proofErr w:type="spellStart"/>
            <w:r>
              <w:rPr>
                <w:rFonts w:ascii="Open Sans" w:eastAsia="Open Sans" w:hAnsi="Open Sans" w:cs="Open Sans"/>
                <w:b w:val="0"/>
              </w:rPr>
              <w:t>Comunitat</w:t>
            </w:r>
            <w:proofErr w:type="spellEnd"/>
            <w:r>
              <w:rPr>
                <w:rFonts w:ascii="Open Sans" w:eastAsia="Open Sans" w:hAnsi="Open Sans" w:cs="Open Sans"/>
                <w:b w:val="0"/>
              </w:rPr>
              <w:t xml:space="preserve"> Valenciana</w:t>
            </w:r>
          </w:p>
        </w:tc>
        <w:tc>
          <w:tcPr>
            <w:tcW w:w="1559" w:type="dxa"/>
            <w:vAlign w:val="bottom"/>
          </w:tcPr>
          <w:p w14:paraId="442BB150"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2127" w:type="dxa"/>
            <w:vAlign w:val="bottom"/>
          </w:tcPr>
          <w:p w14:paraId="5B3E1896"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Torrevieja</w:t>
            </w:r>
          </w:p>
        </w:tc>
        <w:tc>
          <w:tcPr>
            <w:tcW w:w="1701" w:type="dxa"/>
            <w:vAlign w:val="bottom"/>
          </w:tcPr>
          <w:p w14:paraId="78421A1D"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781" w:type="dxa"/>
            <w:vAlign w:val="bottom"/>
          </w:tcPr>
          <w:p w14:paraId="1AF0D2C2"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1A24BA" w14:paraId="5777E8FD"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4E08464F" w14:textId="77777777" w:rsidR="001A24BA" w:rsidRDefault="007A2CB3">
            <w:pPr>
              <w:rPr>
                <w:rFonts w:ascii="Open Sans" w:eastAsia="Open Sans" w:hAnsi="Open Sans" w:cs="Open Sans"/>
                <w:sz w:val="22"/>
                <w:szCs w:val="22"/>
              </w:rPr>
            </w:pPr>
            <w:r>
              <w:rPr>
                <w:rFonts w:ascii="Open Sans" w:eastAsia="Open Sans" w:hAnsi="Open Sans" w:cs="Open Sans"/>
                <w:b w:val="0"/>
              </w:rPr>
              <w:t>Andalucía</w:t>
            </w:r>
          </w:p>
        </w:tc>
        <w:tc>
          <w:tcPr>
            <w:tcW w:w="1559" w:type="dxa"/>
            <w:vAlign w:val="bottom"/>
          </w:tcPr>
          <w:p w14:paraId="2E7E32C5"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w:t>
            </w:r>
          </w:p>
        </w:tc>
        <w:tc>
          <w:tcPr>
            <w:tcW w:w="2127" w:type="dxa"/>
            <w:vAlign w:val="bottom"/>
          </w:tcPr>
          <w:p w14:paraId="3A6E82E3"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1701" w:type="dxa"/>
            <w:vAlign w:val="bottom"/>
          </w:tcPr>
          <w:p w14:paraId="3CA017B4"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781" w:type="dxa"/>
            <w:vAlign w:val="bottom"/>
          </w:tcPr>
          <w:p w14:paraId="64BA3B0A"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1A24BA" w14:paraId="4572AF19"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2E322381" w14:textId="77777777" w:rsidR="001A24BA" w:rsidRDefault="007A2CB3">
            <w:pPr>
              <w:rPr>
                <w:rFonts w:ascii="Open Sans" w:eastAsia="Open Sans" w:hAnsi="Open Sans" w:cs="Open Sans"/>
                <w:sz w:val="22"/>
                <w:szCs w:val="22"/>
              </w:rPr>
            </w:pPr>
            <w:r>
              <w:rPr>
                <w:rFonts w:ascii="Open Sans" w:eastAsia="Open Sans" w:hAnsi="Open Sans" w:cs="Open Sans"/>
                <w:b w:val="0"/>
              </w:rPr>
              <w:t>Cantabria</w:t>
            </w:r>
          </w:p>
        </w:tc>
        <w:tc>
          <w:tcPr>
            <w:tcW w:w="1559" w:type="dxa"/>
            <w:vAlign w:val="bottom"/>
          </w:tcPr>
          <w:p w14:paraId="5488CD6D"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127" w:type="dxa"/>
            <w:vAlign w:val="bottom"/>
          </w:tcPr>
          <w:p w14:paraId="1F3DA5F7"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Castro-Urdiales</w:t>
            </w:r>
          </w:p>
        </w:tc>
        <w:tc>
          <w:tcPr>
            <w:tcW w:w="1701" w:type="dxa"/>
            <w:vAlign w:val="bottom"/>
          </w:tcPr>
          <w:p w14:paraId="1B14C6A1"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781" w:type="dxa"/>
            <w:vAlign w:val="bottom"/>
          </w:tcPr>
          <w:p w14:paraId="0714D66C"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1A24BA" w14:paraId="6CB6B7D2"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shd w:val="clear" w:color="auto" w:fill="FFC000"/>
          </w:tcPr>
          <w:p w14:paraId="5BB41EF5" w14:textId="77777777" w:rsidR="001A24BA" w:rsidRDefault="007A2CB3">
            <w:pPr>
              <w:rPr>
                <w:rFonts w:ascii="Open Sans" w:eastAsia="Open Sans" w:hAnsi="Open Sans" w:cs="Open Sans"/>
                <w:color w:val="000000"/>
                <w:sz w:val="22"/>
                <w:szCs w:val="22"/>
              </w:rPr>
            </w:pPr>
            <w:r>
              <w:rPr>
                <w:rFonts w:ascii="Open Sans" w:eastAsia="Open Sans" w:hAnsi="Open Sans" w:cs="Open Sans"/>
                <w:color w:val="000000"/>
                <w:sz w:val="22"/>
                <w:szCs w:val="22"/>
              </w:rPr>
              <w:t>España</w:t>
            </w:r>
          </w:p>
        </w:tc>
        <w:tc>
          <w:tcPr>
            <w:tcW w:w="1559" w:type="dxa"/>
            <w:shd w:val="clear" w:color="auto" w:fill="FFC000"/>
            <w:vAlign w:val="bottom"/>
          </w:tcPr>
          <w:p w14:paraId="281484C8"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España</w:t>
            </w:r>
          </w:p>
        </w:tc>
        <w:tc>
          <w:tcPr>
            <w:tcW w:w="2127" w:type="dxa"/>
            <w:shd w:val="clear" w:color="auto" w:fill="FFC000"/>
          </w:tcPr>
          <w:p w14:paraId="3636B616"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España</w:t>
            </w:r>
          </w:p>
        </w:tc>
        <w:tc>
          <w:tcPr>
            <w:tcW w:w="1701" w:type="dxa"/>
            <w:shd w:val="clear" w:color="auto" w:fill="FFC000"/>
            <w:vAlign w:val="bottom"/>
          </w:tcPr>
          <w:p w14:paraId="6BF44421"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i/>
                <w:sz w:val="22"/>
                <w:szCs w:val="22"/>
              </w:rPr>
            </w:pPr>
            <w:r>
              <w:rPr>
                <w:rFonts w:ascii="Open Sans" w:eastAsia="Open Sans" w:hAnsi="Open Sans" w:cs="Open Sans"/>
                <w:b/>
                <w:i/>
                <w:color w:val="000000"/>
                <w:sz w:val="22"/>
                <w:szCs w:val="22"/>
              </w:rPr>
              <w:t>4,9%</w:t>
            </w:r>
          </w:p>
        </w:tc>
        <w:tc>
          <w:tcPr>
            <w:tcW w:w="1781" w:type="dxa"/>
            <w:shd w:val="clear" w:color="auto" w:fill="FFC000"/>
            <w:vAlign w:val="bottom"/>
          </w:tcPr>
          <w:p w14:paraId="14E69389"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i/>
                <w:sz w:val="22"/>
                <w:szCs w:val="22"/>
              </w:rPr>
            </w:pPr>
            <w:r>
              <w:rPr>
                <w:rFonts w:ascii="Open Sans" w:eastAsia="Open Sans" w:hAnsi="Open Sans" w:cs="Open Sans"/>
                <w:b/>
                <w:i/>
                <w:color w:val="000000"/>
                <w:sz w:val="22"/>
                <w:szCs w:val="22"/>
              </w:rPr>
              <w:t>6,9%</w:t>
            </w:r>
          </w:p>
        </w:tc>
      </w:tr>
      <w:tr w:rsidR="001A24BA" w14:paraId="30D0EB9F"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38B6F750" w14:textId="77777777" w:rsidR="001A24BA" w:rsidRDefault="007A2CB3">
            <w:pPr>
              <w:rPr>
                <w:rFonts w:ascii="Open Sans" w:eastAsia="Open Sans" w:hAnsi="Open Sans" w:cs="Open Sans"/>
                <w:sz w:val="22"/>
                <w:szCs w:val="22"/>
              </w:rPr>
            </w:pPr>
            <w:proofErr w:type="spellStart"/>
            <w:r>
              <w:rPr>
                <w:rFonts w:ascii="Open Sans" w:eastAsia="Open Sans" w:hAnsi="Open Sans" w:cs="Open Sans"/>
                <w:b w:val="0"/>
              </w:rPr>
              <w:t>Comunitat</w:t>
            </w:r>
            <w:proofErr w:type="spellEnd"/>
            <w:r>
              <w:rPr>
                <w:rFonts w:ascii="Open Sans" w:eastAsia="Open Sans" w:hAnsi="Open Sans" w:cs="Open Sans"/>
                <w:b w:val="0"/>
              </w:rPr>
              <w:t xml:space="preserve"> Valenciana</w:t>
            </w:r>
          </w:p>
        </w:tc>
        <w:tc>
          <w:tcPr>
            <w:tcW w:w="1559" w:type="dxa"/>
            <w:vAlign w:val="bottom"/>
          </w:tcPr>
          <w:p w14:paraId="5E3A93FF"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2127" w:type="dxa"/>
            <w:vAlign w:val="bottom"/>
          </w:tcPr>
          <w:p w14:paraId="084C98F9"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701" w:type="dxa"/>
            <w:vAlign w:val="bottom"/>
          </w:tcPr>
          <w:p w14:paraId="7D953B2E"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81" w:type="dxa"/>
            <w:vAlign w:val="bottom"/>
          </w:tcPr>
          <w:p w14:paraId="610C52CA"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1A24BA" w14:paraId="26ED23E8"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59EBFD3D" w14:textId="77777777" w:rsidR="001A24BA" w:rsidRDefault="007A2CB3">
            <w:pPr>
              <w:rPr>
                <w:rFonts w:ascii="Open Sans" w:eastAsia="Open Sans" w:hAnsi="Open Sans" w:cs="Open Sans"/>
                <w:sz w:val="22"/>
                <w:szCs w:val="22"/>
              </w:rPr>
            </w:pPr>
            <w:proofErr w:type="spellStart"/>
            <w:r>
              <w:rPr>
                <w:rFonts w:ascii="Open Sans" w:eastAsia="Open Sans" w:hAnsi="Open Sans" w:cs="Open Sans"/>
                <w:b w:val="0"/>
              </w:rPr>
              <w:t>Comunitat</w:t>
            </w:r>
            <w:proofErr w:type="spellEnd"/>
            <w:r>
              <w:rPr>
                <w:rFonts w:ascii="Open Sans" w:eastAsia="Open Sans" w:hAnsi="Open Sans" w:cs="Open Sans"/>
                <w:b w:val="0"/>
              </w:rPr>
              <w:t xml:space="preserve"> Valenciana</w:t>
            </w:r>
          </w:p>
        </w:tc>
        <w:tc>
          <w:tcPr>
            <w:tcW w:w="1559" w:type="dxa"/>
            <w:vAlign w:val="bottom"/>
          </w:tcPr>
          <w:p w14:paraId="4D5EFC21"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Castellón</w:t>
            </w:r>
          </w:p>
        </w:tc>
        <w:tc>
          <w:tcPr>
            <w:tcW w:w="2127" w:type="dxa"/>
            <w:vAlign w:val="bottom"/>
          </w:tcPr>
          <w:p w14:paraId="4FFB5834"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701" w:type="dxa"/>
            <w:vAlign w:val="bottom"/>
          </w:tcPr>
          <w:p w14:paraId="7873910A"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81" w:type="dxa"/>
            <w:vAlign w:val="bottom"/>
          </w:tcPr>
          <w:p w14:paraId="049017C9"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1A24BA" w14:paraId="7DDAE614"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7287435C" w14:textId="77777777" w:rsidR="001A24BA" w:rsidRDefault="007A2CB3">
            <w:pPr>
              <w:rPr>
                <w:rFonts w:ascii="Open Sans" w:eastAsia="Open Sans" w:hAnsi="Open Sans" w:cs="Open Sans"/>
                <w:sz w:val="22"/>
                <w:szCs w:val="22"/>
              </w:rPr>
            </w:pPr>
            <w:r>
              <w:rPr>
                <w:rFonts w:ascii="Open Sans" w:eastAsia="Open Sans" w:hAnsi="Open Sans" w:cs="Open Sans"/>
                <w:b w:val="0"/>
              </w:rPr>
              <w:t>Cataluña</w:t>
            </w:r>
          </w:p>
        </w:tc>
        <w:tc>
          <w:tcPr>
            <w:tcW w:w="1559" w:type="dxa"/>
            <w:vAlign w:val="bottom"/>
          </w:tcPr>
          <w:p w14:paraId="4A301695"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Tarragona</w:t>
            </w:r>
          </w:p>
        </w:tc>
        <w:tc>
          <w:tcPr>
            <w:tcW w:w="2127" w:type="dxa"/>
            <w:vAlign w:val="bottom"/>
          </w:tcPr>
          <w:p w14:paraId="31DF3D34"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701" w:type="dxa"/>
            <w:vAlign w:val="bottom"/>
          </w:tcPr>
          <w:p w14:paraId="5C3BBD05"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781" w:type="dxa"/>
            <w:vAlign w:val="bottom"/>
          </w:tcPr>
          <w:p w14:paraId="7ACF4D71"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1A24BA" w14:paraId="6EC11F4B"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51B97B2F" w14:textId="77777777" w:rsidR="001A24BA" w:rsidRDefault="007A2CB3">
            <w:pPr>
              <w:rPr>
                <w:rFonts w:ascii="Open Sans" w:eastAsia="Open Sans" w:hAnsi="Open Sans" w:cs="Open Sans"/>
                <w:sz w:val="22"/>
                <w:szCs w:val="22"/>
              </w:rPr>
            </w:pPr>
            <w:r>
              <w:rPr>
                <w:rFonts w:ascii="Open Sans" w:eastAsia="Open Sans" w:hAnsi="Open Sans" w:cs="Open Sans"/>
                <w:b w:val="0"/>
              </w:rPr>
              <w:t>Galicia</w:t>
            </w:r>
          </w:p>
        </w:tc>
        <w:tc>
          <w:tcPr>
            <w:tcW w:w="1559" w:type="dxa"/>
            <w:vAlign w:val="bottom"/>
          </w:tcPr>
          <w:p w14:paraId="53B7A5E5"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 Coruña</w:t>
            </w:r>
          </w:p>
        </w:tc>
        <w:tc>
          <w:tcPr>
            <w:tcW w:w="2127" w:type="dxa"/>
            <w:vAlign w:val="bottom"/>
          </w:tcPr>
          <w:p w14:paraId="47642AA4"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Ferrol</w:t>
            </w:r>
          </w:p>
        </w:tc>
        <w:tc>
          <w:tcPr>
            <w:tcW w:w="1701" w:type="dxa"/>
            <w:vAlign w:val="bottom"/>
          </w:tcPr>
          <w:p w14:paraId="68C4B75B"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781" w:type="dxa"/>
            <w:vAlign w:val="bottom"/>
          </w:tcPr>
          <w:p w14:paraId="5DBB1FD5"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1A24BA" w14:paraId="191C3089"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01DA7630" w14:textId="77777777" w:rsidR="001A24BA" w:rsidRDefault="007A2CB3">
            <w:pPr>
              <w:rPr>
                <w:rFonts w:ascii="Open Sans" w:eastAsia="Open Sans" w:hAnsi="Open Sans" w:cs="Open Sans"/>
                <w:sz w:val="22"/>
                <w:szCs w:val="22"/>
              </w:rPr>
            </w:pPr>
            <w:r>
              <w:rPr>
                <w:rFonts w:ascii="Open Sans" w:eastAsia="Open Sans" w:hAnsi="Open Sans" w:cs="Open Sans"/>
                <w:b w:val="0"/>
              </w:rPr>
              <w:lastRenderedPageBreak/>
              <w:t>Canarias</w:t>
            </w:r>
          </w:p>
        </w:tc>
        <w:tc>
          <w:tcPr>
            <w:tcW w:w="1559" w:type="dxa"/>
            <w:vAlign w:val="bottom"/>
          </w:tcPr>
          <w:p w14:paraId="34F4BF51"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w:t>
            </w:r>
          </w:p>
        </w:tc>
        <w:tc>
          <w:tcPr>
            <w:tcW w:w="2127" w:type="dxa"/>
            <w:vAlign w:val="bottom"/>
          </w:tcPr>
          <w:p w14:paraId="2C5C62E4"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1701" w:type="dxa"/>
            <w:vAlign w:val="bottom"/>
          </w:tcPr>
          <w:p w14:paraId="6F4A94D9"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781" w:type="dxa"/>
            <w:vAlign w:val="bottom"/>
          </w:tcPr>
          <w:p w14:paraId="1B3D48BD"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1A24BA" w14:paraId="43D9DE7A"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697EC23F" w14:textId="77777777" w:rsidR="001A24BA" w:rsidRDefault="007A2CB3">
            <w:pPr>
              <w:rPr>
                <w:rFonts w:ascii="Open Sans" w:eastAsia="Open Sans" w:hAnsi="Open Sans" w:cs="Open Sans"/>
                <w:sz w:val="22"/>
                <w:szCs w:val="22"/>
              </w:rPr>
            </w:pPr>
            <w:proofErr w:type="spellStart"/>
            <w:r>
              <w:rPr>
                <w:rFonts w:ascii="Open Sans" w:eastAsia="Open Sans" w:hAnsi="Open Sans" w:cs="Open Sans"/>
                <w:b w:val="0"/>
              </w:rPr>
              <w:t>Comunitat</w:t>
            </w:r>
            <w:proofErr w:type="spellEnd"/>
            <w:r>
              <w:rPr>
                <w:rFonts w:ascii="Open Sans" w:eastAsia="Open Sans" w:hAnsi="Open Sans" w:cs="Open Sans"/>
                <w:b w:val="0"/>
              </w:rPr>
              <w:t xml:space="preserve"> Valenciana</w:t>
            </w:r>
          </w:p>
        </w:tc>
        <w:tc>
          <w:tcPr>
            <w:tcW w:w="1559" w:type="dxa"/>
            <w:vAlign w:val="bottom"/>
          </w:tcPr>
          <w:p w14:paraId="3EEED9DB"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2127" w:type="dxa"/>
            <w:vAlign w:val="bottom"/>
          </w:tcPr>
          <w:p w14:paraId="6C2880C5"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 Campello</w:t>
            </w:r>
          </w:p>
        </w:tc>
        <w:tc>
          <w:tcPr>
            <w:tcW w:w="1701" w:type="dxa"/>
            <w:vAlign w:val="bottom"/>
          </w:tcPr>
          <w:p w14:paraId="68E0FA14"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81" w:type="dxa"/>
            <w:vAlign w:val="bottom"/>
          </w:tcPr>
          <w:p w14:paraId="19E6BC7E"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1A24BA" w14:paraId="0F5E41C9"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1838CAB6" w14:textId="77777777" w:rsidR="001A24BA" w:rsidRDefault="007A2CB3">
            <w:pPr>
              <w:rPr>
                <w:rFonts w:ascii="Open Sans" w:eastAsia="Open Sans" w:hAnsi="Open Sans" w:cs="Open Sans"/>
                <w:sz w:val="22"/>
                <w:szCs w:val="22"/>
              </w:rPr>
            </w:pPr>
            <w:r>
              <w:rPr>
                <w:rFonts w:ascii="Open Sans" w:eastAsia="Open Sans" w:hAnsi="Open Sans" w:cs="Open Sans"/>
                <w:b w:val="0"/>
              </w:rPr>
              <w:t>Canarias</w:t>
            </w:r>
          </w:p>
        </w:tc>
        <w:tc>
          <w:tcPr>
            <w:tcW w:w="1559" w:type="dxa"/>
            <w:vAlign w:val="bottom"/>
          </w:tcPr>
          <w:p w14:paraId="55C55A2B"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Palmas</w:t>
            </w:r>
          </w:p>
        </w:tc>
        <w:tc>
          <w:tcPr>
            <w:tcW w:w="2127" w:type="dxa"/>
            <w:vAlign w:val="bottom"/>
          </w:tcPr>
          <w:p w14:paraId="0F210A5A"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701" w:type="dxa"/>
            <w:vAlign w:val="bottom"/>
          </w:tcPr>
          <w:p w14:paraId="0196D34D"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781" w:type="dxa"/>
            <w:vAlign w:val="bottom"/>
          </w:tcPr>
          <w:p w14:paraId="1234D1B8"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1A24BA" w14:paraId="10B525EA"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2E0E7501" w14:textId="77777777" w:rsidR="001A24BA" w:rsidRDefault="007A2CB3">
            <w:pPr>
              <w:rPr>
                <w:rFonts w:ascii="Open Sans" w:eastAsia="Open Sans" w:hAnsi="Open Sans" w:cs="Open Sans"/>
                <w:sz w:val="22"/>
                <w:szCs w:val="22"/>
              </w:rPr>
            </w:pPr>
            <w:proofErr w:type="spellStart"/>
            <w:r>
              <w:rPr>
                <w:rFonts w:ascii="Open Sans" w:eastAsia="Open Sans" w:hAnsi="Open Sans" w:cs="Open Sans"/>
                <w:b w:val="0"/>
              </w:rPr>
              <w:t>Comunitat</w:t>
            </w:r>
            <w:proofErr w:type="spellEnd"/>
            <w:r>
              <w:rPr>
                <w:rFonts w:ascii="Open Sans" w:eastAsia="Open Sans" w:hAnsi="Open Sans" w:cs="Open Sans"/>
                <w:b w:val="0"/>
              </w:rPr>
              <w:t xml:space="preserve"> Valenciana</w:t>
            </w:r>
          </w:p>
        </w:tc>
        <w:tc>
          <w:tcPr>
            <w:tcW w:w="1559" w:type="dxa"/>
            <w:vAlign w:val="bottom"/>
          </w:tcPr>
          <w:p w14:paraId="7BAB734D"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2127" w:type="dxa"/>
            <w:vAlign w:val="bottom"/>
          </w:tcPr>
          <w:p w14:paraId="7B73418D"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Elche / Elx</w:t>
            </w:r>
          </w:p>
        </w:tc>
        <w:tc>
          <w:tcPr>
            <w:tcW w:w="1701" w:type="dxa"/>
            <w:vAlign w:val="bottom"/>
          </w:tcPr>
          <w:p w14:paraId="0FA6A81A"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781" w:type="dxa"/>
            <w:vAlign w:val="bottom"/>
          </w:tcPr>
          <w:p w14:paraId="078B93E3"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1A24BA" w14:paraId="4C65AC38"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107C2933" w14:textId="77777777" w:rsidR="001A24BA" w:rsidRDefault="007A2CB3">
            <w:pPr>
              <w:rPr>
                <w:rFonts w:ascii="Open Sans" w:eastAsia="Open Sans" w:hAnsi="Open Sans" w:cs="Open Sans"/>
                <w:sz w:val="22"/>
                <w:szCs w:val="22"/>
              </w:rPr>
            </w:pPr>
            <w:r>
              <w:rPr>
                <w:rFonts w:ascii="Open Sans" w:eastAsia="Open Sans" w:hAnsi="Open Sans" w:cs="Open Sans"/>
                <w:b w:val="0"/>
              </w:rPr>
              <w:t>Andalucía</w:t>
            </w:r>
          </w:p>
        </w:tc>
        <w:tc>
          <w:tcPr>
            <w:tcW w:w="1559" w:type="dxa"/>
            <w:vAlign w:val="bottom"/>
          </w:tcPr>
          <w:p w14:paraId="06453CEF"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2127" w:type="dxa"/>
            <w:vAlign w:val="bottom"/>
          </w:tcPr>
          <w:p w14:paraId="293F412B"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Torremolinos</w:t>
            </w:r>
          </w:p>
        </w:tc>
        <w:tc>
          <w:tcPr>
            <w:tcW w:w="1701" w:type="dxa"/>
            <w:vAlign w:val="bottom"/>
          </w:tcPr>
          <w:p w14:paraId="7AB3C5C4"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781" w:type="dxa"/>
            <w:vAlign w:val="bottom"/>
          </w:tcPr>
          <w:p w14:paraId="5DB6E46A"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1A24BA" w14:paraId="5CFD647D"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738CC7E4" w14:textId="77777777" w:rsidR="001A24BA" w:rsidRDefault="007A2CB3">
            <w:pPr>
              <w:rPr>
                <w:rFonts w:ascii="Open Sans" w:eastAsia="Open Sans" w:hAnsi="Open Sans" w:cs="Open Sans"/>
                <w:sz w:val="22"/>
                <w:szCs w:val="22"/>
              </w:rPr>
            </w:pPr>
            <w:r>
              <w:rPr>
                <w:rFonts w:ascii="Open Sans" w:eastAsia="Open Sans" w:hAnsi="Open Sans" w:cs="Open Sans"/>
                <w:b w:val="0"/>
              </w:rPr>
              <w:t>Asturias</w:t>
            </w:r>
          </w:p>
        </w:tc>
        <w:tc>
          <w:tcPr>
            <w:tcW w:w="1559" w:type="dxa"/>
            <w:vAlign w:val="bottom"/>
          </w:tcPr>
          <w:p w14:paraId="7ADD7713"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127" w:type="dxa"/>
            <w:vAlign w:val="bottom"/>
          </w:tcPr>
          <w:p w14:paraId="1D2E20D8"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Gijón</w:t>
            </w:r>
          </w:p>
        </w:tc>
        <w:tc>
          <w:tcPr>
            <w:tcW w:w="1701" w:type="dxa"/>
            <w:vAlign w:val="bottom"/>
          </w:tcPr>
          <w:p w14:paraId="0DAECB93"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781" w:type="dxa"/>
            <w:vAlign w:val="bottom"/>
          </w:tcPr>
          <w:p w14:paraId="05C4765C"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1A24BA" w14:paraId="572C6240"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0004EAAD" w14:textId="77777777" w:rsidR="001A24BA" w:rsidRDefault="007A2CB3">
            <w:pPr>
              <w:rPr>
                <w:rFonts w:ascii="Open Sans" w:eastAsia="Open Sans" w:hAnsi="Open Sans" w:cs="Open Sans"/>
                <w:sz w:val="22"/>
                <w:szCs w:val="22"/>
              </w:rPr>
            </w:pPr>
            <w:r>
              <w:rPr>
                <w:rFonts w:ascii="Open Sans" w:eastAsia="Open Sans" w:hAnsi="Open Sans" w:cs="Open Sans"/>
                <w:b w:val="0"/>
              </w:rPr>
              <w:t>Andalucía</w:t>
            </w:r>
          </w:p>
        </w:tc>
        <w:tc>
          <w:tcPr>
            <w:tcW w:w="1559" w:type="dxa"/>
            <w:vAlign w:val="bottom"/>
          </w:tcPr>
          <w:p w14:paraId="57ABAB77"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2127" w:type="dxa"/>
            <w:vAlign w:val="bottom"/>
          </w:tcPr>
          <w:p w14:paraId="6FDDCC0C"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Vélez-Málaga</w:t>
            </w:r>
          </w:p>
        </w:tc>
        <w:tc>
          <w:tcPr>
            <w:tcW w:w="1701" w:type="dxa"/>
            <w:vAlign w:val="bottom"/>
          </w:tcPr>
          <w:p w14:paraId="2AE9CB91"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81" w:type="dxa"/>
            <w:vAlign w:val="bottom"/>
          </w:tcPr>
          <w:p w14:paraId="66334008"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1A24BA" w14:paraId="3D00234D"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5CC207F1" w14:textId="77777777" w:rsidR="001A24BA" w:rsidRDefault="007A2CB3">
            <w:pPr>
              <w:rPr>
                <w:rFonts w:ascii="Open Sans" w:eastAsia="Open Sans" w:hAnsi="Open Sans" w:cs="Open Sans"/>
                <w:sz w:val="22"/>
                <w:szCs w:val="22"/>
              </w:rPr>
            </w:pPr>
            <w:proofErr w:type="spellStart"/>
            <w:r>
              <w:rPr>
                <w:rFonts w:ascii="Open Sans" w:eastAsia="Open Sans" w:hAnsi="Open Sans" w:cs="Open Sans"/>
                <w:b w:val="0"/>
              </w:rPr>
              <w:t>Comunitat</w:t>
            </w:r>
            <w:proofErr w:type="spellEnd"/>
            <w:r>
              <w:rPr>
                <w:rFonts w:ascii="Open Sans" w:eastAsia="Open Sans" w:hAnsi="Open Sans" w:cs="Open Sans"/>
                <w:b w:val="0"/>
              </w:rPr>
              <w:t xml:space="preserve"> Valenciana</w:t>
            </w:r>
          </w:p>
        </w:tc>
        <w:tc>
          <w:tcPr>
            <w:tcW w:w="1559" w:type="dxa"/>
            <w:vAlign w:val="bottom"/>
          </w:tcPr>
          <w:p w14:paraId="1AB78876"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2127" w:type="dxa"/>
            <w:vAlign w:val="bottom"/>
          </w:tcPr>
          <w:p w14:paraId="0DFADD87"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Benidorm</w:t>
            </w:r>
          </w:p>
        </w:tc>
        <w:tc>
          <w:tcPr>
            <w:tcW w:w="1701" w:type="dxa"/>
            <w:vAlign w:val="bottom"/>
          </w:tcPr>
          <w:p w14:paraId="6C114288"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781" w:type="dxa"/>
            <w:vAlign w:val="bottom"/>
          </w:tcPr>
          <w:p w14:paraId="6D3247FA"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r>
      <w:tr w:rsidR="001A24BA" w14:paraId="14C6DE6A"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495726F3" w14:textId="77777777" w:rsidR="001A24BA" w:rsidRDefault="007A2CB3">
            <w:pPr>
              <w:rPr>
                <w:rFonts w:ascii="Open Sans" w:eastAsia="Open Sans" w:hAnsi="Open Sans" w:cs="Open Sans"/>
                <w:sz w:val="22"/>
                <w:szCs w:val="22"/>
              </w:rPr>
            </w:pPr>
            <w:r>
              <w:rPr>
                <w:rFonts w:ascii="Open Sans" w:eastAsia="Open Sans" w:hAnsi="Open Sans" w:cs="Open Sans"/>
                <w:b w:val="0"/>
              </w:rPr>
              <w:t>Andalucía</w:t>
            </w:r>
          </w:p>
        </w:tc>
        <w:tc>
          <w:tcPr>
            <w:tcW w:w="1559" w:type="dxa"/>
            <w:vAlign w:val="bottom"/>
          </w:tcPr>
          <w:p w14:paraId="2F7E1A49"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w:t>
            </w:r>
          </w:p>
        </w:tc>
        <w:tc>
          <w:tcPr>
            <w:tcW w:w="2127" w:type="dxa"/>
            <w:vAlign w:val="bottom"/>
          </w:tcPr>
          <w:p w14:paraId="13C32C7A"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Almuñécar</w:t>
            </w:r>
          </w:p>
        </w:tc>
        <w:tc>
          <w:tcPr>
            <w:tcW w:w="1701" w:type="dxa"/>
            <w:vAlign w:val="bottom"/>
          </w:tcPr>
          <w:p w14:paraId="418E0283"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781" w:type="dxa"/>
            <w:vAlign w:val="bottom"/>
          </w:tcPr>
          <w:p w14:paraId="00032C4B"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r>
      <w:tr w:rsidR="001A24BA" w14:paraId="65496548"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2C4F3F95" w14:textId="77777777" w:rsidR="001A24BA" w:rsidRDefault="007A2CB3">
            <w:pPr>
              <w:rPr>
                <w:rFonts w:ascii="Open Sans" w:eastAsia="Open Sans" w:hAnsi="Open Sans" w:cs="Open Sans"/>
                <w:sz w:val="22"/>
                <w:szCs w:val="22"/>
              </w:rPr>
            </w:pPr>
            <w:proofErr w:type="spellStart"/>
            <w:r>
              <w:rPr>
                <w:rFonts w:ascii="Open Sans" w:eastAsia="Open Sans" w:hAnsi="Open Sans" w:cs="Open Sans"/>
                <w:b w:val="0"/>
              </w:rPr>
              <w:t>Comunitat</w:t>
            </w:r>
            <w:proofErr w:type="spellEnd"/>
            <w:r>
              <w:rPr>
                <w:rFonts w:ascii="Open Sans" w:eastAsia="Open Sans" w:hAnsi="Open Sans" w:cs="Open Sans"/>
                <w:b w:val="0"/>
              </w:rPr>
              <w:t xml:space="preserve"> Valenciana</w:t>
            </w:r>
          </w:p>
        </w:tc>
        <w:tc>
          <w:tcPr>
            <w:tcW w:w="1559" w:type="dxa"/>
            <w:vAlign w:val="bottom"/>
          </w:tcPr>
          <w:p w14:paraId="77470BD5"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w:t>
            </w:r>
          </w:p>
        </w:tc>
        <w:tc>
          <w:tcPr>
            <w:tcW w:w="2127" w:type="dxa"/>
            <w:vAlign w:val="bottom"/>
          </w:tcPr>
          <w:p w14:paraId="7B9DE49F"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701" w:type="dxa"/>
            <w:vAlign w:val="bottom"/>
          </w:tcPr>
          <w:p w14:paraId="7358A21E"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781" w:type="dxa"/>
            <w:vAlign w:val="bottom"/>
          </w:tcPr>
          <w:p w14:paraId="2A504A91"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r>
      <w:tr w:rsidR="001A24BA" w14:paraId="6E3A379C"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4BBF555F" w14:textId="77777777" w:rsidR="001A24BA" w:rsidRDefault="007A2CB3">
            <w:pPr>
              <w:rPr>
                <w:rFonts w:ascii="Open Sans" w:eastAsia="Open Sans" w:hAnsi="Open Sans" w:cs="Open Sans"/>
                <w:sz w:val="22"/>
                <w:szCs w:val="22"/>
              </w:rPr>
            </w:pPr>
            <w:r>
              <w:rPr>
                <w:rFonts w:ascii="Open Sans" w:eastAsia="Open Sans" w:hAnsi="Open Sans" w:cs="Open Sans"/>
                <w:b w:val="0"/>
              </w:rPr>
              <w:t>Galicia</w:t>
            </w:r>
          </w:p>
        </w:tc>
        <w:tc>
          <w:tcPr>
            <w:tcW w:w="1559" w:type="dxa"/>
            <w:vAlign w:val="bottom"/>
          </w:tcPr>
          <w:p w14:paraId="063AEBAA"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Pontevedra</w:t>
            </w:r>
          </w:p>
        </w:tc>
        <w:tc>
          <w:tcPr>
            <w:tcW w:w="2127" w:type="dxa"/>
            <w:vAlign w:val="bottom"/>
          </w:tcPr>
          <w:p w14:paraId="1D6F9D8B"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Pontevedra Capital</w:t>
            </w:r>
          </w:p>
        </w:tc>
        <w:tc>
          <w:tcPr>
            <w:tcW w:w="1701" w:type="dxa"/>
            <w:vAlign w:val="bottom"/>
          </w:tcPr>
          <w:p w14:paraId="5DFBAD98"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781" w:type="dxa"/>
            <w:vAlign w:val="bottom"/>
          </w:tcPr>
          <w:p w14:paraId="1B3F80BB"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r>
      <w:tr w:rsidR="001A24BA" w14:paraId="41049E88"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4A7445EB" w14:textId="77777777" w:rsidR="001A24BA" w:rsidRDefault="007A2CB3">
            <w:pPr>
              <w:rPr>
                <w:rFonts w:ascii="Open Sans" w:eastAsia="Open Sans" w:hAnsi="Open Sans" w:cs="Open Sans"/>
                <w:sz w:val="22"/>
                <w:szCs w:val="22"/>
              </w:rPr>
            </w:pPr>
            <w:r>
              <w:rPr>
                <w:rFonts w:ascii="Open Sans" w:eastAsia="Open Sans" w:hAnsi="Open Sans" w:cs="Open Sans"/>
                <w:b w:val="0"/>
              </w:rPr>
              <w:t>Cataluña</w:t>
            </w:r>
          </w:p>
        </w:tc>
        <w:tc>
          <w:tcPr>
            <w:tcW w:w="1559" w:type="dxa"/>
            <w:vAlign w:val="bottom"/>
          </w:tcPr>
          <w:p w14:paraId="69AB3816"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127" w:type="dxa"/>
            <w:vAlign w:val="bottom"/>
          </w:tcPr>
          <w:p w14:paraId="68939D86"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Mataró</w:t>
            </w:r>
          </w:p>
        </w:tc>
        <w:tc>
          <w:tcPr>
            <w:tcW w:w="1701" w:type="dxa"/>
            <w:vAlign w:val="bottom"/>
          </w:tcPr>
          <w:p w14:paraId="020F0F5A"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781" w:type="dxa"/>
            <w:vAlign w:val="bottom"/>
          </w:tcPr>
          <w:p w14:paraId="16CC91DE"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1A24BA" w14:paraId="189716E0"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6942B0AE" w14:textId="77777777" w:rsidR="001A24BA" w:rsidRDefault="007A2CB3">
            <w:pPr>
              <w:rPr>
                <w:rFonts w:ascii="Open Sans" w:eastAsia="Open Sans" w:hAnsi="Open Sans" w:cs="Open Sans"/>
                <w:sz w:val="22"/>
                <w:szCs w:val="22"/>
              </w:rPr>
            </w:pPr>
            <w:r>
              <w:rPr>
                <w:rFonts w:ascii="Open Sans" w:eastAsia="Open Sans" w:hAnsi="Open Sans" w:cs="Open Sans"/>
                <w:b w:val="0"/>
              </w:rPr>
              <w:t>Andalucía</w:t>
            </w:r>
          </w:p>
        </w:tc>
        <w:tc>
          <w:tcPr>
            <w:tcW w:w="1559" w:type="dxa"/>
            <w:vAlign w:val="bottom"/>
          </w:tcPr>
          <w:p w14:paraId="3E80E4EB"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2127" w:type="dxa"/>
            <w:vAlign w:val="bottom"/>
          </w:tcPr>
          <w:p w14:paraId="71DADFD0"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Benalmádena</w:t>
            </w:r>
          </w:p>
        </w:tc>
        <w:tc>
          <w:tcPr>
            <w:tcW w:w="1701" w:type="dxa"/>
            <w:vAlign w:val="bottom"/>
          </w:tcPr>
          <w:p w14:paraId="74C92399"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781" w:type="dxa"/>
            <w:vAlign w:val="bottom"/>
          </w:tcPr>
          <w:p w14:paraId="63679A4B"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1A24BA" w14:paraId="04993819"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77554ADD" w14:textId="77777777" w:rsidR="001A24BA" w:rsidRDefault="007A2CB3">
            <w:pPr>
              <w:rPr>
                <w:rFonts w:ascii="Open Sans" w:eastAsia="Open Sans" w:hAnsi="Open Sans" w:cs="Open Sans"/>
                <w:sz w:val="22"/>
                <w:szCs w:val="22"/>
              </w:rPr>
            </w:pPr>
            <w:r>
              <w:rPr>
                <w:rFonts w:ascii="Open Sans" w:eastAsia="Open Sans" w:hAnsi="Open Sans" w:cs="Open Sans"/>
                <w:b w:val="0"/>
              </w:rPr>
              <w:t>País Vasco</w:t>
            </w:r>
          </w:p>
        </w:tc>
        <w:tc>
          <w:tcPr>
            <w:tcW w:w="1559" w:type="dxa"/>
            <w:vAlign w:val="bottom"/>
          </w:tcPr>
          <w:p w14:paraId="1E260908"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2127" w:type="dxa"/>
            <w:vAlign w:val="bottom"/>
          </w:tcPr>
          <w:p w14:paraId="34353E6A"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Barakaldo</w:t>
            </w:r>
          </w:p>
        </w:tc>
        <w:tc>
          <w:tcPr>
            <w:tcW w:w="1701" w:type="dxa"/>
            <w:vAlign w:val="bottom"/>
          </w:tcPr>
          <w:p w14:paraId="79A83F6C"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81" w:type="dxa"/>
            <w:vAlign w:val="bottom"/>
          </w:tcPr>
          <w:p w14:paraId="4696070C"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1A24BA" w14:paraId="05B65497"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0509B74E" w14:textId="77777777" w:rsidR="001A24BA" w:rsidRDefault="007A2CB3">
            <w:pPr>
              <w:rPr>
                <w:rFonts w:ascii="Open Sans" w:eastAsia="Open Sans" w:hAnsi="Open Sans" w:cs="Open Sans"/>
                <w:sz w:val="22"/>
                <w:szCs w:val="22"/>
              </w:rPr>
            </w:pPr>
            <w:r>
              <w:rPr>
                <w:rFonts w:ascii="Open Sans" w:eastAsia="Open Sans" w:hAnsi="Open Sans" w:cs="Open Sans"/>
                <w:b w:val="0"/>
              </w:rPr>
              <w:t>Cantabria</w:t>
            </w:r>
          </w:p>
        </w:tc>
        <w:tc>
          <w:tcPr>
            <w:tcW w:w="1559" w:type="dxa"/>
            <w:vAlign w:val="bottom"/>
          </w:tcPr>
          <w:p w14:paraId="60C9E2DB"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127" w:type="dxa"/>
            <w:vAlign w:val="bottom"/>
          </w:tcPr>
          <w:p w14:paraId="3C10DC40"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701" w:type="dxa"/>
            <w:vAlign w:val="bottom"/>
          </w:tcPr>
          <w:p w14:paraId="6DDE6448"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781" w:type="dxa"/>
            <w:vAlign w:val="bottom"/>
          </w:tcPr>
          <w:p w14:paraId="07BA009E"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r>
      <w:tr w:rsidR="001A24BA" w14:paraId="646D64F0"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3ED7D842" w14:textId="77777777" w:rsidR="001A24BA" w:rsidRDefault="007A2CB3">
            <w:pPr>
              <w:rPr>
                <w:rFonts w:ascii="Open Sans" w:eastAsia="Open Sans" w:hAnsi="Open Sans" w:cs="Open Sans"/>
                <w:sz w:val="22"/>
                <w:szCs w:val="22"/>
              </w:rPr>
            </w:pPr>
            <w:r>
              <w:rPr>
                <w:rFonts w:ascii="Open Sans" w:eastAsia="Open Sans" w:hAnsi="Open Sans" w:cs="Open Sans"/>
                <w:b w:val="0"/>
              </w:rPr>
              <w:t>Cataluña</w:t>
            </w:r>
          </w:p>
        </w:tc>
        <w:tc>
          <w:tcPr>
            <w:tcW w:w="1559" w:type="dxa"/>
            <w:vAlign w:val="bottom"/>
          </w:tcPr>
          <w:p w14:paraId="799026AD"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127" w:type="dxa"/>
            <w:vAlign w:val="bottom"/>
          </w:tcPr>
          <w:p w14:paraId="2A28BEB9"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Castelldefels</w:t>
            </w:r>
          </w:p>
        </w:tc>
        <w:tc>
          <w:tcPr>
            <w:tcW w:w="1701" w:type="dxa"/>
            <w:vAlign w:val="bottom"/>
          </w:tcPr>
          <w:p w14:paraId="78298D0E"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781" w:type="dxa"/>
            <w:vAlign w:val="bottom"/>
          </w:tcPr>
          <w:p w14:paraId="6D1547B9"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1A24BA" w14:paraId="354B925F"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53C63835" w14:textId="77777777" w:rsidR="001A24BA" w:rsidRDefault="007A2CB3">
            <w:pPr>
              <w:rPr>
                <w:rFonts w:ascii="Open Sans" w:eastAsia="Open Sans" w:hAnsi="Open Sans" w:cs="Open Sans"/>
                <w:sz w:val="22"/>
                <w:szCs w:val="22"/>
              </w:rPr>
            </w:pPr>
            <w:r>
              <w:rPr>
                <w:rFonts w:ascii="Open Sans" w:eastAsia="Open Sans" w:hAnsi="Open Sans" w:cs="Open Sans"/>
                <w:b w:val="0"/>
              </w:rPr>
              <w:t>Andalucía</w:t>
            </w:r>
          </w:p>
        </w:tc>
        <w:tc>
          <w:tcPr>
            <w:tcW w:w="1559" w:type="dxa"/>
            <w:vAlign w:val="bottom"/>
          </w:tcPr>
          <w:p w14:paraId="76672E1B"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w:t>
            </w:r>
          </w:p>
        </w:tc>
        <w:tc>
          <w:tcPr>
            <w:tcW w:w="2127" w:type="dxa"/>
            <w:vAlign w:val="bottom"/>
          </w:tcPr>
          <w:p w14:paraId="6F60AE61"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1701" w:type="dxa"/>
            <w:vAlign w:val="bottom"/>
          </w:tcPr>
          <w:p w14:paraId="6B0EA0B8"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81" w:type="dxa"/>
            <w:vAlign w:val="bottom"/>
          </w:tcPr>
          <w:p w14:paraId="2B3898D3"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1A24BA" w14:paraId="327DE676"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2F3B1770" w14:textId="77777777" w:rsidR="001A24BA" w:rsidRDefault="007A2CB3">
            <w:pPr>
              <w:rPr>
                <w:rFonts w:ascii="Open Sans" w:eastAsia="Open Sans" w:hAnsi="Open Sans" w:cs="Open Sans"/>
                <w:sz w:val="22"/>
                <w:szCs w:val="22"/>
              </w:rPr>
            </w:pPr>
            <w:r>
              <w:rPr>
                <w:rFonts w:ascii="Open Sans" w:eastAsia="Open Sans" w:hAnsi="Open Sans" w:cs="Open Sans"/>
                <w:b w:val="0"/>
              </w:rPr>
              <w:t>Andalucía</w:t>
            </w:r>
          </w:p>
        </w:tc>
        <w:tc>
          <w:tcPr>
            <w:tcW w:w="1559" w:type="dxa"/>
            <w:vAlign w:val="bottom"/>
          </w:tcPr>
          <w:p w14:paraId="08FEDDC3"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2127" w:type="dxa"/>
            <w:vAlign w:val="bottom"/>
          </w:tcPr>
          <w:p w14:paraId="348E2C8D"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701" w:type="dxa"/>
            <w:vAlign w:val="bottom"/>
          </w:tcPr>
          <w:p w14:paraId="4D4FE53A"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81" w:type="dxa"/>
            <w:vAlign w:val="bottom"/>
          </w:tcPr>
          <w:p w14:paraId="0D19D144"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1A24BA" w14:paraId="33FD019B"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22FEFEA8" w14:textId="77777777" w:rsidR="001A24BA" w:rsidRDefault="007A2CB3">
            <w:pPr>
              <w:rPr>
                <w:rFonts w:ascii="Open Sans" w:eastAsia="Open Sans" w:hAnsi="Open Sans" w:cs="Open Sans"/>
                <w:color w:val="000000"/>
                <w:sz w:val="22"/>
                <w:szCs w:val="22"/>
              </w:rPr>
            </w:pPr>
            <w:r>
              <w:rPr>
                <w:rFonts w:ascii="Open Sans" w:eastAsia="Open Sans" w:hAnsi="Open Sans" w:cs="Open Sans"/>
                <w:b w:val="0"/>
              </w:rPr>
              <w:t>Andalucía</w:t>
            </w:r>
          </w:p>
        </w:tc>
        <w:tc>
          <w:tcPr>
            <w:tcW w:w="1559" w:type="dxa"/>
            <w:vAlign w:val="bottom"/>
          </w:tcPr>
          <w:p w14:paraId="2B7C38F1"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2127" w:type="dxa"/>
            <w:vAlign w:val="bottom"/>
          </w:tcPr>
          <w:p w14:paraId="57A13B15"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Marbella</w:t>
            </w:r>
          </w:p>
        </w:tc>
        <w:tc>
          <w:tcPr>
            <w:tcW w:w="1701" w:type="dxa"/>
            <w:vAlign w:val="bottom"/>
          </w:tcPr>
          <w:p w14:paraId="5F64840C"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81" w:type="dxa"/>
            <w:vAlign w:val="bottom"/>
          </w:tcPr>
          <w:p w14:paraId="2E2A9E05"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1A24BA" w14:paraId="01A6E38B"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0C335E58" w14:textId="77777777" w:rsidR="001A24BA" w:rsidRDefault="007A2CB3">
            <w:pPr>
              <w:rPr>
                <w:rFonts w:ascii="Open Sans" w:eastAsia="Open Sans" w:hAnsi="Open Sans" w:cs="Open Sans"/>
                <w:color w:val="000000"/>
                <w:sz w:val="22"/>
                <w:szCs w:val="22"/>
              </w:rPr>
            </w:pPr>
            <w:r>
              <w:rPr>
                <w:rFonts w:ascii="Open Sans" w:eastAsia="Open Sans" w:hAnsi="Open Sans" w:cs="Open Sans"/>
                <w:b w:val="0"/>
              </w:rPr>
              <w:t>Andalucía</w:t>
            </w:r>
          </w:p>
        </w:tc>
        <w:tc>
          <w:tcPr>
            <w:tcW w:w="1559" w:type="dxa"/>
            <w:vAlign w:val="bottom"/>
          </w:tcPr>
          <w:p w14:paraId="29B710F0"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2127" w:type="dxa"/>
            <w:vAlign w:val="bottom"/>
          </w:tcPr>
          <w:p w14:paraId="6F119F27"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Estepona</w:t>
            </w:r>
          </w:p>
        </w:tc>
        <w:tc>
          <w:tcPr>
            <w:tcW w:w="1701" w:type="dxa"/>
            <w:vAlign w:val="bottom"/>
          </w:tcPr>
          <w:p w14:paraId="12137E73"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781" w:type="dxa"/>
            <w:vAlign w:val="bottom"/>
          </w:tcPr>
          <w:p w14:paraId="10E6CF2E"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r>
      <w:tr w:rsidR="001A24BA" w14:paraId="6764116E"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7A73F813" w14:textId="77777777" w:rsidR="001A24BA" w:rsidRDefault="007A2CB3">
            <w:pPr>
              <w:rPr>
                <w:rFonts w:ascii="Open Sans" w:eastAsia="Open Sans" w:hAnsi="Open Sans" w:cs="Open Sans"/>
                <w:color w:val="000000"/>
                <w:sz w:val="22"/>
                <w:szCs w:val="22"/>
              </w:rPr>
            </w:pPr>
            <w:r>
              <w:rPr>
                <w:rFonts w:ascii="Open Sans" w:eastAsia="Open Sans" w:hAnsi="Open Sans" w:cs="Open Sans"/>
                <w:b w:val="0"/>
              </w:rPr>
              <w:t>Cataluña</w:t>
            </w:r>
          </w:p>
        </w:tc>
        <w:tc>
          <w:tcPr>
            <w:tcW w:w="1559" w:type="dxa"/>
            <w:vAlign w:val="bottom"/>
          </w:tcPr>
          <w:p w14:paraId="4E00F407"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127" w:type="dxa"/>
            <w:vAlign w:val="bottom"/>
          </w:tcPr>
          <w:p w14:paraId="159E90FB"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701" w:type="dxa"/>
            <w:vAlign w:val="bottom"/>
          </w:tcPr>
          <w:p w14:paraId="7F2C97E4"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781" w:type="dxa"/>
            <w:vAlign w:val="bottom"/>
          </w:tcPr>
          <w:p w14:paraId="6CCBF432"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r>
      <w:tr w:rsidR="001A24BA" w14:paraId="0371636E"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04FD9F20" w14:textId="77777777" w:rsidR="001A24BA" w:rsidRDefault="007A2CB3">
            <w:pPr>
              <w:rPr>
                <w:rFonts w:ascii="Open Sans" w:eastAsia="Open Sans" w:hAnsi="Open Sans" w:cs="Open Sans"/>
                <w:color w:val="000000"/>
                <w:sz w:val="22"/>
                <w:szCs w:val="22"/>
              </w:rPr>
            </w:pPr>
            <w:r>
              <w:rPr>
                <w:rFonts w:ascii="Open Sans" w:eastAsia="Open Sans" w:hAnsi="Open Sans" w:cs="Open Sans"/>
                <w:b w:val="0"/>
              </w:rPr>
              <w:t>Andalucía</w:t>
            </w:r>
          </w:p>
        </w:tc>
        <w:tc>
          <w:tcPr>
            <w:tcW w:w="1559" w:type="dxa"/>
            <w:vAlign w:val="bottom"/>
          </w:tcPr>
          <w:p w14:paraId="10CE5343"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2127" w:type="dxa"/>
            <w:vAlign w:val="bottom"/>
          </w:tcPr>
          <w:p w14:paraId="565CF380"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Fuengirola</w:t>
            </w:r>
          </w:p>
        </w:tc>
        <w:tc>
          <w:tcPr>
            <w:tcW w:w="1701" w:type="dxa"/>
            <w:vAlign w:val="bottom"/>
          </w:tcPr>
          <w:p w14:paraId="46F65E40"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781" w:type="dxa"/>
            <w:vAlign w:val="bottom"/>
          </w:tcPr>
          <w:p w14:paraId="748A948A"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r>
      <w:tr w:rsidR="001A24BA" w14:paraId="7059B3FB"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300018A7" w14:textId="77777777" w:rsidR="001A24BA" w:rsidRDefault="007A2CB3">
            <w:pPr>
              <w:rPr>
                <w:rFonts w:ascii="Open Sans" w:eastAsia="Open Sans" w:hAnsi="Open Sans" w:cs="Open Sans"/>
                <w:color w:val="000000"/>
                <w:sz w:val="22"/>
                <w:szCs w:val="22"/>
              </w:rPr>
            </w:pPr>
            <w:r>
              <w:rPr>
                <w:rFonts w:ascii="Open Sans" w:eastAsia="Open Sans" w:hAnsi="Open Sans" w:cs="Open Sans"/>
                <w:b w:val="0"/>
              </w:rPr>
              <w:t>País Vasco</w:t>
            </w:r>
          </w:p>
        </w:tc>
        <w:tc>
          <w:tcPr>
            <w:tcW w:w="1559" w:type="dxa"/>
            <w:vAlign w:val="bottom"/>
          </w:tcPr>
          <w:p w14:paraId="0EBE8029"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2127" w:type="dxa"/>
            <w:vAlign w:val="bottom"/>
          </w:tcPr>
          <w:p w14:paraId="3D474EEE"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701" w:type="dxa"/>
            <w:vAlign w:val="bottom"/>
          </w:tcPr>
          <w:p w14:paraId="73ABD67A"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781" w:type="dxa"/>
            <w:vAlign w:val="bottom"/>
          </w:tcPr>
          <w:p w14:paraId="224FF43E"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1A24BA" w14:paraId="6F7681D5"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3C5A8CA2" w14:textId="77777777" w:rsidR="001A24BA" w:rsidRDefault="007A2CB3">
            <w:pPr>
              <w:rPr>
                <w:rFonts w:ascii="Open Sans" w:eastAsia="Open Sans" w:hAnsi="Open Sans" w:cs="Open Sans"/>
                <w:color w:val="000000"/>
                <w:sz w:val="22"/>
                <w:szCs w:val="22"/>
              </w:rPr>
            </w:pPr>
            <w:proofErr w:type="spellStart"/>
            <w:r>
              <w:rPr>
                <w:rFonts w:ascii="Open Sans" w:eastAsia="Open Sans" w:hAnsi="Open Sans" w:cs="Open Sans"/>
                <w:b w:val="0"/>
              </w:rPr>
              <w:t>Comunitat</w:t>
            </w:r>
            <w:proofErr w:type="spellEnd"/>
            <w:r>
              <w:rPr>
                <w:rFonts w:ascii="Open Sans" w:eastAsia="Open Sans" w:hAnsi="Open Sans" w:cs="Open Sans"/>
                <w:b w:val="0"/>
              </w:rPr>
              <w:t xml:space="preserve"> Valenciana</w:t>
            </w:r>
          </w:p>
        </w:tc>
        <w:tc>
          <w:tcPr>
            <w:tcW w:w="1559" w:type="dxa"/>
            <w:vAlign w:val="bottom"/>
          </w:tcPr>
          <w:p w14:paraId="78D204C8"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w:t>
            </w:r>
          </w:p>
        </w:tc>
        <w:tc>
          <w:tcPr>
            <w:tcW w:w="2127" w:type="dxa"/>
            <w:vAlign w:val="bottom"/>
          </w:tcPr>
          <w:p w14:paraId="2C0E5602"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Orihuela</w:t>
            </w:r>
          </w:p>
        </w:tc>
        <w:tc>
          <w:tcPr>
            <w:tcW w:w="1701" w:type="dxa"/>
            <w:vAlign w:val="bottom"/>
          </w:tcPr>
          <w:p w14:paraId="3D064D30"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81" w:type="dxa"/>
            <w:vAlign w:val="bottom"/>
          </w:tcPr>
          <w:p w14:paraId="35CC08B3"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1A24BA" w14:paraId="081E2A91"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305FBB2C" w14:textId="77777777" w:rsidR="001A24BA" w:rsidRDefault="007A2CB3">
            <w:pPr>
              <w:rPr>
                <w:rFonts w:ascii="Open Sans" w:eastAsia="Open Sans" w:hAnsi="Open Sans" w:cs="Open Sans"/>
                <w:color w:val="000000"/>
                <w:sz w:val="22"/>
                <w:szCs w:val="22"/>
              </w:rPr>
            </w:pPr>
            <w:r>
              <w:rPr>
                <w:rFonts w:ascii="Open Sans" w:eastAsia="Open Sans" w:hAnsi="Open Sans" w:cs="Open Sans"/>
                <w:b w:val="0"/>
              </w:rPr>
              <w:t>Cataluña</w:t>
            </w:r>
          </w:p>
        </w:tc>
        <w:tc>
          <w:tcPr>
            <w:tcW w:w="1559" w:type="dxa"/>
            <w:vAlign w:val="bottom"/>
          </w:tcPr>
          <w:p w14:paraId="639C44F3"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w:t>
            </w:r>
          </w:p>
        </w:tc>
        <w:tc>
          <w:tcPr>
            <w:tcW w:w="2127" w:type="dxa"/>
            <w:vAlign w:val="bottom"/>
          </w:tcPr>
          <w:p w14:paraId="7D0E006E"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Sitges</w:t>
            </w:r>
          </w:p>
        </w:tc>
        <w:tc>
          <w:tcPr>
            <w:tcW w:w="1701" w:type="dxa"/>
            <w:vAlign w:val="bottom"/>
          </w:tcPr>
          <w:p w14:paraId="1D337A38"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781" w:type="dxa"/>
            <w:vAlign w:val="bottom"/>
          </w:tcPr>
          <w:p w14:paraId="5AE46C5E"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1A24BA" w14:paraId="4E69A104"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0853BD0B" w14:textId="77777777" w:rsidR="001A24BA" w:rsidRDefault="007A2CB3">
            <w:pPr>
              <w:rPr>
                <w:rFonts w:ascii="Open Sans" w:eastAsia="Open Sans" w:hAnsi="Open Sans" w:cs="Open Sans"/>
                <w:color w:val="000000"/>
                <w:sz w:val="22"/>
                <w:szCs w:val="22"/>
              </w:rPr>
            </w:pPr>
            <w:r>
              <w:rPr>
                <w:rFonts w:ascii="Open Sans" w:eastAsia="Open Sans" w:hAnsi="Open Sans" w:cs="Open Sans"/>
                <w:b w:val="0"/>
              </w:rPr>
              <w:t>Galicia</w:t>
            </w:r>
          </w:p>
        </w:tc>
        <w:tc>
          <w:tcPr>
            <w:tcW w:w="1559" w:type="dxa"/>
            <w:vAlign w:val="bottom"/>
          </w:tcPr>
          <w:p w14:paraId="0F880399"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Pontevedra</w:t>
            </w:r>
          </w:p>
        </w:tc>
        <w:tc>
          <w:tcPr>
            <w:tcW w:w="2127" w:type="dxa"/>
            <w:vAlign w:val="bottom"/>
          </w:tcPr>
          <w:p w14:paraId="6FFECBB0"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Vigo</w:t>
            </w:r>
          </w:p>
        </w:tc>
        <w:tc>
          <w:tcPr>
            <w:tcW w:w="1701" w:type="dxa"/>
            <w:vAlign w:val="bottom"/>
          </w:tcPr>
          <w:p w14:paraId="1CD9073D"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781" w:type="dxa"/>
            <w:vAlign w:val="bottom"/>
          </w:tcPr>
          <w:p w14:paraId="4CF78301"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r>
      <w:tr w:rsidR="001A24BA" w14:paraId="189F608F"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4553069F" w14:textId="77777777" w:rsidR="001A24BA" w:rsidRDefault="007A2CB3">
            <w:pPr>
              <w:rPr>
                <w:rFonts w:ascii="Open Sans" w:eastAsia="Open Sans" w:hAnsi="Open Sans" w:cs="Open Sans"/>
                <w:color w:val="000000"/>
                <w:sz w:val="22"/>
                <w:szCs w:val="22"/>
              </w:rPr>
            </w:pPr>
            <w:r>
              <w:rPr>
                <w:rFonts w:ascii="Open Sans" w:eastAsia="Open Sans" w:hAnsi="Open Sans" w:cs="Open Sans"/>
                <w:b w:val="0"/>
              </w:rPr>
              <w:t>Baleares</w:t>
            </w:r>
          </w:p>
        </w:tc>
        <w:tc>
          <w:tcPr>
            <w:tcW w:w="1559" w:type="dxa"/>
            <w:vAlign w:val="bottom"/>
          </w:tcPr>
          <w:p w14:paraId="1D31D862"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Illes Balears</w:t>
            </w:r>
          </w:p>
        </w:tc>
        <w:tc>
          <w:tcPr>
            <w:tcW w:w="2127" w:type="dxa"/>
            <w:vAlign w:val="bottom"/>
          </w:tcPr>
          <w:p w14:paraId="1C46DA2E"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701" w:type="dxa"/>
            <w:vAlign w:val="bottom"/>
          </w:tcPr>
          <w:p w14:paraId="652CE17D"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w:t>
            </w:r>
          </w:p>
        </w:tc>
        <w:tc>
          <w:tcPr>
            <w:tcW w:w="1781" w:type="dxa"/>
            <w:vAlign w:val="bottom"/>
          </w:tcPr>
          <w:p w14:paraId="05D35CE5"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r>
      <w:tr w:rsidR="001A24BA" w14:paraId="0D5997BD"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35481D99" w14:textId="77777777" w:rsidR="001A24BA" w:rsidRDefault="007A2CB3">
            <w:pPr>
              <w:rPr>
                <w:rFonts w:ascii="Open Sans" w:eastAsia="Open Sans" w:hAnsi="Open Sans" w:cs="Open Sans"/>
                <w:color w:val="000000"/>
                <w:sz w:val="22"/>
                <w:szCs w:val="22"/>
              </w:rPr>
            </w:pPr>
            <w:r>
              <w:rPr>
                <w:rFonts w:ascii="Open Sans" w:eastAsia="Open Sans" w:hAnsi="Open Sans" w:cs="Open Sans"/>
                <w:b w:val="0"/>
              </w:rPr>
              <w:t>País Vasco</w:t>
            </w:r>
          </w:p>
        </w:tc>
        <w:tc>
          <w:tcPr>
            <w:tcW w:w="1559" w:type="dxa"/>
            <w:vAlign w:val="bottom"/>
          </w:tcPr>
          <w:p w14:paraId="2AA453A5"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Bizkaia</w:t>
            </w:r>
          </w:p>
        </w:tc>
        <w:tc>
          <w:tcPr>
            <w:tcW w:w="2127" w:type="dxa"/>
            <w:vAlign w:val="bottom"/>
          </w:tcPr>
          <w:p w14:paraId="7D29AB57"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Getxo</w:t>
            </w:r>
          </w:p>
        </w:tc>
        <w:tc>
          <w:tcPr>
            <w:tcW w:w="1701" w:type="dxa"/>
            <w:vAlign w:val="bottom"/>
          </w:tcPr>
          <w:p w14:paraId="429F36F8"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781" w:type="dxa"/>
            <w:vAlign w:val="bottom"/>
          </w:tcPr>
          <w:p w14:paraId="710CA66D"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r w:rsidR="001A24BA" w14:paraId="6CEB4435" w14:textId="77777777" w:rsidTr="001A24BA">
        <w:trPr>
          <w:trHeight w:val="273"/>
        </w:trPr>
        <w:tc>
          <w:tcPr>
            <w:cnfStyle w:val="001000000000" w:firstRow="0" w:lastRow="0" w:firstColumn="1" w:lastColumn="0" w:oddVBand="0" w:evenVBand="0" w:oddHBand="0" w:evenHBand="0" w:firstRowFirstColumn="0" w:firstRowLastColumn="0" w:lastRowFirstColumn="0" w:lastRowLastColumn="0"/>
            <w:tcW w:w="1838" w:type="dxa"/>
          </w:tcPr>
          <w:p w14:paraId="411EF61E" w14:textId="77777777" w:rsidR="001A24BA" w:rsidRDefault="007A2CB3">
            <w:pPr>
              <w:rPr>
                <w:rFonts w:ascii="Open Sans" w:eastAsia="Open Sans" w:hAnsi="Open Sans" w:cs="Open Sans"/>
                <w:color w:val="000000"/>
                <w:sz w:val="22"/>
                <w:szCs w:val="22"/>
              </w:rPr>
            </w:pPr>
            <w:r>
              <w:rPr>
                <w:rFonts w:ascii="Open Sans" w:eastAsia="Open Sans" w:hAnsi="Open Sans" w:cs="Open Sans"/>
                <w:b w:val="0"/>
              </w:rPr>
              <w:t>Andalucía</w:t>
            </w:r>
          </w:p>
        </w:tc>
        <w:tc>
          <w:tcPr>
            <w:tcW w:w="1559" w:type="dxa"/>
            <w:vAlign w:val="bottom"/>
          </w:tcPr>
          <w:p w14:paraId="5BD4A92D"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w:t>
            </w:r>
          </w:p>
        </w:tc>
        <w:tc>
          <w:tcPr>
            <w:tcW w:w="2127" w:type="dxa"/>
            <w:vAlign w:val="bottom"/>
          </w:tcPr>
          <w:p w14:paraId="086AF9BE" w14:textId="77777777" w:rsidR="001A24BA" w:rsidRDefault="007A2CB3">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Rincón de la Victoria</w:t>
            </w:r>
          </w:p>
        </w:tc>
        <w:tc>
          <w:tcPr>
            <w:tcW w:w="1701" w:type="dxa"/>
            <w:vAlign w:val="bottom"/>
          </w:tcPr>
          <w:p w14:paraId="0AFBB210"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781" w:type="dxa"/>
            <w:vAlign w:val="bottom"/>
          </w:tcPr>
          <w:p w14:paraId="74EAC097" w14:textId="77777777" w:rsidR="001A24BA" w:rsidRDefault="007A2CB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r>
      <w:tr w:rsidR="001A24BA" w14:paraId="483EC814" w14:textId="77777777" w:rsidTr="001A24B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8" w:type="dxa"/>
          </w:tcPr>
          <w:p w14:paraId="18A4A010" w14:textId="77777777" w:rsidR="001A24BA" w:rsidRDefault="007A2CB3">
            <w:pPr>
              <w:rPr>
                <w:rFonts w:ascii="Open Sans" w:eastAsia="Open Sans" w:hAnsi="Open Sans" w:cs="Open Sans"/>
                <w:color w:val="000000"/>
                <w:sz w:val="22"/>
                <w:szCs w:val="22"/>
              </w:rPr>
            </w:pPr>
            <w:r>
              <w:rPr>
                <w:rFonts w:ascii="Open Sans" w:eastAsia="Open Sans" w:hAnsi="Open Sans" w:cs="Open Sans"/>
                <w:b w:val="0"/>
              </w:rPr>
              <w:t>País Vasco</w:t>
            </w:r>
          </w:p>
        </w:tc>
        <w:tc>
          <w:tcPr>
            <w:tcW w:w="1559" w:type="dxa"/>
            <w:vAlign w:val="bottom"/>
          </w:tcPr>
          <w:p w14:paraId="7E9D548F"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Gipuzkoa</w:t>
            </w:r>
          </w:p>
        </w:tc>
        <w:tc>
          <w:tcPr>
            <w:tcW w:w="2127" w:type="dxa"/>
            <w:vAlign w:val="bottom"/>
          </w:tcPr>
          <w:p w14:paraId="74C1EE7A" w14:textId="77777777" w:rsidR="001A24BA" w:rsidRDefault="007A2CB3">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701" w:type="dxa"/>
            <w:vAlign w:val="bottom"/>
          </w:tcPr>
          <w:p w14:paraId="4EE6BA53"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1781" w:type="dxa"/>
            <w:vAlign w:val="bottom"/>
          </w:tcPr>
          <w:p w14:paraId="0486F3AC" w14:textId="77777777" w:rsidR="001A24BA" w:rsidRDefault="007A2CB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r>
    </w:tbl>
    <w:p w14:paraId="7EE2AA47" w14:textId="77777777" w:rsidR="001D45BF" w:rsidRDefault="001D45BF">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123AF3AC" w14:textId="607836FE" w:rsidR="001A24BA" w:rsidRDefault="007A2CB3">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 xml:space="preserve">Los municipios costeros menos rentables </w:t>
      </w:r>
    </w:p>
    <w:p w14:paraId="7AA2BD96" w14:textId="77777777" w:rsidR="001A24BA" w:rsidRDefault="007A2CB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otro extremo, ciudades costeras con rentabilidad media de la vivienda inferior al 5% son Donostia - San Sebastián con 3,5% (con 3% hace 10 años), seguida de Rincón de la Victoria (4,1%), Getxo (4,2%), Palma de Mallorca (4,5%), Vigo (4,6%), Sitges (4,7%), Orihuela (4,7%), Bilbao</w:t>
      </w:r>
      <w:r>
        <w:rPr>
          <w:rFonts w:ascii="Open Sans" w:eastAsia="Open Sans" w:hAnsi="Open Sans" w:cs="Open Sans"/>
          <w:color w:val="000000"/>
          <w:sz w:val="22"/>
          <w:szCs w:val="22"/>
        </w:rPr>
        <w:tab/>
        <w:t>(4,7%).</w:t>
      </w:r>
    </w:p>
    <w:p w14:paraId="505014DC" w14:textId="77777777" w:rsidR="001A24BA" w:rsidRDefault="007A2CB3">
      <w:pPr>
        <w:spacing w:line="276" w:lineRule="auto"/>
        <w:ind w:right="-574"/>
        <w:jc w:val="center"/>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Comparativa de las ciudades costeras menos rentables para invertir en vivienda 2013-2022 </w:t>
      </w:r>
      <w:r>
        <w:rPr>
          <w:noProof/>
        </w:rPr>
        <w:drawing>
          <wp:inline distT="0" distB="0" distL="0" distR="0" wp14:anchorId="27349ECB" wp14:editId="28BC9E2D">
            <wp:extent cx="5756744" cy="27813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3D0F05" w14:textId="77777777" w:rsidR="001A24BA" w:rsidRDefault="001A24BA">
      <w:pPr>
        <w:spacing w:line="276" w:lineRule="auto"/>
        <w:ind w:right="-574"/>
        <w:jc w:val="right"/>
        <w:rPr>
          <w:rFonts w:ascii="Open Sans Light" w:eastAsia="Open Sans Light" w:hAnsi="Open Sans Light" w:cs="Open Sans Light"/>
          <w:b/>
          <w:color w:val="303AB2"/>
        </w:rPr>
      </w:pPr>
    </w:p>
    <w:p w14:paraId="6075F726" w14:textId="77777777" w:rsidR="001A24BA" w:rsidRDefault="001A24BA">
      <w:pPr>
        <w:spacing w:line="276" w:lineRule="auto"/>
        <w:ind w:right="-574"/>
        <w:jc w:val="right"/>
        <w:rPr>
          <w:rFonts w:ascii="Open Sans Light" w:eastAsia="Open Sans Light" w:hAnsi="Open Sans Light" w:cs="Open Sans Light"/>
          <w:b/>
          <w:color w:val="303AB2"/>
        </w:rPr>
      </w:pPr>
    </w:p>
    <w:p w14:paraId="28975FD2" w14:textId="77777777" w:rsidR="001A24BA" w:rsidRDefault="001A24BA">
      <w:pPr>
        <w:spacing w:line="276" w:lineRule="auto"/>
        <w:ind w:right="-574"/>
        <w:jc w:val="right"/>
        <w:rPr>
          <w:rFonts w:ascii="Open Sans Light" w:eastAsia="Open Sans Light" w:hAnsi="Open Sans Light" w:cs="Open Sans Light"/>
          <w:b/>
          <w:color w:val="303AB2"/>
        </w:rPr>
      </w:pPr>
    </w:p>
    <w:p w14:paraId="5243CE29" w14:textId="77777777" w:rsidR="001A24BA" w:rsidRDefault="007A2CB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E48D0B1" w14:textId="77777777" w:rsidR="001A24BA" w:rsidRDefault="007A2CB3">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30j0zll" w:colFirst="0" w:colLast="0"/>
    <w:bookmarkEnd w:id="1"/>
    <w:p w14:paraId="1A7AC8F4" w14:textId="77777777" w:rsidR="001A24BA" w:rsidRDefault="007A2CB3">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BE0E12">
        <w:fldChar w:fldCharType="begin"/>
      </w:r>
      <w:r w:rsidR="00BE0E12">
        <w:instrText>HYPERLINK "https://www.adevinta.com/" \h</w:instrText>
      </w:r>
      <w:r w:rsidR="00BE0E12">
        <w:fldChar w:fldCharType="separate"/>
      </w:r>
      <w:r>
        <w:rPr>
          <w:rFonts w:ascii="Open Sans" w:eastAsia="Open Sans" w:hAnsi="Open Sans" w:cs="Open Sans"/>
          <w:color w:val="0000FF"/>
          <w:sz w:val="22"/>
          <w:szCs w:val="22"/>
          <w:u w:val="single"/>
        </w:rPr>
        <w:t>Adevinta</w:t>
      </w:r>
      <w:proofErr w:type="spellEnd"/>
      <w:r w:rsidR="00BE0E12">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37C0A62" w14:textId="77777777" w:rsidR="001A24BA" w:rsidRDefault="001A24BA">
      <w:pPr>
        <w:spacing w:line="276" w:lineRule="auto"/>
        <w:ind w:right="-716"/>
        <w:jc w:val="both"/>
        <w:rPr>
          <w:rFonts w:ascii="Open Sans Light" w:eastAsia="Open Sans Light" w:hAnsi="Open Sans Light" w:cs="Open Sans Light"/>
          <w:b/>
          <w:color w:val="303AB2"/>
        </w:rPr>
      </w:pPr>
    </w:p>
    <w:p w14:paraId="78A75852" w14:textId="77777777" w:rsidR="001A24BA" w:rsidRDefault="001A24BA">
      <w:pPr>
        <w:spacing w:line="276" w:lineRule="auto"/>
        <w:ind w:right="-716"/>
        <w:jc w:val="both"/>
        <w:rPr>
          <w:rFonts w:ascii="Open Sans Light" w:eastAsia="Open Sans Light" w:hAnsi="Open Sans Light" w:cs="Open Sans Light"/>
          <w:b/>
          <w:color w:val="303AB2"/>
        </w:rPr>
      </w:pPr>
    </w:p>
    <w:p w14:paraId="46F43268" w14:textId="77777777" w:rsidR="001A24BA" w:rsidRDefault="007A2CB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13E99EC" w14:textId="77777777" w:rsidR="001A24BA" w:rsidRDefault="007A2CB3">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rsidR="00BE0E12">
        <w:fldChar w:fldCharType="begin"/>
      </w:r>
      <w:r w:rsidR="00BE0E12">
        <w:instrText>HYPERLINK "https://www.milanuncios.com/" \h</w:instrText>
      </w:r>
      <w:r w:rsidR="00BE0E12">
        <w:fldChar w:fldCharType="separate"/>
      </w:r>
      <w:r>
        <w:rPr>
          <w:rFonts w:ascii="Open Sans" w:eastAsia="Open Sans" w:hAnsi="Open Sans" w:cs="Open Sans"/>
          <w:color w:val="1155CC"/>
          <w:sz w:val="22"/>
          <w:szCs w:val="22"/>
          <w:u w:val="single"/>
        </w:rPr>
        <w:t>Milanuncios</w:t>
      </w:r>
      <w:proofErr w:type="spellEnd"/>
      <w:r w:rsidR="00BE0E12">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9A3B9EA" w14:textId="77777777" w:rsidR="001A24BA" w:rsidRDefault="007A2CB3">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9203547" w14:textId="77777777" w:rsidR="001A24BA" w:rsidRDefault="007A2CB3">
      <w:pPr>
        <w:spacing w:after="16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03A8B498" w14:textId="77777777" w:rsidR="001A24BA" w:rsidRDefault="007A2CB3">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7A24EFDA" w14:textId="77777777" w:rsidR="001A24BA" w:rsidRDefault="001A24BA">
      <w:pPr>
        <w:spacing w:line="276" w:lineRule="auto"/>
        <w:ind w:right="-716"/>
        <w:jc w:val="both"/>
        <w:rPr>
          <w:rFonts w:ascii="Open Sans Light" w:eastAsia="Open Sans Light" w:hAnsi="Open Sans Light" w:cs="Open Sans Light"/>
          <w:b/>
          <w:color w:val="303AB2"/>
          <w:sz w:val="22"/>
          <w:szCs w:val="22"/>
        </w:rPr>
      </w:pPr>
    </w:p>
    <w:p w14:paraId="761266B8" w14:textId="77777777" w:rsidR="001A24BA" w:rsidRDefault="007A2CB3">
      <w:pPr>
        <w:spacing w:line="276" w:lineRule="auto"/>
        <w:ind w:right="-716"/>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3AFB89AB" w14:textId="77777777" w:rsidR="001A24BA" w:rsidRDefault="007A2CB3">
      <w:pPr>
        <w:shd w:val="clear" w:color="auto" w:fill="FFFFFF"/>
        <w:spacing w:line="276" w:lineRule="auto"/>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5EDD4374" w14:textId="77777777" w:rsidR="001A24BA" w:rsidRDefault="00BE0E12">
      <w:pPr>
        <w:shd w:val="clear" w:color="auto" w:fill="FFFFFF"/>
        <w:spacing w:line="276" w:lineRule="auto"/>
        <w:ind w:right="-716"/>
        <w:jc w:val="both"/>
        <w:rPr>
          <w:rFonts w:ascii="Open Sans" w:eastAsia="Open Sans" w:hAnsi="Open Sans" w:cs="Open Sans"/>
          <w:color w:val="0000FF"/>
          <w:sz w:val="22"/>
          <w:szCs w:val="22"/>
          <w:u w:val="single"/>
        </w:rPr>
      </w:pPr>
      <w:hyperlink r:id="rId23">
        <w:r w:rsidR="007A2CB3">
          <w:rPr>
            <w:rFonts w:ascii="Open Sans" w:eastAsia="Open Sans" w:hAnsi="Open Sans" w:cs="Open Sans"/>
            <w:color w:val="0000FF"/>
            <w:sz w:val="22"/>
            <w:szCs w:val="22"/>
            <w:u w:val="single"/>
          </w:rPr>
          <w:t>rtorne@llorenteycuenca.com</w:t>
        </w:r>
      </w:hyperlink>
      <w:r w:rsidR="007A2CB3">
        <w:rPr>
          <w:rFonts w:ascii="Open Sans" w:eastAsia="Open Sans" w:hAnsi="Open Sans" w:cs="Open Sans"/>
          <w:color w:val="0000FF"/>
          <w:sz w:val="22"/>
          <w:szCs w:val="22"/>
        </w:rPr>
        <w:tab/>
      </w:r>
      <w:r w:rsidR="007A2CB3">
        <w:rPr>
          <w:rFonts w:ascii="Open Sans" w:eastAsia="Open Sans" w:hAnsi="Open Sans" w:cs="Open Sans"/>
          <w:color w:val="0000FF"/>
          <w:sz w:val="22"/>
          <w:szCs w:val="22"/>
        </w:rPr>
        <w:tab/>
      </w:r>
      <w:r w:rsidR="007A2CB3">
        <w:rPr>
          <w:rFonts w:ascii="Open Sans" w:eastAsia="Open Sans" w:hAnsi="Open Sans" w:cs="Open Sans"/>
          <w:color w:val="0000FF"/>
          <w:sz w:val="22"/>
          <w:szCs w:val="22"/>
        </w:rPr>
        <w:tab/>
        <w:t xml:space="preserve">                       </w:t>
      </w:r>
      <w:hyperlink r:id="rId24">
        <w:r w:rsidR="007A2CB3">
          <w:rPr>
            <w:rFonts w:ascii="Open Sans" w:eastAsia="Open Sans" w:hAnsi="Open Sans" w:cs="Open Sans"/>
            <w:color w:val="0000FF"/>
            <w:sz w:val="22"/>
            <w:szCs w:val="22"/>
            <w:u w:val="single"/>
          </w:rPr>
          <w:t>comunicacion@fotocasa.es</w:t>
        </w:r>
      </w:hyperlink>
    </w:p>
    <w:p w14:paraId="6971AD47" w14:textId="77777777" w:rsidR="001A24BA" w:rsidRDefault="007A2CB3">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49116B76" w14:textId="77777777" w:rsidR="001A24BA" w:rsidRDefault="007A2CB3">
      <w:pPr>
        <w:shd w:val="clear" w:color="auto" w:fill="FFFFFF"/>
        <w:ind w:right="-716"/>
        <w:jc w:val="both"/>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C547292" w14:textId="77777777" w:rsidR="001A24BA" w:rsidRDefault="007A2CB3">
      <w:pPr>
        <w:shd w:val="clear" w:color="auto" w:fill="FFFFFF"/>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0EBC29AD" w14:textId="77777777" w:rsidR="001A24BA" w:rsidRDefault="00BE0E12">
      <w:pPr>
        <w:shd w:val="clear" w:color="auto" w:fill="FFFFFF"/>
        <w:ind w:right="-716"/>
        <w:jc w:val="both"/>
        <w:rPr>
          <w:rFonts w:ascii="Open Sans" w:eastAsia="Open Sans" w:hAnsi="Open Sans" w:cs="Open Sans"/>
          <w:b/>
          <w:color w:val="000000"/>
          <w:sz w:val="22"/>
          <w:szCs w:val="22"/>
        </w:rPr>
      </w:pPr>
      <w:hyperlink r:id="rId25">
        <w:r w:rsidR="007A2CB3">
          <w:rPr>
            <w:rFonts w:ascii="Open Sans" w:eastAsia="Open Sans" w:hAnsi="Open Sans" w:cs="Open Sans"/>
            <w:color w:val="0000FF"/>
            <w:sz w:val="22"/>
            <w:szCs w:val="22"/>
            <w:u w:val="single"/>
          </w:rPr>
          <w:t>emerino@llorenteycuenca.com</w:t>
        </w:r>
      </w:hyperlink>
      <w:r w:rsidR="007A2CB3">
        <w:rPr>
          <w:rFonts w:ascii="Open Sans" w:eastAsia="Open Sans" w:hAnsi="Open Sans" w:cs="Open Sans"/>
          <w:color w:val="0000FF"/>
          <w:sz w:val="22"/>
          <w:szCs w:val="22"/>
        </w:rPr>
        <w:tab/>
      </w:r>
      <w:r w:rsidR="007A2CB3">
        <w:rPr>
          <w:rFonts w:ascii="Open Sans" w:eastAsia="Open Sans" w:hAnsi="Open Sans" w:cs="Open Sans"/>
          <w:color w:val="0000FF"/>
          <w:sz w:val="22"/>
          <w:szCs w:val="22"/>
        </w:rPr>
        <w:tab/>
      </w:r>
    </w:p>
    <w:p w14:paraId="63979522" w14:textId="77777777" w:rsidR="001A24BA" w:rsidRDefault="007A2CB3">
      <w:pP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49411789" w14:textId="77777777" w:rsidR="001A24BA" w:rsidRDefault="001A24BA">
      <w:pPr>
        <w:shd w:val="clear" w:color="auto" w:fill="FFFFFF"/>
        <w:ind w:right="-716"/>
        <w:jc w:val="both"/>
        <w:rPr>
          <w:rFonts w:ascii="Open Sans" w:eastAsia="Open Sans" w:hAnsi="Open Sans" w:cs="Open Sans"/>
          <w:color w:val="000000"/>
          <w:sz w:val="22"/>
          <w:szCs w:val="22"/>
        </w:rPr>
      </w:pPr>
    </w:p>
    <w:p w14:paraId="6130C8F8" w14:textId="77777777" w:rsidR="001A24BA" w:rsidRDefault="007A2CB3">
      <w:pPr>
        <w:shd w:val="clear" w:color="auto" w:fill="FFFFFF"/>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279AC902" w14:textId="77777777" w:rsidR="001A24BA" w:rsidRDefault="00BE0E12">
      <w:pPr>
        <w:shd w:val="clear" w:color="auto" w:fill="FFFFFF"/>
        <w:ind w:right="-716"/>
        <w:jc w:val="both"/>
        <w:rPr>
          <w:rFonts w:ascii="Open Sans" w:eastAsia="Open Sans" w:hAnsi="Open Sans" w:cs="Open Sans"/>
          <w:b/>
          <w:color w:val="000000"/>
          <w:sz w:val="22"/>
          <w:szCs w:val="22"/>
        </w:rPr>
      </w:pPr>
      <w:hyperlink r:id="rId26">
        <w:r w:rsidR="007A2CB3">
          <w:rPr>
            <w:rFonts w:ascii="Open Sans" w:eastAsia="Open Sans" w:hAnsi="Open Sans" w:cs="Open Sans"/>
            <w:color w:val="0000FF"/>
            <w:sz w:val="22"/>
            <w:szCs w:val="22"/>
            <w:u w:val="single"/>
          </w:rPr>
          <w:t>piglesias@llorenteycuenca.com</w:t>
        </w:r>
      </w:hyperlink>
      <w:r w:rsidR="007A2CB3">
        <w:rPr>
          <w:rFonts w:ascii="Open Sans" w:eastAsia="Open Sans" w:hAnsi="Open Sans" w:cs="Open Sans"/>
          <w:color w:val="0000FF"/>
          <w:sz w:val="22"/>
          <w:szCs w:val="22"/>
        </w:rPr>
        <w:tab/>
      </w:r>
      <w:r w:rsidR="007A2CB3">
        <w:rPr>
          <w:rFonts w:ascii="Open Sans" w:eastAsia="Open Sans" w:hAnsi="Open Sans" w:cs="Open Sans"/>
          <w:color w:val="0000FF"/>
          <w:sz w:val="22"/>
          <w:szCs w:val="22"/>
        </w:rPr>
        <w:tab/>
      </w:r>
    </w:p>
    <w:p w14:paraId="781E0F51" w14:textId="77777777" w:rsidR="001A24BA" w:rsidRDefault="007A2CB3">
      <w:pP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343E7C1B" w14:textId="77777777" w:rsidR="001A24BA" w:rsidRDefault="001A24BA">
      <w:pPr>
        <w:shd w:val="clear" w:color="auto" w:fill="FFFFFF"/>
        <w:spacing w:line="276" w:lineRule="auto"/>
        <w:ind w:right="-716"/>
        <w:jc w:val="both"/>
        <w:rPr>
          <w:rFonts w:ascii="Open Sans" w:eastAsia="Open Sans" w:hAnsi="Open Sans" w:cs="Open Sans"/>
          <w:color w:val="000000"/>
        </w:rPr>
      </w:pPr>
    </w:p>
    <w:p w14:paraId="5C2BDE04" w14:textId="77777777" w:rsidR="001A24BA" w:rsidRDefault="001A24BA">
      <w:pPr>
        <w:spacing w:line="276" w:lineRule="auto"/>
        <w:ind w:right="-574"/>
        <w:jc w:val="both"/>
        <w:rPr>
          <w:rFonts w:ascii="Open Sans" w:eastAsia="Open Sans" w:hAnsi="Open Sans" w:cs="Open Sans"/>
          <w:color w:val="000000"/>
          <w:sz w:val="21"/>
          <w:szCs w:val="21"/>
        </w:rPr>
      </w:pPr>
    </w:p>
    <w:p w14:paraId="19F120DD" w14:textId="77777777" w:rsidR="001A24BA" w:rsidRDefault="001A24BA">
      <w:pPr>
        <w:spacing w:line="276" w:lineRule="auto"/>
        <w:ind w:right="-716"/>
        <w:jc w:val="right"/>
        <w:rPr>
          <w:rFonts w:ascii="Open Sans" w:eastAsia="Open Sans" w:hAnsi="Open Sans" w:cs="Open Sans"/>
          <w:color w:val="000000"/>
          <w:sz w:val="21"/>
          <w:szCs w:val="21"/>
        </w:rPr>
      </w:pPr>
    </w:p>
    <w:sectPr w:rsidR="001A24BA">
      <w:footerReference w:type="default" r:id="rId2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DCF1" w14:textId="77777777" w:rsidR="00BE0E12" w:rsidRDefault="00BE0E12">
      <w:r>
        <w:separator/>
      </w:r>
    </w:p>
  </w:endnote>
  <w:endnote w:type="continuationSeparator" w:id="0">
    <w:p w14:paraId="61FCA23A" w14:textId="77777777" w:rsidR="00BE0E12" w:rsidRDefault="00BE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3678" w14:textId="77777777" w:rsidR="001A24BA" w:rsidRDefault="007A2CB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1C5D8ACD" wp14:editId="4BA2AE3E">
          <wp:simplePos x="0" y="0"/>
          <wp:positionH relativeFrom="column">
            <wp:posOffset>-1068068</wp:posOffset>
          </wp:positionH>
          <wp:positionV relativeFrom="paragraph">
            <wp:posOffset>174608</wp:posOffset>
          </wp:positionV>
          <wp:extent cx="7670550" cy="451315"/>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9577" w14:textId="77777777" w:rsidR="00BE0E12" w:rsidRDefault="00BE0E12">
      <w:r>
        <w:separator/>
      </w:r>
    </w:p>
  </w:footnote>
  <w:footnote w:type="continuationSeparator" w:id="0">
    <w:p w14:paraId="625D483E" w14:textId="77777777" w:rsidR="00BE0E12" w:rsidRDefault="00BE0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8F5"/>
    <w:multiLevelType w:val="multilevel"/>
    <w:tmpl w:val="CE5E7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037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BA"/>
    <w:rsid w:val="001A24BA"/>
    <w:rsid w:val="001D45BF"/>
    <w:rsid w:val="00272EC1"/>
    <w:rsid w:val="007A2CB3"/>
    <w:rsid w:val="00BE0E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D79F"/>
  <w15:docId w15:val="{E57B4670-946B-437F-A1C4-8C784B8C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2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exto">
    <w:name w:val="Texto"/>
    <w:basedOn w:val="Normal"/>
    <w:uiPriority w:val="99"/>
    <w:rsid w:val="0014415E"/>
    <w:rPr>
      <w:rFonts w:ascii="Gill Sans MT" w:eastAsia="Times New Roman" w:hAnsi="Gill Sans MT" w:cs="Arial"/>
      <w:sz w:val="22"/>
      <w:szCs w:val="22"/>
      <w:lang w:val="pt-BR"/>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rPr>
  </w:style>
  <w:style w:type="character" w:styleId="nfasis">
    <w:name w:val="Emphasis"/>
    <w:qFormat/>
    <w:rsid w:val="0014415E"/>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www.habitaclia.com/" TargetMode="External"/><Relationship Id="rId26" Type="http://schemas.openxmlformats.org/officeDocument/2006/relationships/hyperlink" Target="mailto:piglesias@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H:\Mi%20unidad\01-SCHIBSTED\04-ESTUDIO%20NdP\VIVIENDA%20COSTAS%20ESPA&#209;A\JUNIO%202022\PRENSA%20RENTABILIDAD%20COSTAS%20JUNIO%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Mi%20unidad\01-SCHIBSTED\04-ESTUDIO%20NdP\VIVIENDA%20COSTAS%20ESPA&#209;A\JUNIO%202022\PRENSA%20RENTABILIDAD%20COSTAS%20JUNIO%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Mi%20unidad\01-SCHIBSTED\04-ESTUDIO%20NdP\VIVIENDA%20COSTAS%20ESPA&#209;A\JUNIO%202022\PRENSA%20RENTABILIDAD%20COSTAS%20JUNIO%20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[PRENSA RENTABILIDAD COSTAS JUNIO 2022.xlsx]Hoja3!TablaDinámica1</c:name>
    <c:fmtId val="-1"/>
  </c:pivotSource>
  <c:chart>
    <c:autoTitleDeleted val="1"/>
    <c:pivotFmts>
      <c:pivotFmt>
        <c:idx val="0"/>
        <c:spPr>
          <a:solidFill>
            <a:schemeClr val="accent1"/>
          </a:solidFill>
          <a:ln>
            <a:noFill/>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4"/>
          </a:solidFill>
          <a:ln>
            <a:noFill/>
          </a:ln>
          <a:effectLst/>
        </c:spPr>
      </c:pivotFmt>
      <c:pivotFmt>
        <c:idx val="2"/>
        <c:spPr>
          <a:solidFill>
            <a:schemeClr val="tx2">
              <a:lumMod val="60000"/>
              <a:lumOff val="4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tx2">
              <a:lumMod val="60000"/>
              <a:lumOff val="4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tx2">
              <a:lumMod val="60000"/>
              <a:lumOff val="4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Hoja3!$B$3</c:f>
              <c:strCache>
                <c:ptCount val="1"/>
                <c:pt idx="0">
                  <c:v>Total</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Hoja3!$A$4:$A$18</c:f>
              <c:strCache>
                <c:ptCount val="15"/>
                <c:pt idx="0">
                  <c:v>Gandia</c:v>
                </c:pt>
                <c:pt idx="1">
                  <c:v>Águilas</c:v>
                </c:pt>
                <c:pt idx="2">
                  <c:v>La Manga del Mar Menor</c:v>
                </c:pt>
                <c:pt idx="3">
                  <c:v>Santa Pola</c:v>
                </c:pt>
                <c:pt idx="4">
                  <c:v>Vera</c:v>
                </c:pt>
                <c:pt idx="5">
                  <c:v>Laredo</c:v>
                </c:pt>
                <c:pt idx="6">
                  <c:v>Sagunto / Sagunt</c:v>
                </c:pt>
                <c:pt idx="7">
                  <c:v>Cartagena</c:v>
                </c:pt>
                <c:pt idx="8">
                  <c:v>La Línea de la Concepción</c:v>
                </c:pt>
                <c:pt idx="9">
                  <c:v>Roquetas de Mar</c:v>
                </c:pt>
                <c:pt idx="10">
                  <c:v>Huelva Capital</c:v>
                </c:pt>
                <c:pt idx="11">
                  <c:v>Algeciras</c:v>
                </c:pt>
                <c:pt idx="12">
                  <c:v>Badalona</c:v>
                </c:pt>
                <c:pt idx="13">
                  <c:v>El Puerto de Santa María</c:v>
                </c:pt>
                <c:pt idx="14">
                  <c:v>Torrevieja</c:v>
                </c:pt>
              </c:strCache>
            </c:strRef>
          </c:cat>
          <c:val>
            <c:numRef>
              <c:f>Hoja3!$B$4:$B$18</c:f>
              <c:numCache>
                <c:formatCode>0.0%</c:formatCode>
                <c:ptCount val="15"/>
                <c:pt idx="0">
                  <c:v>0.11538263829573135</c:v>
                </c:pt>
                <c:pt idx="1">
                  <c:v>0.10875384971387846</c:v>
                </c:pt>
                <c:pt idx="2">
                  <c:v>0.10806218214460185</c:v>
                </c:pt>
                <c:pt idx="3">
                  <c:v>0.10225005909002195</c:v>
                </c:pt>
                <c:pt idx="4">
                  <c:v>9.3630712746878772E-2</c:v>
                </c:pt>
                <c:pt idx="5">
                  <c:v>9.0002244128025863E-2</c:v>
                </c:pt>
                <c:pt idx="6">
                  <c:v>8.9729952988213221E-2</c:v>
                </c:pt>
                <c:pt idx="7">
                  <c:v>8.2408120938705018E-2</c:v>
                </c:pt>
                <c:pt idx="8">
                  <c:v>8.0279632613543206E-2</c:v>
                </c:pt>
                <c:pt idx="9">
                  <c:v>7.9728935482863764E-2</c:v>
                </c:pt>
                <c:pt idx="10">
                  <c:v>7.9354825244607255E-2</c:v>
                </c:pt>
                <c:pt idx="11">
                  <c:v>7.8457534362318324E-2</c:v>
                </c:pt>
                <c:pt idx="12">
                  <c:v>7.3605451511225065E-2</c:v>
                </c:pt>
                <c:pt idx="13">
                  <c:v>7.3434302507965829E-2</c:v>
                </c:pt>
                <c:pt idx="14">
                  <c:v>7.3012573931652711E-2</c:v>
                </c:pt>
              </c:numCache>
            </c:numRef>
          </c:val>
          <c:extLst>
            <c:ext xmlns:c16="http://schemas.microsoft.com/office/drawing/2014/chart" uri="{C3380CC4-5D6E-409C-BE32-E72D297353CC}">
              <c16:uniqueId val="{00000000-49A0-4051-971C-B15EFFD4EC61}"/>
            </c:ext>
          </c:extLst>
        </c:ser>
        <c:dLbls>
          <c:showLegendKey val="0"/>
          <c:showVal val="0"/>
          <c:showCatName val="0"/>
          <c:showSerName val="0"/>
          <c:showPercent val="0"/>
          <c:showBubbleSize val="0"/>
        </c:dLbls>
        <c:gapWidth val="100"/>
        <c:overlap val="22"/>
        <c:axId val="227901631"/>
        <c:axId val="227902047"/>
      </c:barChart>
      <c:catAx>
        <c:axId val="227901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227902047"/>
        <c:crosses val="autoZero"/>
        <c:auto val="1"/>
        <c:lblAlgn val="ctr"/>
        <c:lblOffset val="100"/>
        <c:noMultiLvlLbl val="0"/>
      </c:catAx>
      <c:valAx>
        <c:axId val="227902047"/>
        <c:scaling>
          <c:orientation val="minMax"/>
        </c:scaling>
        <c:delete val="1"/>
        <c:axPos val="l"/>
        <c:numFmt formatCode="0%" sourceLinked="0"/>
        <c:majorTickMark val="none"/>
        <c:minorTickMark val="none"/>
        <c:tickLblPos val="nextTo"/>
        <c:crossAx val="2279016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5.0452019763343625E-2"/>
          <c:y val="0.11239920560339224"/>
          <c:w val="0.92219028139591164"/>
          <c:h val="0.53232980714199496"/>
        </c:manualLayout>
      </c:layout>
      <c:lineChart>
        <c:grouping val="standard"/>
        <c:varyColors val="0"/>
        <c:ser>
          <c:idx val="0"/>
          <c:order val="0"/>
          <c:tx>
            <c:strRef>
              <c:f>MUN!$N$8</c:f>
              <c:strCache>
                <c:ptCount val="1"/>
                <c:pt idx="0">
                  <c:v> JUN 2013  (10 AÑOS)</c:v>
                </c:pt>
              </c:strCache>
            </c:strRef>
          </c:tx>
          <c:spPr>
            <a:ln w="28575" cap="rnd">
              <a:solidFill>
                <a:schemeClr val="accent1">
                  <a:shade val="76000"/>
                </a:schemeClr>
              </a:solidFill>
              <a:round/>
            </a:ln>
            <a:effectLst/>
          </c:spPr>
          <c:marker>
            <c:symbol val="circle"/>
            <c:size val="5"/>
            <c:spPr>
              <a:solidFill>
                <a:schemeClr val="accent1">
                  <a:shade val="76000"/>
                </a:schemeClr>
              </a:solidFill>
              <a:ln w="9525">
                <a:solidFill>
                  <a:schemeClr val="accent1">
                    <a:shade val="76000"/>
                  </a:schemeClr>
                </a:solidFill>
              </a:ln>
              <a:effectLst/>
            </c:spPr>
          </c:marker>
          <c:dLbls>
            <c:dLbl>
              <c:idx val="11"/>
              <c:layout>
                <c:manualLayout>
                  <c:x val="-4.0950811955754465E-2"/>
                  <c:y val="-3.6069312741725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FC-46A0-8753-9DFD2E9F55DE}"/>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MUN!$M$9:$M$23</c:f>
              <c:strCache>
                <c:ptCount val="15"/>
                <c:pt idx="0">
                  <c:v>Gandia</c:v>
                </c:pt>
                <c:pt idx="1">
                  <c:v>Santa Pola</c:v>
                </c:pt>
                <c:pt idx="2">
                  <c:v>Vera</c:v>
                </c:pt>
                <c:pt idx="3">
                  <c:v>Sagunto / Sagunt</c:v>
                </c:pt>
                <c:pt idx="4">
                  <c:v>Cartagena</c:v>
                </c:pt>
                <c:pt idx="5">
                  <c:v>La Línea de la Concepción</c:v>
                </c:pt>
                <c:pt idx="6">
                  <c:v>Roquetas de Mar</c:v>
                </c:pt>
                <c:pt idx="7">
                  <c:v>Huelva Capital</c:v>
                </c:pt>
                <c:pt idx="8">
                  <c:v>Algeciras</c:v>
                </c:pt>
                <c:pt idx="9">
                  <c:v>Badalona</c:v>
                </c:pt>
                <c:pt idx="10">
                  <c:v>El Puerto de Santa María</c:v>
                </c:pt>
                <c:pt idx="11">
                  <c:v>Torrevieja</c:v>
                </c:pt>
                <c:pt idx="12">
                  <c:v>Almería Capital</c:v>
                </c:pt>
                <c:pt idx="13">
                  <c:v>Castro-Urdiales</c:v>
                </c:pt>
                <c:pt idx="14">
                  <c:v>España</c:v>
                </c:pt>
              </c:strCache>
            </c:strRef>
          </c:cat>
          <c:val>
            <c:numRef>
              <c:f>MUN!$N$9:$N$23</c:f>
              <c:numCache>
                <c:formatCode>0.0%</c:formatCode>
                <c:ptCount val="15"/>
                <c:pt idx="0">
                  <c:v>5.2894512299891436E-2</c:v>
                </c:pt>
                <c:pt idx="1">
                  <c:v>5.3910482083393781E-2</c:v>
                </c:pt>
                <c:pt idx="2">
                  <c:v>5.4513725117162896E-2</c:v>
                </c:pt>
                <c:pt idx="3">
                  <c:v>4.6977541048465202E-2</c:v>
                </c:pt>
                <c:pt idx="4">
                  <c:v>4.7260766937798869E-2</c:v>
                </c:pt>
                <c:pt idx="5">
                  <c:v>5.6410187826642623E-2</c:v>
                </c:pt>
                <c:pt idx="6">
                  <c:v>4.1013256111092432E-2</c:v>
                </c:pt>
                <c:pt idx="7">
                  <c:v>4.7015638638347401E-2</c:v>
                </c:pt>
                <c:pt idx="8">
                  <c:v>5.3243408314866798E-2</c:v>
                </c:pt>
                <c:pt idx="9">
                  <c:v>4.6074110841544495E-2</c:v>
                </c:pt>
                <c:pt idx="10">
                  <c:v>4.5588503892720761E-2</c:v>
                </c:pt>
                <c:pt idx="11">
                  <c:v>5.6647300686551279E-2</c:v>
                </c:pt>
                <c:pt idx="12">
                  <c:v>4.2226089199576954E-2</c:v>
                </c:pt>
                <c:pt idx="13">
                  <c:v>3.7933905813012682E-2</c:v>
                </c:pt>
                <c:pt idx="14">
                  <c:v>4.852953579948583E-2</c:v>
                </c:pt>
              </c:numCache>
            </c:numRef>
          </c:val>
          <c:smooth val="0"/>
          <c:extLst>
            <c:ext xmlns:c16="http://schemas.microsoft.com/office/drawing/2014/chart" uri="{C3380CC4-5D6E-409C-BE32-E72D297353CC}">
              <c16:uniqueId val="{00000000-68FC-46A0-8753-9DFD2E9F55DE}"/>
            </c:ext>
          </c:extLst>
        </c:ser>
        <c:ser>
          <c:idx val="1"/>
          <c:order val="1"/>
          <c:tx>
            <c:strRef>
              <c:f>MUN!$O$8</c:f>
              <c:strCache>
                <c:ptCount val="1"/>
                <c:pt idx="0">
                  <c:v> JUN 2022</c:v>
                </c:pt>
              </c:strCache>
            </c:strRef>
          </c:tx>
          <c:spPr>
            <a:ln w="28575" cap="rnd">
              <a:solidFill>
                <a:schemeClr val="tx2">
                  <a:lumMod val="60000"/>
                  <a:lumOff val="40000"/>
                </a:schemeClr>
              </a:solidFill>
              <a:round/>
            </a:ln>
            <a:effectLst/>
          </c:spPr>
          <c:marker>
            <c:symbol val="circle"/>
            <c:size val="5"/>
            <c:spPr>
              <a:solidFill>
                <a:schemeClr val="tx2">
                  <a:lumMod val="60000"/>
                  <a:lumOff val="40000"/>
                </a:schemeClr>
              </a:solidFill>
              <a:ln w="9525">
                <a:solidFill>
                  <a:schemeClr val="tx2">
                    <a:lumMod val="60000"/>
                    <a:lumOff val="40000"/>
                  </a:schemeClr>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MUN!$M$9:$M$23</c:f>
              <c:strCache>
                <c:ptCount val="15"/>
                <c:pt idx="0">
                  <c:v>Gandia</c:v>
                </c:pt>
                <c:pt idx="1">
                  <c:v>Santa Pola</c:v>
                </c:pt>
                <c:pt idx="2">
                  <c:v>Vera</c:v>
                </c:pt>
                <c:pt idx="3">
                  <c:v>Sagunto / Sagunt</c:v>
                </c:pt>
                <c:pt idx="4">
                  <c:v>Cartagena</c:v>
                </c:pt>
                <c:pt idx="5">
                  <c:v>La Línea de la Concepción</c:v>
                </c:pt>
                <c:pt idx="6">
                  <c:v>Roquetas de Mar</c:v>
                </c:pt>
                <c:pt idx="7">
                  <c:v>Huelva Capital</c:v>
                </c:pt>
                <c:pt idx="8">
                  <c:v>Algeciras</c:v>
                </c:pt>
                <c:pt idx="9">
                  <c:v>Badalona</c:v>
                </c:pt>
                <c:pt idx="10">
                  <c:v>El Puerto de Santa María</c:v>
                </c:pt>
                <c:pt idx="11">
                  <c:v>Torrevieja</c:v>
                </c:pt>
                <c:pt idx="12">
                  <c:v>Almería Capital</c:v>
                </c:pt>
                <c:pt idx="13">
                  <c:v>Castro-Urdiales</c:v>
                </c:pt>
                <c:pt idx="14">
                  <c:v>España</c:v>
                </c:pt>
              </c:strCache>
            </c:strRef>
          </c:cat>
          <c:val>
            <c:numRef>
              <c:f>MUN!$O$9:$O$23</c:f>
              <c:numCache>
                <c:formatCode>0.0%</c:formatCode>
                <c:ptCount val="15"/>
                <c:pt idx="0">
                  <c:v>0.11538263829573135</c:v>
                </c:pt>
                <c:pt idx="1">
                  <c:v>0.10225005909002195</c:v>
                </c:pt>
                <c:pt idx="2">
                  <c:v>9.3630712746878772E-2</c:v>
                </c:pt>
                <c:pt idx="3">
                  <c:v>8.9729952988213221E-2</c:v>
                </c:pt>
                <c:pt idx="4">
                  <c:v>8.2408120938705018E-2</c:v>
                </c:pt>
                <c:pt idx="5">
                  <c:v>8.0279632613543206E-2</c:v>
                </c:pt>
                <c:pt idx="6">
                  <c:v>7.9728935482863764E-2</c:v>
                </c:pt>
                <c:pt idx="7">
                  <c:v>7.9354825244607255E-2</c:v>
                </c:pt>
                <c:pt idx="8">
                  <c:v>7.8457534362318324E-2</c:v>
                </c:pt>
                <c:pt idx="9">
                  <c:v>7.3605451511225065E-2</c:v>
                </c:pt>
                <c:pt idx="10">
                  <c:v>7.3434302507965829E-2</c:v>
                </c:pt>
                <c:pt idx="11">
                  <c:v>7.3012573931652711E-2</c:v>
                </c:pt>
                <c:pt idx="12">
                  <c:v>7.2302240963792314E-2</c:v>
                </c:pt>
                <c:pt idx="13">
                  <c:v>7.1515972616567655E-2</c:v>
                </c:pt>
                <c:pt idx="14">
                  <c:v>6.8860079541346E-2</c:v>
                </c:pt>
              </c:numCache>
            </c:numRef>
          </c:val>
          <c:smooth val="0"/>
          <c:extLst>
            <c:ext xmlns:c16="http://schemas.microsoft.com/office/drawing/2014/chart" uri="{C3380CC4-5D6E-409C-BE32-E72D297353CC}">
              <c16:uniqueId val="{00000001-68FC-46A0-8753-9DFD2E9F55DE}"/>
            </c:ext>
          </c:extLst>
        </c:ser>
        <c:dLbls>
          <c:showLegendKey val="0"/>
          <c:showVal val="0"/>
          <c:showCatName val="0"/>
          <c:showSerName val="0"/>
          <c:showPercent val="0"/>
          <c:showBubbleSize val="0"/>
        </c:dLbls>
        <c:marker val="1"/>
        <c:smooth val="0"/>
        <c:axId val="554351791"/>
        <c:axId val="554337231"/>
      </c:lineChart>
      <c:catAx>
        <c:axId val="554351791"/>
        <c:scaling>
          <c:orientation val="minMax"/>
        </c:scaling>
        <c:delete val="0"/>
        <c:axPos val="b"/>
        <c:numFmt formatCode="General" sourceLinked="1"/>
        <c:majorTickMark val="none"/>
        <c:minorTickMark val="cross"/>
        <c:tickLblPos val="nextTo"/>
        <c:spPr>
          <a:noFill/>
          <a:ln w="0" cap="flat" cmpd="dbl" algn="ctr">
            <a:solidFill>
              <a:schemeClr val="tx1"/>
            </a:solidFill>
            <a:prstDash val="lgDashDot"/>
            <a:bevel/>
            <a:headEnd type="none"/>
            <a:tailEnd type="none"/>
          </a:ln>
          <a:effectLst/>
        </c:spPr>
        <c:txPr>
          <a:bodyPr rot="-27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554337231"/>
        <c:crosses val="autoZero"/>
        <c:auto val="1"/>
        <c:lblAlgn val="ctr"/>
        <c:lblOffset val="100"/>
        <c:noMultiLvlLbl val="0"/>
      </c:catAx>
      <c:valAx>
        <c:axId val="554337231"/>
        <c:scaling>
          <c:orientation val="minMax"/>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554351791"/>
        <c:crossesAt val="1"/>
        <c:crossBetween val="between"/>
        <c:majorUnit val="3.0000000000000006E-2"/>
      </c:valAx>
      <c:spPr>
        <a:noFill/>
        <a:ln cap="sq">
          <a:noFill/>
        </a:ln>
        <a:effectLst>
          <a:outerShdw blurRad="50800" dist="50800" dir="4200000" algn="ctr" rotWithShape="0">
            <a:srgbClr val="000000">
              <a:alpha val="39000"/>
            </a:srgbClr>
          </a:outerShdw>
          <a:softEdge rad="190500"/>
        </a:effectLst>
      </c:spPr>
    </c:plotArea>
    <c:legend>
      <c:legendPos val="b"/>
      <c:layout>
        <c:manualLayout>
          <c:xMode val="edge"/>
          <c:yMode val="edge"/>
          <c:x val="0.14904868769492777"/>
          <c:y val="0.93362116102019421"/>
          <c:w val="0.74943472738702577"/>
          <c:h val="6.596664382032715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5.0452019763343625E-2"/>
          <c:y val="0.11239920560339224"/>
          <c:w val="0.92219028139591164"/>
          <c:h val="0.53232980714199496"/>
        </c:manualLayout>
      </c:layout>
      <c:lineChart>
        <c:grouping val="standard"/>
        <c:varyColors val="0"/>
        <c:ser>
          <c:idx val="0"/>
          <c:order val="0"/>
          <c:tx>
            <c:strRef>
              <c:f>MUN!$U$8</c:f>
              <c:strCache>
                <c:ptCount val="1"/>
                <c:pt idx="0">
                  <c:v>jun-13</c:v>
                </c:pt>
              </c:strCache>
            </c:strRef>
          </c:tx>
          <c:spPr>
            <a:ln w="28575" cap="rnd">
              <a:solidFill>
                <a:schemeClr val="accent1">
                  <a:shade val="76000"/>
                </a:schemeClr>
              </a:solidFill>
              <a:round/>
            </a:ln>
            <a:effectLst/>
          </c:spPr>
          <c:marker>
            <c:symbol val="circle"/>
            <c:size val="5"/>
            <c:spPr>
              <a:solidFill>
                <a:schemeClr val="accent1">
                  <a:shade val="76000"/>
                </a:schemeClr>
              </a:solidFill>
              <a:ln w="9525">
                <a:solidFill>
                  <a:schemeClr val="accent1">
                    <a:shade val="76000"/>
                  </a:schemeClr>
                </a:solidFill>
              </a:ln>
              <a:effectLst/>
            </c:spPr>
          </c:marker>
          <c:dLbls>
            <c:dLbl>
              <c:idx val="3"/>
              <c:layout>
                <c:manualLayout>
                  <c:x val="-2.8028899868524231E-2"/>
                  <c:y val="-3.50560130403204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DD-46AB-ADB4-8C4DCA3928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MUN!$T$9:$T$16</c:f>
              <c:strCache>
                <c:ptCount val="8"/>
                <c:pt idx="0">
                  <c:v>Donostia - San Sebastián</c:v>
                </c:pt>
                <c:pt idx="1">
                  <c:v>Rincón de la Victoria</c:v>
                </c:pt>
                <c:pt idx="2">
                  <c:v>Getxo</c:v>
                </c:pt>
                <c:pt idx="3">
                  <c:v>Palma de Mallorca</c:v>
                </c:pt>
                <c:pt idx="4">
                  <c:v>Vigo</c:v>
                </c:pt>
                <c:pt idx="5">
                  <c:v>Sitges</c:v>
                </c:pt>
                <c:pt idx="6">
                  <c:v>Orihuela</c:v>
                </c:pt>
                <c:pt idx="7">
                  <c:v>Bilbao</c:v>
                </c:pt>
              </c:strCache>
            </c:strRef>
          </c:cat>
          <c:val>
            <c:numRef>
              <c:f>MUN!$U$9:$U$16</c:f>
              <c:numCache>
                <c:formatCode>0.0%</c:formatCode>
                <c:ptCount val="8"/>
                <c:pt idx="0">
                  <c:v>2.9901632704628561E-2</c:v>
                </c:pt>
                <c:pt idx="1">
                  <c:v>4.7417543905227059E-2</c:v>
                </c:pt>
                <c:pt idx="2">
                  <c:v>3.5026127749122157E-2</c:v>
                </c:pt>
                <c:pt idx="3">
                  <c:v>9.4632141038744746E-2</c:v>
                </c:pt>
                <c:pt idx="4">
                  <c:v>3.7831883557619614E-2</c:v>
                </c:pt>
                <c:pt idx="5">
                  <c:v>3.41214478838009E-2</c:v>
                </c:pt>
                <c:pt idx="6">
                  <c:v>4.5319412396487999E-2</c:v>
                </c:pt>
                <c:pt idx="7">
                  <c:v>3.8788944258164898E-2</c:v>
                </c:pt>
              </c:numCache>
            </c:numRef>
          </c:val>
          <c:smooth val="0"/>
          <c:extLst>
            <c:ext xmlns:c16="http://schemas.microsoft.com/office/drawing/2014/chart" uri="{C3380CC4-5D6E-409C-BE32-E72D297353CC}">
              <c16:uniqueId val="{00000001-4DDD-46AB-ADB4-8C4DCA392821}"/>
            </c:ext>
          </c:extLst>
        </c:ser>
        <c:ser>
          <c:idx val="1"/>
          <c:order val="1"/>
          <c:tx>
            <c:strRef>
              <c:f>MUN!$V$8</c:f>
              <c:strCache>
                <c:ptCount val="1"/>
                <c:pt idx="0">
                  <c:v>jun-22</c:v>
                </c:pt>
              </c:strCache>
            </c:strRef>
          </c:tx>
          <c:spPr>
            <a:ln w="28575" cap="rnd">
              <a:solidFill>
                <a:schemeClr val="accent1">
                  <a:tint val="77000"/>
                </a:schemeClr>
              </a:solidFill>
              <a:round/>
            </a:ln>
            <a:effectLst/>
          </c:spPr>
          <c:marker>
            <c:symbol val="circle"/>
            <c:size val="5"/>
            <c:spPr>
              <a:solidFill>
                <a:schemeClr val="accent1">
                  <a:tint val="77000"/>
                </a:schemeClr>
              </a:solidFill>
              <a:ln w="9525">
                <a:solidFill>
                  <a:schemeClr val="accent1">
                    <a:tint val="77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MUN!$T$9:$T$16</c:f>
              <c:strCache>
                <c:ptCount val="8"/>
                <c:pt idx="0">
                  <c:v>Donostia - San Sebastián</c:v>
                </c:pt>
                <c:pt idx="1">
                  <c:v>Rincón de la Victoria</c:v>
                </c:pt>
                <c:pt idx="2">
                  <c:v>Getxo</c:v>
                </c:pt>
                <c:pt idx="3">
                  <c:v>Palma de Mallorca</c:v>
                </c:pt>
                <c:pt idx="4">
                  <c:v>Vigo</c:v>
                </c:pt>
                <c:pt idx="5">
                  <c:v>Sitges</c:v>
                </c:pt>
                <c:pt idx="6">
                  <c:v>Orihuela</c:v>
                </c:pt>
                <c:pt idx="7">
                  <c:v>Bilbao</c:v>
                </c:pt>
              </c:strCache>
            </c:strRef>
          </c:cat>
          <c:val>
            <c:numRef>
              <c:f>MUN!$V$9:$V$16</c:f>
              <c:numCache>
                <c:formatCode>0.0%</c:formatCode>
                <c:ptCount val="8"/>
                <c:pt idx="0">
                  <c:v>3.5228940539198374E-2</c:v>
                </c:pt>
                <c:pt idx="1">
                  <c:v>4.1453060060631312E-2</c:v>
                </c:pt>
                <c:pt idx="2">
                  <c:v>4.179306121568447E-2</c:v>
                </c:pt>
                <c:pt idx="3">
                  <c:v>4.47886619321477E-2</c:v>
                </c:pt>
                <c:pt idx="4">
                  <c:v>4.5843339151939014E-2</c:v>
                </c:pt>
                <c:pt idx="5">
                  <c:v>4.6550187506479157E-2</c:v>
                </c:pt>
                <c:pt idx="6">
                  <c:v>4.693170602387374E-2</c:v>
                </c:pt>
                <c:pt idx="7">
                  <c:v>4.737015267735651E-2</c:v>
                </c:pt>
              </c:numCache>
            </c:numRef>
          </c:val>
          <c:smooth val="0"/>
          <c:extLst>
            <c:ext xmlns:c16="http://schemas.microsoft.com/office/drawing/2014/chart" uri="{C3380CC4-5D6E-409C-BE32-E72D297353CC}">
              <c16:uniqueId val="{00000002-4DDD-46AB-ADB4-8C4DCA392821}"/>
            </c:ext>
          </c:extLst>
        </c:ser>
        <c:dLbls>
          <c:showLegendKey val="0"/>
          <c:showVal val="0"/>
          <c:showCatName val="0"/>
          <c:showSerName val="0"/>
          <c:showPercent val="0"/>
          <c:showBubbleSize val="0"/>
        </c:dLbls>
        <c:marker val="1"/>
        <c:smooth val="0"/>
        <c:axId val="554351791"/>
        <c:axId val="554337231"/>
      </c:lineChart>
      <c:catAx>
        <c:axId val="554351791"/>
        <c:scaling>
          <c:orientation val="minMax"/>
        </c:scaling>
        <c:delete val="0"/>
        <c:axPos val="b"/>
        <c:numFmt formatCode="General" sourceLinked="1"/>
        <c:majorTickMark val="none"/>
        <c:minorTickMark val="cross"/>
        <c:tickLblPos val="nextTo"/>
        <c:spPr>
          <a:noFill/>
          <a:ln w="0" cap="flat" cmpd="dbl" algn="ctr">
            <a:solidFill>
              <a:schemeClr val="tx1"/>
            </a:solidFill>
            <a:prstDash val="lgDashDot"/>
            <a:bevel/>
            <a:headEnd type="none"/>
            <a:tailEnd type="none"/>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54337231"/>
        <c:crosses val="autoZero"/>
        <c:auto val="1"/>
        <c:lblAlgn val="ctr"/>
        <c:lblOffset val="100"/>
        <c:noMultiLvlLbl val="0"/>
      </c:catAx>
      <c:valAx>
        <c:axId val="554337231"/>
        <c:scaling>
          <c:orientation val="minMax"/>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54351791"/>
        <c:crossesAt val="1"/>
        <c:crossBetween val="between"/>
        <c:majorUnit val="3.0000000000000006E-2"/>
      </c:valAx>
      <c:spPr>
        <a:noFill/>
        <a:ln cap="sq">
          <a:noFill/>
        </a:ln>
        <a:effectLst>
          <a:outerShdw blurRad="50800" dist="50800" dir="4200000" algn="ctr" rotWithShape="0">
            <a:srgbClr val="000000">
              <a:alpha val="39000"/>
            </a:srgbClr>
          </a:outerShdw>
          <a:softEdge rad="190500"/>
        </a:effectLst>
      </c:spPr>
    </c:plotArea>
    <c:legend>
      <c:legendPos val="b"/>
      <c:layout>
        <c:manualLayout>
          <c:xMode val="edge"/>
          <c:yMode val="edge"/>
          <c:x val="0.14904872043487452"/>
          <c:y val="0.92087973040771376"/>
          <c:w val="0.74943472738702577"/>
          <c:h val="6.59666438203271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kZ7O2OVxQC99mYXjYPOg4bSffw==">AMUW2mU6ndxgpmM5svNVEzd8vOer/SvzW9kEALFbHfUBOxKsHHPoxjciWZZuEcbTjL0JWdm1zGs379bbKXWa/SGfdgCGiYvlhxgvrM1Nij/e8zkkWHI7VZH0bTzU1vny27EbYj/yk/wW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1406</Words>
  <Characters>7736</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2022-07-07T12:34:00Z</dcterms:created>
  <dcterms:modified xsi:type="dcterms:W3CDTF">2022-07-08T09:54:00Z</dcterms:modified>
</cp:coreProperties>
</file>