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A9D4" w14:textId="77777777" w:rsidR="00652644" w:rsidRDefault="00000000">
      <w:pPr>
        <w:ind w:right="-574"/>
      </w:pPr>
      <w:bookmarkStart w:id="0" w:name="_heading=h.gjdgxs" w:colFirst="0" w:colLast="0"/>
      <w:bookmarkEnd w:id="0"/>
      <w:r>
        <w:rPr>
          <w:noProof/>
        </w:rPr>
        <w:drawing>
          <wp:anchor distT="0" distB="0" distL="114300" distR="114300" simplePos="0" relativeHeight="251658240" behindDoc="0" locked="0" layoutInCell="1" hidden="0" allowOverlap="1" wp14:anchorId="717B03A9" wp14:editId="1748570B">
            <wp:simplePos x="0" y="0"/>
            <wp:positionH relativeFrom="column">
              <wp:posOffset>-1078864</wp:posOffset>
            </wp:positionH>
            <wp:positionV relativeFrom="paragraph">
              <wp:posOffset>-350452</wp:posOffset>
            </wp:positionV>
            <wp:extent cx="7581265" cy="1019175"/>
            <wp:effectExtent l="0" t="0" r="0" b="0"/>
            <wp:wrapNone/>
            <wp:docPr id="3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63DFEF06" w14:textId="77777777" w:rsidR="00652644" w:rsidRDefault="00652644">
      <w:pPr>
        <w:ind w:right="-574"/>
        <w:jc w:val="right"/>
        <w:rPr>
          <w:rFonts w:ascii="National" w:eastAsia="National" w:hAnsi="National" w:cs="National"/>
          <w:color w:val="303AB2"/>
          <w:sz w:val="36"/>
          <w:szCs w:val="36"/>
        </w:rPr>
      </w:pPr>
    </w:p>
    <w:p w14:paraId="20E19E2F" w14:textId="77777777" w:rsidR="00652644" w:rsidRDefault="00652644">
      <w:pPr>
        <w:ind w:right="-574"/>
        <w:jc w:val="right"/>
        <w:rPr>
          <w:rFonts w:ascii="National" w:eastAsia="National" w:hAnsi="National" w:cs="National"/>
          <w:color w:val="303AB2"/>
          <w:sz w:val="36"/>
          <w:szCs w:val="36"/>
        </w:rPr>
      </w:pPr>
    </w:p>
    <w:p w14:paraId="0A7E4539" w14:textId="77777777" w:rsidR="00652644" w:rsidRDefault="00652644">
      <w:pPr>
        <w:ind w:right="-574"/>
        <w:rPr>
          <w:rFonts w:ascii="National" w:eastAsia="National" w:hAnsi="National" w:cs="National"/>
          <w:color w:val="303AB2"/>
          <w:sz w:val="16"/>
          <w:szCs w:val="16"/>
        </w:rPr>
      </w:pPr>
    </w:p>
    <w:p w14:paraId="29324E83" w14:textId="77777777" w:rsidR="00652644" w:rsidRDefault="00000000">
      <w:pPr>
        <w:spacing w:line="276" w:lineRule="auto"/>
        <w:ind w:right="-574"/>
        <w:jc w:val="center"/>
        <w:rPr>
          <w:rFonts w:ascii="National" w:eastAsia="National" w:hAnsi="National" w:cs="National"/>
          <w:b/>
          <w:color w:val="1DBDC5"/>
          <w:sz w:val="38"/>
          <w:szCs w:val="38"/>
        </w:rPr>
      </w:pPr>
      <w:bookmarkStart w:id="1" w:name="_heading=h.30j0zll" w:colFirst="0" w:colLast="0"/>
      <w:bookmarkEnd w:id="1"/>
      <w:r>
        <w:rPr>
          <w:rFonts w:ascii="National" w:eastAsia="National" w:hAnsi="National" w:cs="National"/>
          <w:b/>
          <w:color w:val="1DBDC5"/>
          <w:sz w:val="38"/>
          <w:szCs w:val="38"/>
        </w:rPr>
        <w:t xml:space="preserve">ANÁLISIS RENTABILIDAD VIVIENDA </w:t>
      </w:r>
    </w:p>
    <w:p w14:paraId="09FAB0EA" w14:textId="77777777" w:rsidR="00652644" w:rsidRDefault="00000000">
      <w:pPr>
        <w:ind w:right="-574"/>
        <w:jc w:val="center"/>
        <w:rPr>
          <w:rFonts w:ascii="National" w:eastAsia="National" w:hAnsi="National" w:cs="National"/>
          <w:b/>
          <w:color w:val="303AB2"/>
          <w:sz w:val="44"/>
          <w:szCs w:val="44"/>
        </w:rPr>
      </w:pPr>
      <w:r>
        <w:rPr>
          <w:rFonts w:ascii="National" w:eastAsia="National" w:hAnsi="National" w:cs="National"/>
          <w:b/>
          <w:color w:val="303AB2"/>
          <w:sz w:val="44"/>
          <w:szCs w:val="44"/>
        </w:rPr>
        <w:t>La rentabilidad de la vivienda se sitúa en un 6,9% en la primera mitad del año, 1 punto más que hace 5 años</w:t>
      </w:r>
    </w:p>
    <w:p w14:paraId="7161B2C2" w14:textId="77777777" w:rsidR="00652644" w:rsidRDefault="00652644">
      <w:pPr>
        <w:ind w:right="-574"/>
        <w:rPr>
          <w:rFonts w:ascii="National" w:eastAsia="National" w:hAnsi="National" w:cs="National"/>
          <w:b/>
          <w:color w:val="303AB2"/>
          <w:sz w:val="16"/>
          <w:szCs w:val="16"/>
        </w:rPr>
      </w:pPr>
    </w:p>
    <w:p w14:paraId="4C13ADB1" w14:textId="77777777" w:rsidR="0065264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La rentabilidad en España pasa del 6,7% registrado en junio de 2021 al 6,9% registrado en 2022</w:t>
      </w:r>
    </w:p>
    <w:p w14:paraId="29FB4AD3" w14:textId="77777777" w:rsidR="0065264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La Región de Murcia es la más rentable con un 8,8% en junio de 2022, casi 5 puntos más rentable que hace 15 años (4,1% en 2007) </w:t>
      </w:r>
    </w:p>
    <w:p w14:paraId="28724D3B" w14:textId="76666E22" w:rsidR="00652644"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rPr>
      </w:pPr>
      <w:r>
        <w:rPr>
          <w:rFonts w:ascii="Open Sans" w:eastAsia="Open Sans" w:hAnsi="Open Sans" w:cs="Open Sans"/>
          <w:color w:val="000000"/>
        </w:rPr>
        <w:t xml:space="preserve">Invertir en vivienda en las capitales de Huelva, Lleida, Almería, Cuenca y Murcia da una rentabilidad superior al 7%  </w:t>
      </w:r>
    </w:p>
    <w:p w14:paraId="529C0D5B" w14:textId="6E70F0C3" w:rsidR="00234404" w:rsidRPr="00234404" w:rsidRDefault="00234404">
      <w:pPr>
        <w:numPr>
          <w:ilvl w:val="0"/>
          <w:numId w:val="1"/>
        </w:numPr>
        <w:pBdr>
          <w:top w:val="nil"/>
          <w:left w:val="nil"/>
          <w:bottom w:val="nil"/>
          <w:right w:val="nil"/>
          <w:between w:val="nil"/>
        </w:pBdr>
        <w:spacing w:line="276" w:lineRule="auto"/>
        <w:ind w:right="-574"/>
        <w:jc w:val="both"/>
        <w:rPr>
          <w:rFonts w:ascii="Open Sans" w:eastAsia="Open Sans" w:hAnsi="Open Sans" w:cs="Open Sans"/>
          <w:b/>
          <w:bCs/>
          <w:color w:val="000000"/>
        </w:rPr>
      </w:pPr>
      <w:hyperlink r:id="rId9" w:history="1">
        <w:r w:rsidRPr="00234404">
          <w:rPr>
            <w:rStyle w:val="Hipervnculo"/>
            <w:rFonts w:ascii="Open Sans" w:eastAsia="Open Sans" w:hAnsi="Open Sans" w:cs="Open Sans"/>
            <w:b/>
            <w:bCs/>
          </w:rPr>
          <w:t>Aquí se puede ver una valoración en vídeo de la directora de Estudios de Fotocasa</w:t>
        </w:r>
      </w:hyperlink>
    </w:p>
    <w:p w14:paraId="44099C56" w14:textId="77777777" w:rsidR="00652644" w:rsidRDefault="00652644">
      <w:pPr>
        <w:spacing w:line="276" w:lineRule="auto"/>
        <w:ind w:right="-574"/>
        <w:rPr>
          <w:rFonts w:ascii="Open Sans Light" w:eastAsia="Open Sans Light" w:hAnsi="Open Sans Light" w:cs="Open Sans Light"/>
          <w:color w:val="303AB2"/>
        </w:rPr>
      </w:pPr>
    </w:p>
    <w:p w14:paraId="127F18EC" w14:textId="586B0FCB" w:rsidR="00C26FD9" w:rsidRDefault="00000000" w:rsidP="00C26FD9">
      <w:pPr>
        <w:spacing w:line="276" w:lineRule="auto"/>
        <w:ind w:right="-574"/>
        <w:rPr>
          <w:rFonts w:ascii="Open Sans" w:eastAsia="Open Sans" w:hAnsi="Open Sans" w:cs="Open Sans"/>
          <w:color w:val="000000"/>
          <w:sz w:val="22"/>
          <w:szCs w:val="22"/>
        </w:rPr>
      </w:pPr>
      <w:r>
        <w:rPr>
          <w:rFonts w:ascii="Open Sans Light" w:eastAsia="Open Sans Light" w:hAnsi="Open Sans Light" w:cs="Open Sans Light"/>
          <w:b/>
          <w:color w:val="303AB2"/>
        </w:rPr>
        <w:t>Madrid, 27 de julio de 2022</w:t>
      </w:r>
      <w:r w:rsidR="00234404">
        <w:rPr>
          <w:rFonts w:ascii="Open Sans Light" w:eastAsia="Open Sans Light" w:hAnsi="Open Sans Light" w:cs="Open Sans Light"/>
          <w:b/>
          <w:color w:val="303AB2"/>
        </w:rPr>
        <w:t xml:space="preserve"> - </w:t>
      </w:r>
      <w:r>
        <w:rPr>
          <w:rFonts w:ascii="Open Sans" w:eastAsia="Open Sans" w:hAnsi="Open Sans" w:cs="Open Sans"/>
          <w:color w:val="000000"/>
          <w:sz w:val="22"/>
          <w:szCs w:val="22"/>
        </w:rPr>
        <w:t xml:space="preserve">La rentabilidad interanual de la vivienda en España en los primeros seis meses de 2022 se sitúa en un 6,9%, 1 punto más que hace 5 años (un 5,9% en 2017) y 2,4 puntos más que hace 10 años (un 4,5% en 2012), según el estudio de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La rentabilidad de la vivienda en España en 2022”,</w:t>
      </w:r>
      <w:r>
        <w:rPr>
          <w:rFonts w:ascii="Open Sans" w:eastAsia="Open Sans" w:hAnsi="Open Sans" w:cs="Open Sans"/>
          <w:color w:val="000000"/>
          <w:sz w:val="22"/>
          <w:szCs w:val="22"/>
        </w:rPr>
        <w:t xml:space="preserve"> basado en el análisis de los precios de la vivienda en venta y alquiler de junio de 2022 por el portal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Los datos también indican que adquirir una propiedad para ponerla en alquiler en junio es un 0,2 punto más rentable que en 2021 (6,7%).</w:t>
      </w:r>
    </w:p>
    <w:p w14:paraId="34B6D7C6" w14:textId="578D07A4" w:rsidR="00C26FD9" w:rsidRDefault="00C26FD9" w:rsidP="00C26FD9">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30"/>
          <w:szCs w:val="30"/>
        </w:rPr>
      </w:pPr>
      <w:r>
        <w:rPr>
          <w:noProof/>
        </w:rPr>
        <w:drawing>
          <wp:anchor distT="0" distB="0" distL="114300" distR="114300" simplePos="0" relativeHeight="251659264" behindDoc="0" locked="0" layoutInCell="1" hidden="0" allowOverlap="1" wp14:anchorId="4D400328" wp14:editId="65445D19">
            <wp:simplePos x="0" y="0"/>
            <wp:positionH relativeFrom="column">
              <wp:posOffset>-212090</wp:posOffset>
            </wp:positionH>
            <wp:positionV relativeFrom="paragraph">
              <wp:posOffset>852805</wp:posOffset>
            </wp:positionV>
            <wp:extent cx="6292850" cy="1790065"/>
            <wp:effectExtent l="0" t="0" r="0" b="635"/>
            <wp:wrapSquare wrapText="bothSides" distT="0" distB="0" distL="114300" distR="114300"/>
            <wp:docPr id="326" name="Gráfico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ascii="Open Sans Light" w:eastAsia="Open Sans Light" w:hAnsi="Open Sans Light" w:cs="Open Sans Light"/>
          <w:b/>
          <w:color w:val="303AB2"/>
          <w:sz w:val="30"/>
          <w:szCs w:val="30"/>
        </w:rPr>
        <w:t>Rentabilidad de la vivienda en España en los últimos 10 años</w:t>
      </w:r>
    </w:p>
    <w:p w14:paraId="48ACA369" w14:textId="77777777" w:rsidR="00C26FD9" w:rsidRDefault="00C26FD9">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5AA16349" w14:textId="0AB479AD" w:rsidR="00652644"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FF0000"/>
          <w:sz w:val="28"/>
          <w:szCs w:val="28"/>
          <w:highlight w:val="yellow"/>
        </w:rPr>
      </w:pPr>
      <w:r>
        <w:rPr>
          <w:rFonts w:ascii="Open Sans" w:eastAsia="Open Sans" w:hAnsi="Open Sans" w:cs="Open Sans"/>
          <w:sz w:val="22"/>
          <w:szCs w:val="22"/>
        </w:rPr>
        <w:lastRenderedPageBreak/>
        <w:t xml:space="preserve">“El rendimiento de comprar una vivienda y ponerla en alquiler recupera su tendencia al alza y se sitúa en niveles máximos como los alcanzados en 2020. Hay que recordar que venimos de una gran transformación en el mercado del alquiler, ya que comenzó a caer en 2021, lo que resultó en una moderación de la rentabilidad. Sin embargo, en el primer semestre del 2022, el precio de los alquileres nunca había estado tan alto como ahora, que presenta las cifras máximas de toda la serie histórica. Además, la rentabilidad de la vivienda sigue siendo el foco de inversión con menor riesgo del mercado. De hecho, la inversión en activos inmobiliarios se ha vuelto un amparo de cara a la incertidumbre causada por la guerra en Ucrania y los niveles de inflación que azotan a Europa y a nuestro país. Muchos pequeños particulares que apuestan por la vivienda como un valor refugio para evitar que sus ahorros se devalúen y que se han lanzado a invertir al percibir este mercado como seguro tras la evolución y recuperación tan positiva tras la pandemia”, comenta María Matos, directora de Estudios y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w:t>
      </w:r>
    </w:p>
    <w:p w14:paraId="28298558" w14:textId="5AF8BA05" w:rsidR="00652644" w:rsidRDefault="00C26FD9">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noProof/>
        </w:rPr>
        <w:drawing>
          <wp:inline distT="0" distB="0" distL="0" distR="0" wp14:anchorId="79A8E457" wp14:editId="46ABCDCC">
            <wp:extent cx="5826381" cy="3296451"/>
            <wp:effectExtent l="0" t="0" r="3175" b="0"/>
            <wp:docPr id="1" name="Imagen 1" descr="Interfaz de usuario gráfica, Aplicación&#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a:hlinkClick r:id="rId9"/>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1321" cy="3299246"/>
                    </a:xfrm>
                    <a:prstGeom prst="rect">
                      <a:avLst/>
                    </a:prstGeom>
                    <a:noFill/>
                    <a:ln>
                      <a:noFill/>
                    </a:ln>
                  </pic:spPr>
                </pic:pic>
              </a:graphicData>
            </a:graphic>
          </wp:inline>
        </w:drawing>
      </w:r>
    </w:p>
    <w:p w14:paraId="5BED4454" w14:textId="4802F030" w:rsidR="00652644" w:rsidRDefault="00000000">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Comunidad Autónoma</w:t>
      </w:r>
    </w:p>
    <w:p w14:paraId="38632FAB" w14:textId="77777777" w:rsidR="00652644"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Ocho de las comunidades tienen una rentabilidad igual o por encima de la media española (6,9%) el primer semestre del año y son: Región de Murcia (8,8%), Comunitat Valenciana (8,2%), Cantabria (7,3%), Navarra (7,3%), Canarias (7,2%), La Rioja (7,0%), Castilla-La Mancha (7,0%) y Cataluña (6,9%). Por debajo de la rentabilidad media se encuentran las comunidades de Castilla y León (6,7%), Aragón (6,5%), Asturias (6,5%), Extremadura (6,4%), Andalucía (6,2%), Galicia (5,9%), País Vasco (5,5%), Madrid (5,5%) y Baleares (5,0%).</w:t>
      </w:r>
    </w:p>
    <w:p w14:paraId="50289534" w14:textId="77777777" w:rsidR="00652644" w:rsidRDefault="00000000">
      <w:pPr>
        <w:pBdr>
          <w:top w:val="nil"/>
          <w:left w:val="nil"/>
          <w:bottom w:val="nil"/>
          <w:right w:val="nil"/>
          <w:between w:val="nil"/>
        </w:pBdr>
        <w:shd w:val="clear" w:color="auto" w:fill="FFFFFF"/>
        <w:spacing w:before="280" w:after="280" w:line="276" w:lineRule="auto"/>
        <w:ind w:right="-574"/>
        <w:jc w:val="center"/>
        <w:rPr>
          <w:rFonts w:ascii="Open Sans Light" w:eastAsia="Open Sans Light" w:hAnsi="Open Sans Light" w:cs="Open Sans Light"/>
          <w:b/>
          <w:color w:val="303AB2"/>
          <w:sz w:val="30"/>
          <w:szCs w:val="30"/>
        </w:rPr>
      </w:pPr>
      <w:r>
        <w:rPr>
          <w:rFonts w:ascii="Open Sans Light" w:eastAsia="Open Sans Light" w:hAnsi="Open Sans Light" w:cs="Open Sans Light"/>
          <w:b/>
          <w:color w:val="303AB2"/>
          <w:sz w:val="30"/>
          <w:szCs w:val="30"/>
        </w:rPr>
        <w:lastRenderedPageBreak/>
        <w:t>Rentabilidad interanual de junio 2022 por comunidades autónomas</w:t>
      </w:r>
      <w:r>
        <w:rPr>
          <w:rFonts w:ascii="Times New Roman" w:eastAsia="Times New Roman" w:hAnsi="Times New Roman" w:cs="Times New Roman"/>
          <w:noProof/>
          <w:color w:val="000000"/>
        </w:rPr>
        <w:drawing>
          <wp:inline distT="0" distB="0" distL="0" distR="0" wp14:anchorId="65B8E772" wp14:editId="0193F1B6">
            <wp:extent cx="5593080" cy="2722245"/>
            <wp:effectExtent l="0" t="0" r="0" b="0"/>
            <wp:docPr id="327" name="Gráfico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02E81F" w14:textId="77777777" w:rsidR="00652644"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Open Sans Light" w:eastAsia="Open Sans Light" w:hAnsi="Open Sans Light" w:cs="Open Sans Light"/>
          <w:b/>
          <w:color w:val="303AB2"/>
          <w:sz w:val="30"/>
          <w:szCs w:val="30"/>
        </w:rPr>
        <w:t>Mapa - Rentabilidad por CCAA en junio de 2022</w:t>
      </w:r>
    </w:p>
    <w:p w14:paraId="3B8FDC75" w14:textId="77777777" w:rsidR="00652644"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Times New Roman" w:eastAsia="Times New Roman" w:hAnsi="Times New Roman" w:cs="Times New Roman"/>
          <w:noProof/>
          <w:color w:val="000000"/>
        </w:rPr>
        <w:drawing>
          <wp:inline distT="0" distB="0" distL="0" distR="0" wp14:anchorId="23AC78CF" wp14:editId="2AA35EB0">
            <wp:extent cx="4469022" cy="182571"/>
            <wp:effectExtent l="0" t="0" r="0" b="0"/>
            <wp:docPr id="3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469022" cy="182571"/>
                    </a:xfrm>
                    <a:prstGeom prst="rect">
                      <a:avLst/>
                    </a:prstGeom>
                    <a:ln/>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noProof/>
          <w:color w:val="000000"/>
        </w:rPr>
        <w:drawing>
          <wp:inline distT="0" distB="0" distL="0" distR="0" wp14:anchorId="587461D6" wp14:editId="03DA336A">
            <wp:extent cx="5396230" cy="3795395"/>
            <wp:effectExtent l="0" t="0" r="0" b="0"/>
            <wp:docPr id="331" name="image11.png" descr="Gráfi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1.png" descr="Gráfico&#10;&#10;Descripción generada automáticamente con confianza media"/>
                    <pic:cNvPicPr preferRelativeResize="0"/>
                  </pic:nvPicPr>
                  <pic:blipFill>
                    <a:blip r:embed="rId16"/>
                    <a:srcRect/>
                    <a:stretch>
                      <a:fillRect/>
                    </a:stretch>
                  </pic:blipFill>
                  <pic:spPr>
                    <a:xfrm>
                      <a:off x="0" y="0"/>
                      <a:ext cx="5396230" cy="3795395"/>
                    </a:xfrm>
                    <a:prstGeom prst="rect">
                      <a:avLst/>
                    </a:prstGeom>
                    <a:ln/>
                  </pic:spPr>
                </pic:pic>
              </a:graphicData>
            </a:graphic>
          </wp:inline>
        </w:drawing>
      </w:r>
    </w:p>
    <w:p w14:paraId="19093D43" w14:textId="77777777" w:rsidR="00652644" w:rsidRDefault="00652644">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127FF521"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bookmarkStart w:id="2" w:name="_heading=h.1fob9te" w:colFirst="0" w:colLast="0"/>
      <w:bookmarkEnd w:id="2"/>
      <w:r>
        <w:rPr>
          <w:rFonts w:ascii="Open Sans Light" w:eastAsia="Open Sans Light" w:hAnsi="Open Sans Light" w:cs="Open Sans Light"/>
          <w:b/>
          <w:color w:val="303AB2"/>
          <w:sz w:val="28"/>
          <w:szCs w:val="28"/>
        </w:rPr>
        <w:lastRenderedPageBreak/>
        <w:t>Mapa comparativo de la rentabilidad por CCAA en junio de 2007, 2012, 2017 y 2021</w:t>
      </w:r>
    </w:p>
    <w:p w14:paraId="51EBB8E5" w14:textId="77777777" w:rsidR="00652644" w:rsidRDefault="00000000">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64F30B13" wp14:editId="5AFCC020">
            <wp:extent cx="5362575" cy="219075"/>
            <wp:effectExtent l="0" t="0" r="0" b="0"/>
            <wp:docPr id="3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362575" cy="219075"/>
                    </a:xfrm>
                    <a:prstGeom prst="rect">
                      <a:avLst/>
                    </a:prstGeom>
                    <a:ln/>
                  </pic:spPr>
                </pic:pic>
              </a:graphicData>
            </a:graphic>
          </wp:inline>
        </w:drawing>
      </w:r>
      <w:r>
        <w:rPr>
          <w:rFonts w:ascii="Times New Roman" w:eastAsia="Times New Roman" w:hAnsi="Times New Roman" w:cs="Times New Roman"/>
          <w:noProof/>
          <w:color w:val="000000"/>
        </w:rPr>
        <w:drawing>
          <wp:inline distT="0" distB="0" distL="0" distR="0" wp14:anchorId="2D637EDE" wp14:editId="5D06CC0F">
            <wp:extent cx="5935114" cy="2254477"/>
            <wp:effectExtent l="0" t="0" r="0" b="0"/>
            <wp:docPr id="333" name="image10.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0.png" descr="Mapa&#10;&#10;Descripción generada automáticamente"/>
                    <pic:cNvPicPr preferRelativeResize="0"/>
                  </pic:nvPicPr>
                  <pic:blipFill>
                    <a:blip r:embed="rId17"/>
                    <a:srcRect/>
                    <a:stretch>
                      <a:fillRect/>
                    </a:stretch>
                  </pic:blipFill>
                  <pic:spPr>
                    <a:xfrm>
                      <a:off x="0" y="0"/>
                      <a:ext cx="5935114" cy="2254477"/>
                    </a:xfrm>
                    <a:prstGeom prst="rect">
                      <a:avLst/>
                    </a:prstGeom>
                    <a:ln/>
                  </pic:spPr>
                </pic:pic>
              </a:graphicData>
            </a:graphic>
          </wp:inline>
        </w:drawing>
      </w:r>
    </w:p>
    <w:p w14:paraId="5B211516" w14:textId="77777777" w:rsidR="00652644" w:rsidRDefault="00652644">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p>
    <w:p w14:paraId="1F32DC6A" w14:textId="77777777" w:rsidR="00652644" w:rsidRDefault="00000000">
      <w:pPr>
        <w:pBdr>
          <w:top w:val="nil"/>
          <w:left w:val="nil"/>
          <w:bottom w:val="nil"/>
          <w:right w:val="nil"/>
          <w:between w:val="nil"/>
        </w:pBdr>
        <w:shd w:val="clear" w:color="auto" w:fill="FFFFFF"/>
        <w:spacing w:before="280" w:after="280" w:line="276" w:lineRule="auto"/>
        <w:ind w:left="-142" w:right="-574"/>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68CF4B3D" wp14:editId="738663A9">
            <wp:extent cx="5927593" cy="2082820"/>
            <wp:effectExtent l="0" t="0" r="0" b="0"/>
            <wp:docPr id="335" name="image2.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Mapa&#10;&#10;Descripción generada automáticamente"/>
                    <pic:cNvPicPr preferRelativeResize="0"/>
                  </pic:nvPicPr>
                  <pic:blipFill>
                    <a:blip r:embed="rId18"/>
                    <a:srcRect/>
                    <a:stretch>
                      <a:fillRect/>
                    </a:stretch>
                  </pic:blipFill>
                  <pic:spPr>
                    <a:xfrm>
                      <a:off x="0" y="0"/>
                      <a:ext cx="5927593" cy="2082820"/>
                    </a:xfrm>
                    <a:prstGeom prst="rect">
                      <a:avLst/>
                    </a:prstGeom>
                    <a:ln/>
                  </pic:spPr>
                </pic:pic>
              </a:graphicData>
            </a:graphic>
          </wp:inline>
        </w:drawing>
      </w:r>
    </w:p>
    <w:p w14:paraId="7D3E85CD" w14:textId="30B0C244"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municipios</w:t>
      </w:r>
    </w:p>
    <w:p w14:paraId="62A00B9F"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análisis de </w:t>
      </w:r>
      <w:hyperlink r:id="rId1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también ofrece datos de rentabilidad por municipios. Así, del análisis se desprende que el 30% de los municipios estudiados (136 municipios en total) tienen una rentabilidad igual o por encima de la media de España (6,9%). </w:t>
      </w:r>
    </w:p>
    <w:p w14:paraId="30EAC03C"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Cuatro de las ciudades estudiadas tienen una rentabilidad por encima del 10%, en concreto, la ciudad costera de Gandía ha pasado en 10 años del 4,2% al 11,5% de rentabilidad, convirtiéndose en la ciudad más rentable de España en junio de 2022. Le siguen muy de cerca como las ciudades más rentables, Águilas con 10,9%, La Manga del Mar Menor con 10,8% y Santa Pola con 10,2%.</w:t>
      </w:r>
    </w:p>
    <w:p w14:paraId="38DD7FBC"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Por otro lado, las ciudades con una rentabilidad inferior al 5% son Donostia - San Sebastián con 3,5%, Rincón de la Victoria con 4,1%, Getxo con 4,2%, Palma de Mallorca con 4,5%, Vigo con 4,6%, Sitges con 4,7%, Orihuela con 4,7% y Bilbao con 4,7%.</w:t>
      </w:r>
    </w:p>
    <w:p w14:paraId="6BC29B70" w14:textId="6FC803E1" w:rsidR="00652644" w:rsidRDefault="00C26FD9">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noProof/>
        </w:rPr>
        <w:drawing>
          <wp:anchor distT="0" distB="0" distL="114300" distR="114300" simplePos="0" relativeHeight="251660288" behindDoc="0" locked="0" layoutInCell="1" hidden="0" allowOverlap="1" wp14:anchorId="05AA37F2" wp14:editId="1C195583">
            <wp:simplePos x="0" y="0"/>
            <wp:positionH relativeFrom="column">
              <wp:posOffset>-196850</wp:posOffset>
            </wp:positionH>
            <wp:positionV relativeFrom="paragraph">
              <wp:posOffset>478155</wp:posOffset>
            </wp:positionV>
            <wp:extent cx="5816600" cy="3272790"/>
            <wp:effectExtent l="0" t="0" r="0" b="3810"/>
            <wp:wrapSquare wrapText="bothSides" distT="0" distB="0" distL="114300" distR="114300"/>
            <wp:docPr id="343" name="image4.png" descr="Gráfico, Gráfico de burbuj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de burbujas&#10;&#10;Descripción generada automáticamente"/>
                    <pic:cNvPicPr preferRelativeResize="0"/>
                  </pic:nvPicPr>
                  <pic:blipFill>
                    <a:blip r:embed="rId20"/>
                    <a:srcRect/>
                    <a:stretch>
                      <a:fillRect/>
                    </a:stretch>
                  </pic:blipFill>
                  <pic:spPr>
                    <a:xfrm>
                      <a:off x="0" y="0"/>
                      <a:ext cx="5816600" cy="3272790"/>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Open Sans Light" w:eastAsia="Open Sans Light" w:hAnsi="Open Sans Light" w:cs="Open Sans Light"/>
          <w:b/>
          <w:color w:val="303AB2"/>
          <w:sz w:val="30"/>
          <w:szCs w:val="30"/>
        </w:rPr>
        <w:t>Mapa - Rentabilidad por capitales de provincia en junio de 2022</w:t>
      </w:r>
    </w:p>
    <w:p w14:paraId="4B44F618" w14:textId="5ABF1651" w:rsidR="00652644" w:rsidRDefault="00652644">
      <w:pPr>
        <w:pBdr>
          <w:top w:val="nil"/>
          <w:left w:val="nil"/>
          <w:bottom w:val="nil"/>
          <w:right w:val="nil"/>
          <w:between w:val="nil"/>
        </w:pBdr>
        <w:shd w:val="clear" w:color="auto" w:fill="FFFFFF"/>
        <w:spacing w:before="280" w:after="280" w:line="276" w:lineRule="auto"/>
        <w:ind w:left="-142" w:right="-574"/>
        <w:jc w:val="center"/>
        <w:rPr>
          <w:rFonts w:ascii="Open Sans" w:eastAsia="Open Sans" w:hAnsi="Open Sans" w:cs="Open Sans"/>
          <w:color w:val="000000"/>
          <w:sz w:val="22"/>
          <w:szCs w:val="22"/>
        </w:rPr>
      </w:pPr>
    </w:p>
    <w:p w14:paraId="26624274"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Mapas comparativos de la rentabilidad por capitales de provincia en junio</w:t>
      </w:r>
      <w:r>
        <w:rPr>
          <w:rFonts w:ascii="Open Sans Light" w:eastAsia="Open Sans Light" w:hAnsi="Open Sans Light" w:cs="Open Sans Light"/>
          <w:b/>
          <w:color w:val="303AB2"/>
          <w:sz w:val="30"/>
          <w:szCs w:val="30"/>
        </w:rPr>
        <w:t xml:space="preserve"> </w:t>
      </w:r>
      <w:r>
        <w:rPr>
          <w:rFonts w:ascii="Open Sans Light" w:eastAsia="Open Sans Light" w:hAnsi="Open Sans Light" w:cs="Open Sans Light"/>
          <w:b/>
          <w:color w:val="303AB2"/>
          <w:sz w:val="28"/>
          <w:szCs w:val="28"/>
        </w:rPr>
        <w:t>de 2007, 2012, 2017 y 2021</w:t>
      </w:r>
    </w:p>
    <w:p w14:paraId="229C354F" w14:textId="77777777" w:rsidR="00652644" w:rsidRDefault="00000000">
      <w:pPr>
        <w:pBdr>
          <w:top w:val="nil"/>
          <w:left w:val="nil"/>
          <w:bottom w:val="nil"/>
          <w:right w:val="nil"/>
          <w:between w:val="nil"/>
        </w:pBdr>
        <w:shd w:val="clear" w:color="auto" w:fill="FFFFFF"/>
        <w:spacing w:before="280" w:after="280" w:line="276" w:lineRule="auto"/>
        <w:ind w:left="-142" w:right="-574"/>
        <w:jc w:val="center"/>
        <w:rPr>
          <w:rFonts w:ascii="Open Sans Light" w:eastAsia="Open Sans Light" w:hAnsi="Open Sans Light" w:cs="Open Sans Light"/>
          <w:b/>
          <w:color w:val="303AB2"/>
          <w:sz w:val="28"/>
          <w:szCs w:val="28"/>
        </w:rPr>
      </w:pPr>
      <w:r>
        <w:rPr>
          <w:rFonts w:ascii="Times New Roman" w:eastAsia="Times New Roman" w:hAnsi="Times New Roman" w:cs="Times New Roman"/>
          <w:noProof/>
          <w:color w:val="000000"/>
        </w:rPr>
        <w:drawing>
          <wp:inline distT="0" distB="0" distL="0" distR="0" wp14:anchorId="644BD4F8" wp14:editId="4C360A08">
            <wp:extent cx="4636539" cy="189415"/>
            <wp:effectExtent l="0" t="0" r="0" b="0"/>
            <wp:docPr id="3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636539" cy="189415"/>
                    </a:xfrm>
                    <a:prstGeom prst="rect">
                      <a:avLst/>
                    </a:prstGeom>
                    <a:ln/>
                  </pic:spPr>
                </pic:pic>
              </a:graphicData>
            </a:graphic>
          </wp:inline>
        </w:drawing>
      </w:r>
    </w:p>
    <w:p w14:paraId="5DB5D105" w14:textId="77777777" w:rsidR="00652644" w:rsidRDefault="00000000">
      <w:pPr>
        <w:pBdr>
          <w:top w:val="nil"/>
          <w:left w:val="nil"/>
          <w:bottom w:val="nil"/>
          <w:right w:val="nil"/>
          <w:between w:val="nil"/>
        </w:pBdr>
        <w:shd w:val="clear" w:color="auto" w:fill="FFFFFF"/>
        <w:spacing w:before="280" w:after="280" w:line="276" w:lineRule="auto"/>
        <w:ind w:left="-142" w:right="-574"/>
        <w:jc w:val="center"/>
        <w:rPr>
          <w:rFonts w:ascii="Open Sans Light" w:eastAsia="Open Sans Light" w:hAnsi="Open Sans Light" w:cs="Open Sans Light"/>
          <w:b/>
          <w:color w:val="303AB2"/>
          <w:sz w:val="28"/>
          <w:szCs w:val="28"/>
        </w:rPr>
      </w:pPr>
      <w:r>
        <w:rPr>
          <w:noProof/>
        </w:rPr>
        <w:drawing>
          <wp:anchor distT="0" distB="0" distL="114300" distR="114300" simplePos="0" relativeHeight="251661312" behindDoc="0" locked="0" layoutInCell="1" hidden="0" allowOverlap="1" wp14:anchorId="502BA9E0" wp14:editId="3620CF77">
            <wp:simplePos x="0" y="0"/>
            <wp:positionH relativeFrom="column">
              <wp:posOffset>-337184</wp:posOffset>
            </wp:positionH>
            <wp:positionV relativeFrom="paragraph">
              <wp:posOffset>318135</wp:posOffset>
            </wp:positionV>
            <wp:extent cx="6392251" cy="2428875"/>
            <wp:effectExtent l="0" t="0" r="0" b="0"/>
            <wp:wrapSquare wrapText="bothSides" distT="0" distB="0" distL="114300" distR="114300"/>
            <wp:docPr id="329" name="image6.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Mapa&#10;&#10;Descripción generada automáticamente"/>
                    <pic:cNvPicPr preferRelativeResize="0"/>
                  </pic:nvPicPr>
                  <pic:blipFill>
                    <a:blip r:embed="rId21"/>
                    <a:srcRect/>
                    <a:stretch>
                      <a:fillRect/>
                    </a:stretch>
                  </pic:blipFill>
                  <pic:spPr>
                    <a:xfrm>
                      <a:off x="0" y="0"/>
                      <a:ext cx="6392251" cy="2428875"/>
                    </a:xfrm>
                    <a:prstGeom prst="rect">
                      <a:avLst/>
                    </a:prstGeom>
                    <a:ln/>
                  </pic:spPr>
                </pic:pic>
              </a:graphicData>
            </a:graphic>
          </wp:anchor>
        </w:drawing>
      </w:r>
    </w:p>
    <w:p w14:paraId="44CCCB4B" w14:textId="77777777" w:rsidR="00652644" w:rsidRDefault="00000000">
      <w:pPr>
        <w:pBdr>
          <w:top w:val="nil"/>
          <w:left w:val="nil"/>
          <w:bottom w:val="nil"/>
          <w:right w:val="nil"/>
          <w:between w:val="nil"/>
        </w:pBdr>
        <w:shd w:val="clear" w:color="auto" w:fill="FFFFFF"/>
        <w:spacing w:before="280" w:after="280" w:line="276" w:lineRule="auto"/>
        <w:ind w:left="-142" w:right="-574"/>
        <w:jc w:val="center"/>
        <w:rPr>
          <w:rFonts w:ascii="Open Sans Light" w:eastAsia="Open Sans Light" w:hAnsi="Open Sans Light" w:cs="Open Sans Light"/>
          <w:b/>
          <w:color w:val="303AB2"/>
          <w:sz w:val="28"/>
          <w:szCs w:val="28"/>
        </w:rPr>
      </w:pPr>
      <w:r>
        <w:rPr>
          <w:noProof/>
        </w:rPr>
        <w:lastRenderedPageBreak/>
        <w:drawing>
          <wp:anchor distT="0" distB="0" distL="114300" distR="114300" simplePos="0" relativeHeight="251662336" behindDoc="0" locked="0" layoutInCell="1" hidden="0" allowOverlap="1" wp14:anchorId="23C3E0F3" wp14:editId="2C998027">
            <wp:simplePos x="0" y="0"/>
            <wp:positionH relativeFrom="column">
              <wp:posOffset>-118108</wp:posOffset>
            </wp:positionH>
            <wp:positionV relativeFrom="paragraph">
              <wp:posOffset>0</wp:posOffset>
            </wp:positionV>
            <wp:extent cx="6111502" cy="2571750"/>
            <wp:effectExtent l="0" t="0" r="0" b="0"/>
            <wp:wrapSquare wrapText="bothSides" distT="0" distB="0" distL="114300" distR="114300"/>
            <wp:docPr id="330" name="image8.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png" descr="Mapa&#10;&#10;Descripción generada automáticamente"/>
                    <pic:cNvPicPr preferRelativeResize="0"/>
                  </pic:nvPicPr>
                  <pic:blipFill>
                    <a:blip r:embed="rId22"/>
                    <a:srcRect/>
                    <a:stretch>
                      <a:fillRect/>
                    </a:stretch>
                  </pic:blipFill>
                  <pic:spPr>
                    <a:xfrm>
                      <a:off x="0" y="0"/>
                      <a:ext cx="6111502" cy="2571750"/>
                    </a:xfrm>
                    <a:prstGeom prst="rect">
                      <a:avLst/>
                    </a:prstGeom>
                    <a:ln/>
                  </pic:spPr>
                </pic:pic>
              </a:graphicData>
            </a:graphic>
          </wp:anchor>
        </w:drawing>
      </w:r>
    </w:p>
    <w:p w14:paraId="451C73EF" w14:textId="77777777"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725BFBAF" w14:textId="6CF9C58C"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Por distritos</w:t>
      </w:r>
    </w:p>
    <w:p w14:paraId="4DD36B19"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análisis de </w:t>
      </w:r>
      <w:hyperlink r:id="rId23">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también ofrece datos de los distritos más rentables para comprar una vivienda y ponerla en alquiler en España. Así, del análisis se desprende que los tres distritos más rentables del país en junio de 2022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 xml:space="preserve">Norte con 9,2% (Granada capital), San Lázaro - Otero – </w:t>
      </w:r>
      <w:proofErr w:type="spellStart"/>
      <w:r>
        <w:rPr>
          <w:rFonts w:ascii="Open Sans" w:eastAsia="Open Sans" w:hAnsi="Open Sans" w:cs="Open Sans"/>
          <w:color w:val="000000"/>
          <w:sz w:val="22"/>
          <w:szCs w:val="22"/>
        </w:rPr>
        <w:t>Villafría</w:t>
      </w:r>
      <w:proofErr w:type="spellEnd"/>
      <w:r>
        <w:rPr>
          <w:rFonts w:ascii="Open Sans" w:eastAsia="Open Sans" w:hAnsi="Open Sans" w:cs="Open Sans"/>
          <w:color w:val="000000"/>
          <w:sz w:val="22"/>
          <w:szCs w:val="22"/>
        </w:rPr>
        <w:t xml:space="preserve"> con 7,8% (Oviedo) y Villaverde con 7,5% (Madrid Capital).</w:t>
      </w:r>
    </w:p>
    <w:p w14:paraId="42C0881B"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el distrito con la rentabilidad de la vivienda más baja es Centre de la ciudad de Palma de Mallorca con un 3% en junio de 2022. </w:t>
      </w:r>
    </w:p>
    <w:p w14:paraId="6F324E78" w14:textId="05B92B1F"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a</w:t>
      </w:r>
      <w:r>
        <w:rPr>
          <w:rFonts w:ascii="Open Sans" w:eastAsia="Open Sans" w:hAnsi="Open Sans" w:cs="Open Sans"/>
          <w:b/>
          <w:color w:val="000000"/>
          <w:sz w:val="22"/>
          <w:szCs w:val="22"/>
        </w:rPr>
        <w:t xml:space="preserve"> Madrid capital</w:t>
      </w:r>
      <w:r>
        <w:rPr>
          <w:rFonts w:ascii="Open Sans" w:eastAsia="Open Sans" w:hAnsi="Open Sans" w:cs="Open Sans"/>
          <w:color w:val="000000"/>
          <w:sz w:val="22"/>
          <w:szCs w:val="22"/>
        </w:rPr>
        <w:t>, el distrito de Villaverde es el más rentable de Madrid capital con un 7,5% en junio de 2022. Le siguen los distritos de Usera (7,0%), Puente de Vallecas (6,8%), Carabanchel (6,3%), Latina (6,3%), Villa de Vallecas (6,1%), San Blas (5,2%), Tetuán (4,8%), Ciudad Lineal (4,7%), Arganzuela (4,5%), Centro (4,2%), Moncloa - Aravaca (4,2%), Hortaleza (4,1%), Retiro (3,8%), Chamberí (3,7%), Chamartín (3,7%) y Barrio de Salamanca (3,3%).</w:t>
      </w:r>
    </w:p>
    <w:p w14:paraId="09F8C762" w14:textId="5B41D8BD"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0824A5C7" w14:textId="6F987D33"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48080483" w14:textId="77777777"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56393D84" w14:textId="77777777"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p>
    <w:p w14:paraId="31879F15" w14:textId="1B8F15BE" w:rsidR="00652644" w:rsidRDefault="00000000" w:rsidP="00C26FD9">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Open Sans Light" w:eastAsia="Open Sans Light" w:hAnsi="Open Sans Light" w:cs="Open Sans Light"/>
          <w:b/>
          <w:color w:val="303AB2"/>
          <w:sz w:val="30"/>
          <w:szCs w:val="30"/>
        </w:rPr>
        <w:lastRenderedPageBreak/>
        <w:t>Mapa - Rentabilidad por distritos en junio de 2022</w:t>
      </w:r>
    </w:p>
    <w:p w14:paraId="3AEEC205" w14:textId="77777777" w:rsidR="00652644" w:rsidRDefault="00000000">
      <w:pPr>
        <w:pBdr>
          <w:top w:val="nil"/>
          <w:left w:val="nil"/>
          <w:bottom w:val="nil"/>
          <w:right w:val="nil"/>
          <w:between w:val="nil"/>
        </w:pBdr>
        <w:shd w:val="clear" w:color="auto" w:fill="FFFFFF"/>
        <w:spacing w:before="280" w:after="280" w:line="276" w:lineRule="auto"/>
        <w:ind w:left="-142" w:right="-574"/>
        <w:jc w:val="center"/>
        <w:rPr>
          <w:rFonts w:ascii="Open Sans" w:eastAsia="Open Sans" w:hAnsi="Open Sans" w:cs="Open Sans"/>
          <w:color w:val="000000"/>
          <w:sz w:val="22"/>
          <w:szCs w:val="22"/>
        </w:rPr>
      </w:pPr>
      <w:r>
        <w:rPr>
          <w:rFonts w:ascii="Open Sans Light" w:eastAsia="Open Sans Light" w:hAnsi="Open Sans Light" w:cs="Open Sans Light"/>
          <w:noProof/>
          <w:color w:val="404040"/>
        </w:rPr>
        <w:drawing>
          <wp:inline distT="0" distB="0" distL="0" distR="0" wp14:anchorId="17D622A6" wp14:editId="34EDA2E6">
            <wp:extent cx="2504995" cy="2796988"/>
            <wp:effectExtent l="0" t="0" r="0" b="3810"/>
            <wp:docPr id="337" name="image12.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2.png" descr="Mapa&#10;&#10;Descripción generada automáticamente"/>
                    <pic:cNvPicPr preferRelativeResize="0"/>
                  </pic:nvPicPr>
                  <pic:blipFill>
                    <a:blip r:embed="rId24"/>
                    <a:srcRect/>
                    <a:stretch>
                      <a:fillRect/>
                    </a:stretch>
                  </pic:blipFill>
                  <pic:spPr>
                    <a:xfrm>
                      <a:off x="0" y="0"/>
                      <a:ext cx="2512052" cy="2804867"/>
                    </a:xfrm>
                    <a:prstGeom prst="rect">
                      <a:avLst/>
                    </a:prstGeom>
                    <a:ln/>
                  </pic:spPr>
                </pic:pic>
              </a:graphicData>
            </a:graphic>
          </wp:inline>
        </w:drawing>
      </w:r>
    </w:p>
    <w:p w14:paraId="59E2E6CD"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Mapas comparativos de la rentabilidad de los distritos de Madrid en junio</w:t>
      </w:r>
      <w:r>
        <w:rPr>
          <w:rFonts w:ascii="Open Sans Light" w:eastAsia="Open Sans Light" w:hAnsi="Open Sans Light" w:cs="Open Sans Light"/>
          <w:b/>
          <w:color w:val="303AB2"/>
          <w:sz w:val="30"/>
          <w:szCs w:val="30"/>
        </w:rPr>
        <w:t xml:space="preserve"> </w:t>
      </w:r>
      <w:r>
        <w:rPr>
          <w:rFonts w:ascii="Open Sans Light" w:eastAsia="Open Sans Light" w:hAnsi="Open Sans Light" w:cs="Open Sans Light"/>
          <w:b/>
          <w:color w:val="303AB2"/>
          <w:sz w:val="28"/>
          <w:szCs w:val="28"/>
        </w:rPr>
        <w:t>de 2012, 2017 y 2021</w:t>
      </w:r>
    </w:p>
    <w:p w14:paraId="70BD2E52" w14:textId="77777777" w:rsidR="00652644" w:rsidRDefault="00000000">
      <w:pPr>
        <w:jc w:val="center"/>
        <w:rPr>
          <w:rFonts w:ascii="Open Sans Light" w:eastAsia="Open Sans Light" w:hAnsi="Open Sans Light" w:cs="Open Sans Light"/>
          <w:color w:val="404040"/>
        </w:rPr>
      </w:pPr>
      <w:r>
        <w:rPr>
          <w:noProof/>
        </w:rPr>
        <w:drawing>
          <wp:inline distT="0" distB="0" distL="0" distR="0" wp14:anchorId="3B087EDC" wp14:editId="4FF78C12">
            <wp:extent cx="4578577" cy="187047"/>
            <wp:effectExtent l="0" t="0" r="0" b="0"/>
            <wp:docPr id="3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4578577" cy="187047"/>
                    </a:xfrm>
                    <a:prstGeom prst="rect">
                      <a:avLst/>
                    </a:prstGeom>
                    <a:ln/>
                  </pic:spPr>
                </pic:pic>
              </a:graphicData>
            </a:graphic>
          </wp:inline>
        </w:drawing>
      </w:r>
    </w:p>
    <w:p w14:paraId="24A6F68D" w14:textId="77777777" w:rsidR="00652644" w:rsidRDefault="00652644">
      <w:pPr>
        <w:jc w:val="center"/>
        <w:rPr>
          <w:rFonts w:ascii="Open Sans Light" w:eastAsia="Open Sans Light" w:hAnsi="Open Sans Light" w:cs="Open Sans Light"/>
          <w:color w:val="404040"/>
        </w:rPr>
      </w:pPr>
    </w:p>
    <w:p w14:paraId="344D5551" w14:textId="77777777" w:rsidR="00652644" w:rsidRDefault="00652644">
      <w:pPr>
        <w:jc w:val="center"/>
        <w:rPr>
          <w:rFonts w:ascii="Open Sans Light" w:eastAsia="Open Sans Light" w:hAnsi="Open Sans Light" w:cs="Open Sans Light"/>
          <w:color w:val="404040"/>
        </w:rPr>
      </w:pPr>
    </w:p>
    <w:p w14:paraId="15CED2F4" w14:textId="77777777" w:rsidR="00652644" w:rsidRDefault="00000000">
      <w:pPr>
        <w:jc w:val="both"/>
        <w:rPr>
          <w:rFonts w:ascii="Open Sans Light" w:eastAsia="Open Sans Light" w:hAnsi="Open Sans Light" w:cs="Open Sans Light"/>
          <w:color w:val="404040"/>
        </w:rPr>
      </w:pPr>
      <w:r>
        <w:rPr>
          <w:rFonts w:ascii="Open Sans Light" w:eastAsia="Open Sans Light" w:hAnsi="Open Sans Light" w:cs="Open Sans Light"/>
          <w:noProof/>
          <w:color w:val="404040"/>
        </w:rPr>
        <w:drawing>
          <wp:inline distT="0" distB="0" distL="0" distR="0" wp14:anchorId="66C579AF" wp14:editId="40DA2509">
            <wp:extent cx="5733182" cy="2725589"/>
            <wp:effectExtent l="0" t="0" r="0" b="0"/>
            <wp:docPr id="339" name="image3.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Mapa&#10;&#10;Descripción generada automáticamente"/>
                    <pic:cNvPicPr preferRelativeResize="0"/>
                  </pic:nvPicPr>
                  <pic:blipFill>
                    <a:blip r:embed="rId25"/>
                    <a:srcRect/>
                    <a:stretch>
                      <a:fillRect/>
                    </a:stretch>
                  </pic:blipFill>
                  <pic:spPr>
                    <a:xfrm>
                      <a:off x="0" y="0"/>
                      <a:ext cx="5733182" cy="2725589"/>
                    </a:xfrm>
                    <a:prstGeom prst="rect">
                      <a:avLst/>
                    </a:prstGeom>
                    <a:ln/>
                  </pic:spPr>
                </pic:pic>
              </a:graphicData>
            </a:graphic>
          </wp:inline>
        </w:drawing>
      </w:r>
    </w:p>
    <w:p w14:paraId="3A7F9BE7"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w:t>
      </w:r>
      <w:r>
        <w:rPr>
          <w:rFonts w:ascii="Open Sans" w:eastAsia="Open Sans" w:hAnsi="Open Sans" w:cs="Open Sans"/>
          <w:b/>
          <w:color w:val="000000"/>
          <w:sz w:val="22"/>
          <w:szCs w:val="22"/>
        </w:rPr>
        <w:t xml:space="preserve"> Barcelona capital</w:t>
      </w:r>
      <w:r>
        <w:rPr>
          <w:rFonts w:ascii="Open Sans" w:eastAsia="Open Sans" w:hAnsi="Open Sans" w:cs="Open Sans"/>
          <w:color w:val="000000"/>
          <w:sz w:val="22"/>
          <w:szCs w:val="22"/>
        </w:rPr>
        <w:t xml:space="preserve">, el distrito de Nou </w:t>
      </w:r>
      <w:proofErr w:type="spellStart"/>
      <w:r>
        <w:rPr>
          <w:rFonts w:ascii="Open Sans" w:eastAsia="Open Sans" w:hAnsi="Open Sans" w:cs="Open Sans"/>
          <w:color w:val="000000"/>
          <w:sz w:val="22"/>
          <w:szCs w:val="22"/>
        </w:rPr>
        <w:t>Barris</w:t>
      </w:r>
      <w:proofErr w:type="spellEnd"/>
      <w:r>
        <w:rPr>
          <w:rFonts w:ascii="Open Sans" w:eastAsia="Open Sans" w:hAnsi="Open Sans" w:cs="Open Sans"/>
          <w:color w:val="000000"/>
          <w:sz w:val="22"/>
          <w:szCs w:val="22"/>
        </w:rPr>
        <w:t xml:space="preserve"> ha pasado en 5 años del 6,8% al 6,6% de rentabilidad, convirtiéndose en el más rentable de la capital catalana. Le siguen, Sants - Montjuïc (6,3%), Horta - Guinardó (5,7%), Sant Andreu (5,6%), Sant Martí (5,4%), </w:t>
      </w:r>
      <w:proofErr w:type="spellStart"/>
      <w:r>
        <w:rPr>
          <w:rFonts w:ascii="Open Sans" w:eastAsia="Open Sans" w:hAnsi="Open Sans" w:cs="Open Sans"/>
          <w:color w:val="000000"/>
          <w:sz w:val="22"/>
          <w:szCs w:val="22"/>
        </w:rPr>
        <w:t>Ciutat</w:t>
      </w:r>
      <w:proofErr w:type="spellEnd"/>
      <w:r>
        <w:rPr>
          <w:rFonts w:ascii="Open Sans" w:eastAsia="Open Sans" w:hAnsi="Open Sans" w:cs="Open Sans"/>
          <w:color w:val="000000"/>
          <w:sz w:val="22"/>
          <w:szCs w:val="22"/>
        </w:rPr>
        <w:t xml:space="preserve"> Vella (5,3%), Gràcia (5,0%), Eixample (4,3%), Les Corts (4,0%) y Sarrià - Sant Gervasi (3,7%).</w:t>
      </w:r>
    </w:p>
    <w:p w14:paraId="65627FF6" w14:textId="77777777" w:rsidR="00652644" w:rsidRDefault="00000000">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Open Sans Light" w:eastAsia="Open Sans Light" w:hAnsi="Open Sans Light" w:cs="Open Sans Light"/>
          <w:b/>
          <w:color w:val="303AB2"/>
          <w:sz w:val="30"/>
          <w:szCs w:val="30"/>
        </w:rPr>
        <w:lastRenderedPageBreak/>
        <w:t>Mapa - Rentabilidad por distritos de Barcelona en junio de 2022</w:t>
      </w:r>
    </w:p>
    <w:p w14:paraId="0ED3EAB2" w14:textId="77777777" w:rsidR="00652644" w:rsidRDefault="00000000">
      <w:pPr>
        <w:pBdr>
          <w:top w:val="nil"/>
          <w:left w:val="nil"/>
          <w:bottom w:val="nil"/>
          <w:right w:val="nil"/>
          <w:between w:val="nil"/>
        </w:pBdr>
        <w:shd w:val="clear" w:color="auto" w:fill="FFFFFF"/>
        <w:spacing w:before="280" w:after="280" w:line="276" w:lineRule="auto"/>
        <w:ind w:left="-142" w:right="-574"/>
        <w:jc w:val="center"/>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0BCBAAC8" wp14:editId="71B10061">
            <wp:extent cx="3757492" cy="3588444"/>
            <wp:effectExtent l="0" t="0" r="0" b="0"/>
            <wp:docPr id="340" name="image7.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Mapa&#10;&#10;Descripción generada automáticamente"/>
                    <pic:cNvPicPr preferRelativeResize="0"/>
                  </pic:nvPicPr>
                  <pic:blipFill>
                    <a:blip r:embed="rId26"/>
                    <a:srcRect/>
                    <a:stretch>
                      <a:fillRect/>
                    </a:stretch>
                  </pic:blipFill>
                  <pic:spPr>
                    <a:xfrm>
                      <a:off x="0" y="0"/>
                      <a:ext cx="3763137" cy="3593835"/>
                    </a:xfrm>
                    <a:prstGeom prst="rect">
                      <a:avLst/>
                    </a:prstGeom>
                    <a:ln/>
                  </pic:spPr>
                </pic:pic>
              </a:graphicData>
            </a:graphic>
          </wp:inline>
        </w:drawing>
      </w:r>
    </w:p>
    <w:p w14:paraId="72DF5879"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Mapas comparativos de la rentabilidad de los distritos de Barcelona en junio</w:t>
      </w:r>
      <w:r>
        <w:rPr>
          <w:rFonts w:ascii="Open Sans Light" w:eastAsia="Open Sans Light" w:hAnsi="Open Sans Light" w:cs="Open Sans Light"/>
          <w:b/>
          <w:color w:val="303AB2"/>
          <w:sz w:val="30"/>
          <w:szCs w:val="30"/>
        </w:rPr>
        <w:t xml:space="preserve"> </w:t>
      </w:r>
      <w:r>
        <w:rPr>
          <w:rFonts w:ascii="Open Sans Light" w:eastAsia="Open Sans Light" w:hAnsi="Open Sans Light" w:cs="Open Sans Light"/>
          <w:b/>
          <w:color w:val="303AB2"/>
          <w:sz w:val="28"/>
          <w:szCs w:val="28"/>
        </w:rPr>
        <w:t>de 2012, 2017 y 2021</w:t>
      </w:r>
    </w:p>
    <w:p w14:paraId="7D52016E" w14:textId="77777777" w:rsidR="00652644" w:rsidRDefault="00000000">
      <w:pPr>
        <w:pBdr>
          <w:top w:val="nil"/>
          <w:left w:val="nil"/>
          <w:bottom w:val="nil"/>
          <w:right w:val="nil"/>
          <w:between w:val="nil"/>
        </w:pBdr>
        <w:shd w:val="clear" w:color="auto" w:fill="FFFFFF"/>
        <w:spacing w:before="280" w:after="280" w:line="276" w:lineRule="auto"/>
        <w:ind w:left="-142" w:right="-574"/>
        <w:jc w:val="center"/>
        <w:rPr>
          <w:rFonts w:ascii="Open Sans Light" w:eastAsia="Open Sans Light" w:hAnsi="Open Sans Light" w:cs="Open Sans Light"/>
          <w:b/>
          <w:color w:val="303AB2"/>
          <w:sz w:val="28"/>
          <w:szCs w:val="28"/>
        </w:rPr>
      </w:pPr>
      <w:r>
        <w:rPr>
          <w:rFonts w:ascii="Times New Roman" w:eastAsia="Times New Roman" w:hAnsi="Times New Roman" w:cs="Times New Roman"/>
          <w:noProof/>
          <w:color w:val="000000"/>
        </w:rPr>
        <w:drawing>
          <wp:inline distT="0" distB="0" distL="0" distR="0" wp14:anchorId="443FE321" wp14:editId="61F93231">
            <wp:extent cx="5362575" cy="219075"/>
            <wp:effectExtent l="0" t="0" r="0" b="0"/>
            <wp:docPr id="3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362575" cy="219075"/>
                    </a:xfrm>
                    <a:prstGeom prst="rect">
                      <a:avLst/>
                    </a:prstGeom>
                    <a:ln/>
                  </pic:spPr>
                </pic:pic>
              </a:graphicData>
            </a:graphic>
          </wp:inline>
        </w:drawing>
      </w:r>
      <w:r>
        <w:rPr>
          <w:rFonts w:ascii="Times New Roman" w:eastAsia="Times New Roman" w:hAnsi="Times New Roman" w:cs="Times New Roman"/>
          <w:color w:val="000000"/>
        </w:rPr>
        <w:t xml:space="preserve"> </w:t>
      </w:r>
    </w:p>
    <w:p w14:paraId="4E0DD351" w14:textId="77777777" w:rsidR="00652644" w:rsidRDefault="00000000">
      <w:pPr>
        <w:pBdr>
          <w:top w:val="nil"/>
          <w:left w:val="nil"/>
          <w:bottom w:val="nil"/>
          <w:right w:val="nil"/>
          <w:between w:val="nil"/>
        </w:pBdr>
        <w:shd w:val="clear" w:color="auto" w:fill="FFFFFF"/>
        <w:spacing w:before="280" w:after="280" w:line="276" w:lineRule="auto"/>
        <w:ind w:left="-142" w:right="-574"/>
        <w:rPr>
          <w:rFonts w:ascii="Open Sans Light" w:eastAsia="Open Sans Light" w:hAnsi="Open Sans Light" w:cs="Open Sans Light"/>
          <w:b/>
          <w:color w:val="303AB2"/>
          <w:sz w:val="28"/>
          <w:szCs w:val="28"/>
        </w:rPr>
      </w:pPr>
      <w:r>
        <w:rPr>
          <w:rFonts w:ascii="Open Sans Light" w:eastAsia="Open Sans Light" w:hAnsi="Open Sans Light" w:cs="Open Sans Light"/>
          <w:b/>
          <w:noProof/>
          <w:color w:val="303AB2"/>
          <w:sz w:val="28"/>
          <w:szCs w:val="28"/>
        </w:rPr>
        <w:drawing>
          <wp:inline distT="0" distB="0" distL="0" distR="0" wp14:anchorId="30076D66" wp14:editId="27FCB59A">
            <wp:extent cx="5869259" cy="2112740"/>
            <wp:effectExtent l="0" t="0" r="0" b="0"/>
            <wp:docPr id="342" name="image9.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Mapa&#10;&#10;Descripción generada automáticamente"/>
                    <pic:cNvPicPr preferRelativeResize="0"/>
                  </pic:nvPicPr>
                  <pic:blipFill>
                    <a:blip r:embed="rId27"/>
                    <a:srcRect/>
                    <a:stretch>
                      <a:fillRect/>
                    </a:stretch>
                  </pic:blipFill>
                  <pic:spPr>
                    <a:xfrm>
                      <a:off x="0" y="0"/>
                      <a:ext cx="5869259" cy="2112740"/>
                    </a:xfrm>
                    <a:prstGeom prst="rect">
                      <a:avLst/>
                    </a:prstGeom>
                    <a:ln/>
                  </pic:spPr>
                </pic:pic>
              </a:graphicData>
            </a:graphic>
          </wp:inline>
        </w:drawing>
      </w:r>
    </w:p>
    <w:p w14:paraId="0370BC19" w14:textId="77777777" w:rsidR="00652644" w:rsidRDefault="00652644">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bookmarkStart w:id="3" w:name="_heading=h.3znysh7" w:colFirst="0" w:colLast="0"/>
      <w:bookmarkEnd w:id="3"/>
    </w:p>
    <w:p w14:paraId="16ECAD41" w14:textId="77777777" w:rsidR="00652644" w:rsidRDefault="00652644">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p>
    <w:p w14:paraId="10BF4380"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lastRenderedPageBreak/>
        <w:t>Por barrios</w:t>
      </w:r>
    </w:p>
    <w:p w14:paraId="148D3169"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análisis de </w:t>
      </w:r>
      <w:hyperlink r:id="rId28">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también ofrece datos de los barrios más rentables para comprar una vivienda y ponerla en alquiler en España. Así, del análisis se desprende que el barrio más rentable del país en junio de 2022 es el barrio Polígono Cartuja – La Paz con un 8,5% (Granada capital), seguida de El Torrejón - El Cerezo con un 8% (Sevilla capital) y Nou Moles con un 7,3% (Valencia capital). Por otro lado, el barrio menos rentable del país en el madrileño Recoletos con un 2,8% en junio de 2022.</w:t>
      </w:r>
    </w:p>
    <w:p w14:paraId="07AD4D8F"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w:t>
      </w:r>
      <w:r>
        <w:rPr>
          <w:rFonts w:ascii="Open Sans" w:eastAsia="Open Sans" w:hAnsi="Open Sans" w:cs="Open Sans"/>
          <w:b/>
          <w:color w:val="000000"/>
          <w:sz w:val="22"/>
          <w:szCs w:val="22"/>
        </w:rPr>
        <w:t xml:space="preserve"> Madrid capital</w:t>
      </w:r>
      <w:r>
        <w:rPr>
          <w:rFonts w:ascii="Open Sans" w:eastAsia="Open Sans" w:hAnsi="Open Sans" w:cs="Open Sans"/>
          <w:color w:val="000000"/>
          <w:sz w:val="22"/>
          <w:szCs w:val="22"/>
        </w:rPr>
        <w:t>, el barrio más rentable sigue siendo el vallecano San Diego con un 7,3% de rentabilidad, seguido del barrio de puerta bonita con 6,9%. Por otro lado, el barrio de la capital con menos rentabilidad es Recoletos con un 2,8%, seguido del barrio de Castellana con un 2,9%.</w:t>
      </w:r>
    </w:p>
    <w:p w14:paraId="1E851435"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a</w:t>
      </w:r>
      <w:r>
        <w:rPr>
          <w:rFonts w:ascii="Open Sans" w:eastAsia="Open Sans" w:hAnsi="Open Sans" w:cs="Open Sans"/>
          <w:b/>
          <w:color w:val="000000"/>
          <w:sz w:val="22"/>
          <w:szCs w:val="22"/>
        </w:rPr>
        <w:t xml:space="preserve"> Barcelona capital</w:t>
      </w:r>
      <w:r>
        <w:rPr>
          <w:rFonts w:ascii="Open Sans" w:eastAsia="Open Sans" w:hAnsi="Open Sans" w:cs="Open Sans"/>
          <w:color w:val="000000"/>
          <w:sz w:val="22"/>
          <w:szCs w:val="22"/>
        </w:rPr>
        <w:t xml:space="preserve">, el barrio más rentable sigue siendo El Poble </w:t>
      </w:r>
      <w:proofErr w:type="spellStart"/>
      <w:r>
        <w:rPr>
          <w:rFonts w:ascii="Open Sans" w:eastAsia="Open Sans" w:hAnsi="Open Sans" w:cs="Open Sans"/>
          <w:color w:val="000000"/>
          <w:sz w:val="22"/>
          <w:szCs w:val="22"/>
        </w:rPr>
        <w:t>Sec</w:t>
      </w:r>
      <w:proofErr w:type="spellEnd"/>
      <w:r>
        <w:rPr>
          <w:rFonts w:ascii="Open Sans" w:eastAsia="Open Sans" w:hAnsi="Open Sans" w:cs="Open Sans"/>
          <w:color w:val="000000"/>
          <w:sz w:val="22"/>
          <w:szCs w:val="22"/>
        </w:rPr>
        <w:t xml:space="preserve"> - </w:t>
      </w:r>
      <w:proofErr w:type="spellStart"/>
      <w:r>
        <w:rPr>
          <w:rFonts w:ascii="Open Sans" w:eastAsia="Open Sans" w:hAnsi="Open Sans" w:cs="Open Sans"/>
          <w:color w:val="000000"/>
          <w:sz w:val="22"/>
          <w:szCs w:val="22"/>
        </w:rPr>
        <w:t>Parc</w:t>
      </w:r>
      <w:proofErr w:type="spellEnd"/>
      <w:r>
        <w:rPr>
          <w:rFonts w:ascii="Open Sans" w:eastAsia="Open Sans" w:hAnsi="Open Sans" w:cs="Open Sans"/>
          <w:color w:val="000000"/>
          <w:sz w:val="22"/>
          <w:szCs w:val="22"/>
        </w:rPr>
        <w:t xml:space="preserve"> de Montjuïc con un 5,1%, seguido de El Raval (5,1%). Por otro lado, los barrios de la capital catalana con menos rentabilidad son Pedralbes con un 3,2%.</w:t>
      </w:r>
    </w:p>
    <w:p w14:paraId="72650400" w14:textId="45AE4A15" w:rsidR="00652644" w:rsidRDefault="00652644">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p>
    <w:p w14:paraId="4A5CD182" w14:textId="65DE45CF"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p>
    <w:p w14:paraId="1B291162" w14:textId="118CA7C2"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p>
    <w:p w14:paraId="5C0C7812" w14:textId="65672606"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p>
    <w:p w14:paraId="412AAC11" w14:textId="1D17D3A2"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p>
    <w:p w14:paraId="361E9DF5" w14:textId="4F9E8B02"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p>
    <w:p w14:paraId="10479EC0" w14:textId="26A1E91E"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p>
    <w:p w14:paraId="2C78F4AC" w14:textId="374F3CFB"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p>
    <w:p w14:paraId="75E3427F" w14:textId="2A7AEFC2"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p>
    <w:p w14:paraId="494CB56D" w14:textId="1ED8E92C"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p>
    <w:p w14:paraId="0275F6E8" w14:textId="028DE56C"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p>
    <w:p w14:paraId="2D97BD14" w14:textId="77777777"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p>
    <w:p w14:paraId="28577088" w14:textId="21DA1041"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w:eastAsia="Open Sans" w:hAnsi="Open Sans" w:cs="Open Sans"/>
          <w:color w:val="000000"/>
          <w:sz w:val="22"/>
          <w:szCs w:val="22"/>
        </w:rPr>
      </w:pPr>
      <w:r>
        <w:rPr>
          <w:rFonts w:ascii="Open Sans Light" w:eastAsia="Open Sans Light" w:hAnsi="Open Sans Light" w:cs="Open Sans Light"/>
          <w:b/>
          <w:color w:val="303AB2"/>
        </w:rPr>
        <w:lastRenderedPageBreak/>
        <w:t xml:space="preserve">Tablas </w:t>
      </w:r>
    </w:p>
    <w:p w14:paraId="3D84E70D"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t>Tabla 1. Rentabilidad de la vivienda por CCAA en junio de 2012, 2017, 2021 y 2022</w:t>
      </w:r>
    </w:p>
    <w:tbl>
      <w:tblPr>
        <w:tblStyle w:val="a"/>
        <w:tblW w:w="901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263"/>
        <w:gridCol w:w="1985"/>
        <w:gridCol w:w="1559"/>
        <w:gridCol w:w="1701"/>
        <w:gridCol w:w="1511"/>
      </w:tblGrid>
      <w:tr w:rsidR="00652644" w14:paraId="57DF92F0" w14:textId="77777777">
        <w:trPr>
          <w:trHeight w:val="549"/>
        </w:trPr>
        <w:tc>
          <w:tcPr>
            <w:tcW w:w="2263" w:type="dxa"/>
            <w:tcBorders>
              <w:top w:val="single" w:sz="4" w:space="0" w:color="FFFFFF"/>
              <w:left w:val="single" w:sz="4" w:space="0" w:color="FFFFFF"/>
              <w:right w:val="nil"/>
            </w:tcBorders>
            <w:shd w:val="clear" w:color="auto" w:fill="4472C4"/>
            <w:vAlign w:val="center"/>
          </w:tcPr>
          <w:p w14:paraId="2EA0A8CD"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Comunidades Autónomas</w:t>
            </w:r>
          </w:p>
        </w:tc>
        <w:tc>
          <w:tcPr>
            <w:tcW w:w="1985" w:type="dxa"/>
            <w:tcBorders>
              <w:top w:val="single" w:sz="4" w:space="0" w:color="FFFFFF"/>
              <w:left w:val="nil"/>
              <w:right w:val="nil"/>
            </w:tcBorders>
            <w:shd w:val="clear" w:color="auto" w:fill="4472C4"/>
            <w:vAlign w:val="center"/>
          </w:tcPr>
          <w:p w14:paraId="64789A76" w14:textId="77777777" w:rsidR="00652644"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01CA807B" w14:textId="77777777" w:rsidR="00652644"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2012</w:t>
            </w:r>
          </w:p>
          <w:p w14:paraId="50AF9978" w14:textId="77777777" w:rsidR="00652644"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(10 años)</w:t>
            </w:r>
          </w:p>
        </w:tc>
        <w:tc>
          <w:tcPr>
            <w:tcW w:w="1559" w:type="dxa"/>
            <w:tcBorders>
              <w:top w:val="single" w:sz="4" w:space="0" w:color="FFFFFF"/>
              <w:left w:val="nil"/>
              <w:right w:val="nil"/>
            </w:tcBorders>
            <w:shd w:val="clear" w:color="auto" w:fill="4472C4"/>
            <w:vAlign w:val="center"/>
          </w:tcPr>
          <w:p w14:paraId="7B9F5F91" w14:textId="77777777" w:rsidR="00652644"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2C223FC1" w14:textId="77777777" w:rsidR="00652644"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2017</w:t>
            </w:r>
          </w:p>
          <w:p w14:paraId="38F48F2D" w14:textId="77777777" w:rsidR="00652644"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(5 años)</w:t>
            </w:r>
          </w:p>
        </w:tc>
        <w:tc>
          <w:tcPr>
            <w:tcW w:w="1701" w:type="dxa"/>
            <w:tcBorders>
              <w:top w:val="single" w:sz="4" w:space="0" w:color="FFFFFF"/>
              <w:left w:val="nil"/>
              <w:right w:val="nil"/>
            </w:tcBorders>
            <w:shd w:val="clear" w:color="auto" w:fill="4472C4"/>
            <w:vAlign w:val="center"/>
          </w:tcPr>
          <w:p w14:paraId="192596CE" w14:textId="77777777" w:rsidR="00652644"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52170E10" w14:textId="77777777" w:rsidR="00652644"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2021</w:t>
            </w:r>
          </w:p>
          <w:p w14:paraId="5983629D" w14:textId="77777777" w:rsidR="00652644" w:rsidRDefault="00000000">
            <w:pPr>
              <w:pBdr>
                <w:top w:val="nil"/>
                <w:left w:val="nil"/>
                <w:bottom w:val="nil"/>
                <w:right w:val="nil"/>
                <w:between w:val="nil"/>
              </w:pBdr>
              <w:jc w:val="center"/>
              <w:rPr>
                <w:rFonts w:ascii="Open Sans" w:eastAsia="Open Sans" w:hAnsi="Open Sans" w:cs="Open Sans"/>
                <w:i/>
                <w:color w:val="FFFFFF"/>
                <w:sz w:val="22"/>
                <w:szCs w:val="22"/>
              </w:rPr>
            </w:pPr>
            <w:r>
              <w:rPr>
                <w:rFonts w:ascii="Open Sans" w:eastAsia="Open Sans" w:hAnsi="Open Sans" w:cs="Open Sans"/>
                <w:color w:val="FFFFFF"/>
                <w:sz w:val="22"/>
                <w:szCs w:val="22"/>
              </w:rPr>
              <w:t>(1 año)</w:t>
            </w:r>
          </w:p>
        </w:tc>
        <w:tc>
          <w:tcPr>
            <w:tcW w:w="1511" w:type="dxa"/>
            <w:tcBorders>
              <w:top w:val="single" w:sz="4" w:space="0" w:color="FFFFFF"/>
              <w:left w:val="nil"/>
              <w:right w:val="nil"/>
            </w:tcBorders>
            <w:shd w:val="clear" w:color="auto" w:fill="4472C4"/>
            <w:vAlign w:val="center"/>
          </w:tcPr>
          <w:p w14:paraId="206B02F8" w14:textId="77777777" w:rsidR="00652644"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Rentabilidad</w:t>
            </w:r>
          </w:p>
          <w:p w14:paraId="445DA714" w14:textId="77777777" w:rsidR="00652644" w:rsidRDefault="00000000">
            <w:pPr>
              <w:pBdr>
                <w:top w:val="nil"/>
                <w:left w:val="nil"/>
                <w:bottom w:val="nil"/>
                <w:right w:val="nil"/>
                <w:between w:val="nil"/>
              </w:pBdr>
              <w:jc w:val="center"/>
              <w:rPr>
                <w:rFonts w:ascii="Open Sans" w:eastAsia="Open Sans" w:hAnsi="Open Sans" w:cs="Open Sans"/>
                <w:color w:val="FFFFFF"/>
                <w:sz w:val="22"/>
                <w:szCs w:val="22"/>
              </w:rPr>
            </w:pPr>
            <w:r>
              <w:rPr>
                <w:rFonts w:ascii="Open Sans" w:eastAsia="Open Sans" w:hAnsi="Open Sans" w:cs="Open Sans"/>
                <w:color w:val="FFFFFF"/>
                <w:sz w:val="22"/>
                <w:szCs w:val="22"/>
              </w:rPr>
              <w:t>2022</w:t>
            </w:r>
          </w:p>
        </w:tc>
      </w:tr>
      <w:tr w:rsidR="00652644" w14:paraId="34107D77" w14:textId="77777777">
        <w:trPr>
          <w:trHeight w:val="273"/>
        </w:trPr>
        <w:tc>
          <w:tcPr>
            <w:tcW w:w="2263" w:type="dxa"/>
            <w:tcBorders>
              <w:left w:val="single" w:sz="4" w:space="0" w:color="FFFFFF"/>
            </w:tcBorders>
            <w:shd w:val="clear" w:color="auto" w:fill="4472C4"/>
            <w:vAlign w:val="bottom"/>
          </w:tcPr>
          <w:p w14:paraId="3714F7E0"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Región de Murcia</w:t>
            </w:r>
          </w:p>
        </w:tc>
        <w:tc>
          <w:tcPr>
            <w:tcW w:w="1985" w:type="dxa"/>
            <w:shd w:val="clear" w:color="auto" w:fill="B4C6E7"/>
            <w:vAlign w:val="bottom"/>
          </w:tcPr>
          <w:p w14:paraId="3A761B6D"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559" w:type="dxa"/>
            <w:shd w:val="clear" w:color="auto" w:fill="B4C6E7"/>
            <w:vAlign w:val="bottom"/>
          </w:tcPr>
          <w:p w14:paraId="6006F046"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1701" w:type="dxa"/>
            <w:shd w:val="clear" w:color="auto" w:fill="B4C6E7"/>
            <w:vAlign w:val="bottom"/>
          </w:tcPr>
          <w:p w14:paraId="053C98CE"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7,9%</w:t>
            </w:r>
          </w:p>
        </w:tc>
        <w:tc>
          <w:tcPr>
            <w:tcW w:w="1511" w:type="dxa"/>
            <w:shd w:val="clear" w:color="auto" w:fill="B4C6E7"/>
            <w:vAlign w:val="bottom"/>
          </w:tcPr>
          <w:p w14:paraId="00BED57B"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8,8%</w:t>
            </w:r>
          </w:p>
        </w:tc>
      </w:tr>
      <w:tr w:rsidR="00652644" w14:paraId="3088B6F5" w14:textId="77777777">
        <w:trPr>
          <w:trHeight w:val="273"/>
        </w:trPr>
        <w:tc>
          <w:tcPr>
            <w:tcW w:w="2263" w:type="dxa"/>
            <w:tcBorders>
              <w:left w:val="single" w:sz="4" w:space="0" w:color="FFFFFF"/>
            </w:tcBorders>
            <w:shd w:val="clear" w:color="auto" w:fill="4472C4"/>
            <w:vAlign w:val="bottom"/>
          </w:tcPr>
          <w:p w14:paraId="77AA1765"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Comunitat Valenciana</w:t>
            </w:r>
          </w:p>
        </w:tc>
        <w:tc>
          <w:tcPr>
            <w:tcW w:w="1985" w:type="dxa"/>
            <w:shd w:val="clear" w:color="auto" w:fill="D9E2F3"/>
            <w:vAlign w:val="bottom"/>
          </w:tcPr>
          <w:p w14:paraId="535068E0"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559" w:type="dxa"/>
            <w:shd w:val="clear" w:color="auto" w:fill="D9E2F3"/>
            <w:vAlign w:val="bottom"/>
          </w:tcPr>
          <w:p w14:paraId="4ED44040"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701" w:type="dxa"/>
            <w:shd w:val="clear" w:color="auto" w:fill="D9E2F3"/>
            <w:vAlign w:val="bottom"/>
          </w:tcPr>
          <w:p w14:paraId="3FB1C026"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7,1%</w:t>
            </w:r>
          </w:p>
        </w:tc>
        <w:tc>
          <w:tcPr>
            <w:tcW w:w="1511" w:type="dxa"/>
            <w:shd w:val="clear" w:color="auto" w:fill="D9E2F3"/>
            <w:vAlign w:val="bottom"/>
          </w:tcPr>
          <w:p w14:paraId="21255709"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8,2%</w:t>
            </w:r>
          </w:p>
        </w:tc>
      </w:tr>
      <w:tr w:rsidR="00652644" w14:paraId="6525F940" w14:textId="77777777">
        <w:trPr>
          <w:trHeight w:val="288"/>
        </w:trPr>
        <w:tc>
          <w:tcPr>
            <w:tcW w:w="2263" w:type="dxa"/>
            <w:tcBorders>
              <w:left w:val="single" w:sz="4" w:space="0" w:color="FFFFFF"/>
            </w:tcBorders>
            <w:shd w:val="clear" w:color="auto" w:fill="4472C4"/>
            <w:vAlign w:val="bottom"/>
          </w:tcPr>
          <w:p w14:paraId="07DFA1CF"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Cantabria</w:t>
            </w:r>
          </w:p>
        </w:tc>
        <w:tc>
          <w:tcPr>
            <w:tcW w:w="1985" w:type="dxa"/>
            <w:shd w:val="clear" w:color="auto" w:fill="B4C6E7"/>
            <w:vAlign w:val="bottom"/>
          </w:tcPr>
          <w:p w14:paraId="294F3CA5"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559" w:type="dxa"/>
            <w:shd w:val="clear" w:color="auto" w:fill="B4C6E7"/>
            <w:vAlign w:val="bottom"/>
          </w:tcPr>
          <w:p w14:paraId="5FD6537E"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701" w:type="dxa"/>
            <w:shd w:val="clear" w:color="auto" w:fill="B4C6E7"/>
            <w:vAlign w:val="bottom"/>
          </w:tcPr>
          <w:p w14:paraId="3C4DE28A"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6,6%</w:t>
            </w:r>
          </w:p>
        </w:tc>
        <w:tc>
          <w:tcPr>
            <w:tcW w:w="1511" w:type="dxa"/>
            <w:shd w:val="clear" w:color="auto" w:fill="B4C6E7"/>
            <w:vAlign w:val="bottom"/>
          </w:tcPr>
          <w:p w14:paraId="12F892D7" w14:textId="77777777" w:rsidR="0065264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7,3%</w:t>
            </w:r>
          </w:p>
        </w:tc>
      </w:tr>
      <w:tr w:rsidR="00652644" w14:paraId="4C113B83" w14:textId="77777777">
        <w:trPr>
          <w:trHeight w:val="273"/>
        </w:trPr>
        <w:tc>
          <w:tcPr>
            <w:tcW w:w="2263" w:type="dxa"/>
            <w:tcBorders>
              <w:left w:val="single" w:sz="4" w:space="0" w:color="FFFFFF"/>
            </w:tcBorders>
            <w:shd w:val="clear" w:color="auto" w:fill="4472C4"/>
            <w:vAlign w:val="bottom"/>
          </w:tcPr>
          <w:p w14:paraId="7CD80076"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Navarra</w:t>
            </w:r>
          </w:p>
        </w:tc>
        <w:tc>
          <w:tcPr>
            <w:tcW w:w="1985" w:type="dxa"/>
            <w:shd w:val="clear" w:color="auto" w:fill="D9E2F3"/>
            <w:vAlign w:val="bottom"/>
          </w:tcPr>
          <w:p w14:paraId="0596A482"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559" w:type="dxa"/>
            <w:shd w:val="clear" w:color="auto" w:fill="D9E2F3"/>
            <w:vAlign w:val="bottom"/>
          </w:tcPr>
          <w:p w14:paraId="7F31C998"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701" w:type="dxa"/>
            <w:shd w:val="clear" w:color="auto" w:fill="D9E2F3"/>
            <w:vAlign w:val="bottom"/>
          </w:tcPr>
          <w:p w14:paraId="340FB92A"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7,4%</w:t>
            </w:r>
          </w:p>
        </w:tc>
        <w:tc>
          <w:tcPr>
            <w:tcW w:w="1511" w:type="dxa"/>
            <w:shd w:val="clear" w:color="auto" w:fill="D9E2F3"/>
            <w:vAlign w:val="bottom"/>
          </w:tcPr>
          <w:p w14:paraId="5A3F5E4B"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652644" w14:paraId="46DE1C26" w14:textId="77777777">
        <w:trPr>
          <w:trHeight w:val="273"/>
        </w:trPr>
        <w:tc>
          <w:tcPr>
            <w:tcW w:w="2263" w:type="dxa"/>
            <w:tcBorders>
              <w:left w:val="single" w:sz="4" w:space="0" w:color="FFFFFF"/>
            </w:tcBorders>
            <w:shd w:val="clear" w:color="auto" w:fill="4472C4"/>
            <w:vAlign w:val="bottom"/>
          </w:tcPr>
          <w:p w14:paraId="4C24E961"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Canarias</w:t>
            </w:r>
          </w:p>
        </w:tc>
        <w:tc>
          <w:tcPr>
            <w:tcW w:w="1985" w:type="dxa"/>
            <w:shd w:val="clear" w:color="auto" w:fill="B4C6E7"/>
            <w:vAlign w:val="bottom"/>
          </w:tcPr>
          <w:p w14:paraId="3F1A1172"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559" w:type="dxa"/>
            <w:shd w:val="clear" w:color="auto" w:fill="B4C6E7"/>
            <w:vAlign w:val="bottom"/>
          </w:tcPr>
          <w:p w14:paraId="661C08C5"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1701" w:type="dxa"/>
            <w:shd w:val="clear" w:color="auto" w:fill="B4C6E7"/>
            <w:vAlign w:val="bottom"/>
          </w:tcPr>
          <w:p w14:paraId="5C895CE9"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6,5%</w:t>
            </w:r>
          </w:p>
        </w:tc>
        <w:tc>
          <w:tcPr>
            <w:tcW w:w="1511" w:type="dxa"/>
            <w:shd w:val="clear" w:color="auto" w:fill="B4C6E7"/>
            <w:vAlign w:val="bottom"/>
          </w:tcPr>
          <w:p w14:paraId="1CBE2D57" w14:textId="77777777" w:rsidR="0065264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7,2%</w:t>
            </w:r>
          </w:p>
        </w:tc>
      </w:tr>
      <w:tr w:rsidR="00652644" w14:paraId="2FEE0CCF" w14:textId="77777777">
        <w:trPr>
          <w:trHeight w:val="273"/>
        </w:trPr>
        <w:tc>
          <w:tcPr>
            <w:tcW w:w="2263" w:type="dxa"/>
            <w:tcBorders>
              <w:left w:val="single" w:sz="4" w:space="0" w:color="FFFFFF"/>
            </w:tcBorders>
            <w:shd w:val="clear" w:color="auto" w:fill="4472C4"/>
            <w:vAlign w:val="bottom"/>
          </w:tcPr>
          <w:p w14:paraId="51EACAD3"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La Rioja</w:t>
            </w:r>
          </w:p>
        </w:tc>
        <w:tc>
          <w:tcPr>
            <w:tcW w:w="1985" w:type="dxa"/>
            <w:shd w:val="clear" w:color="auto" w:fill="D9E2F3"/>
            <w:vAlign w:val="bottom"/>
          </w:tcPr>
          <w:p w14:paraId="3773E582"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559" w:type="dxa"/>
            <w:shd w:val="clear" w:color="auto" w:fill="D9E2F3"/>
            <w:vAlign w:val="bottom"/>
          </w:tcPr>
          <w:p w14:paraId="7438726E"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701" w:type="dxa"/>
            <w:shd w:val="clear" w:color="auto" w:fill="D9E2F3"/>
            <w:vAlign w:val="bottom"/>
          </w:tcPr>
          <w:p w14:paraId="348AEDBB"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6,3%</w:t>
            </w:r>
          </w:p>
        </w:tc>
        <w:tc>
          <w:tcPr>
            <w:tcW w:w="1511" w:type="dxa"/>
            <w:shd w:val="clear" w:color="auto" w:fill="D9E2F3"/>
            <w:vAlign w:val="bottom"/>
          </w:tcPr>
          <w:p w14:paraId="50CEFDDE" w14:textId="77777777" w:rsidR="0065264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7,0%</w:t>
            </w:r>
          </w:p>
        </w:tc>
      </w:tr>
      <w:tr w:rsidR="00652644" w14:paraId="62D99E6B" w14:textId="77777777">
        <w:trPr>
          <w:trHeight w:val="273"/>
        </w:trPr>
        <w:tc>
          <w:tcPr>
            <w:tcW w:w="2263" w:type="dxa"/>
            <w:tcBorders>
              <w:left w:val="single" w:sz="4" w:space="0" w:color="FFFFFF"/>
            </w:tcBorders>
            <w:shd w:val="clear" w:color="auto" w:fill="4472C4"/>
            <w:vAlign w:val="bottom"/>
          </w:tcPr>
          <w:p w14:paraId="5A6E2EE6"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Castilla-La Mancha</w:t>
            </w:r>
          </w:p>
        </w:tc>
        <w:tc>
          <w:tcPr>
            <w:tcW w:w="1985" w:type="dxa"/>
            <w:shd w:val="clear" w:color="auto" w:fill="B4C6E7"/>
            <w:vAlign w:val="bottom"/>
          </w:tcPr>
          <w:p w14:paraId="500A1541"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559" w:type="dxa"/>
            <w:shd w:val="clear" w:color="auto" w:fill="B4C6E7"/>
            <w:vAlign w:val="bottom"/>
          </w:tcPr>
          <w:p w14:paraId="2DDE4770"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701" w:type="dxa"/>
            <w:shd w:val="clear" w:color="auto" w:fill="B4C6E7"/>
            <w:vAlign w:val="bottom"/>
          </w:tcPr>
          <w:p w14:paraId="436771F3"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6,5%</w:t>
            </w:r>
          </w:p>
        </w:tc>
        <w:tc>
          <w:tcPr>
            <w:tcW w:w="1511" w:type="dxa"/>
            <w:shd w:val="clear" w:color="auto" w:fill="B4C6E7"/>
            <w:vAlign w:val="bottom"/>
          </w:tcPr>
          <w:p w14:paraId="728B3E15" w14:textId="77777777" w:rsidR="0065264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7,0%</w:t>
            </w:r>
          </w:p>
        </w:tc>
      </w:tr>
      <w:tr w:rsidR="00652644" w14:paraId="20D88467" w14:textId="77777777">
        <w:trPr>
          <w:trHeight w:val="273"/>
        </w:trPr>
        <w:tc>
          <w:tcPr>
            <w:tcW w:w="2263" w:type="dxa"/>
            <w:tcBorders>
              <w:left w:val="single" w:sz="4" w:space="0" w:color="FFFFFF"/>
            </w:tcBorders>
            <w:shd w:val="clear" w:color="auto" w:fill="FFC000"/>
            <w:vAlign w:val="bottom"/>
          </w:tcPr>
          <w:p w14:paraId="519F5333" w14:textId="77777777" w:rsidR="00652644" w:rsidRDefault="00000000">
            <w:pPr>
              <w:rPr>
                <w:rFonts w:ascii="Open Sans" w:eastAsia="Open Sans" w:hAnsi="Open Sans" w:cs="Open Sans"/>
                <w:sz w:val="22"/>
                <w:szCs w:val="22"/>
              </w:rPr>
            </w:pPr>
            <w:r>
              <w:rPr>
                <w:rFonts w:ascii="Open Sans" w:eastAsia="Open Sans" w:hAnsi="Open Sans" w:cs="Open Sans"/>
                <w:b/>
                <w:sz w:val="22"/>
                <w:szCs w:val="22"/>
              </w:rPr>
              <w:t>España</w:t>
            </w:r>
          </w:p>
        </w:tc>
        <w:tc>
          <w:tcPr>
            <w:tcW w:w="1985" w:type="dxa"/>
            <w:shd w:val="clear" w:color="auto" w:fill="FFC000"/>
            <w:vAlign w:val="bottom"/>
          </w:tcPr>
          <w:p w14:paraId="6847ADAE" w14:textId="77777777" w:rsidR="00652644" w:rsidRDefault="00000000">
            <w:pPr>
              <w:jc w:val="center"/>
              <w:rPr>
                <w:rFonts w:ascii="Open Sans" w:eastAsia="Open Sans" w:hAnsi="Open Sans" w:cs="Open Sans"/>
                <w:sz w:val="22"/>
                <w:szCs w:val="22"/>
              </w:rPr>
            </w:pPr>
            <w:r>
              <w:rPr>
                <w:rFonts w:ascii="Open Sans" w:eastAsia="Open Sans" w:hAnsi="Open Sans" w:cs="Open Sans"/>
                <w:b/>
                <w:sz w:val="22"/>
                <w:szCs w:val="22"/>
              </w:rPr>
              <w:t>4,5%</w:t>
            </w:r>
          </w:p>
        </w:tc>
        <w:tc>
          <w:tcPr>
            <w:tcW w:w="1559" w:type="dxa"/>
            <w:shd w:val="clear" w:color="auto" w:fill="FFC000"/>
            <w:vAlign w:val="bottom"/>
          </w:tcPr>
          <w:p w14:paraId="20DEEA78" w14:textId="77777777" w:rsidR="00652644" w:rsidRDefault="00000000">
            <w:pPr>
              <w:jc w:val="center"/>
              <w:rPr>
                <w:rFonts w:ascii="Open Sans" w:eastAsia="Open Sans" w:hAnsi="Open Sans" w:cs="Open Sans"/>
                <w:sz w:val="22"/>
                <w:szCs w:val="22"/>
              </w:rPr>
            </w:pPr>
            <w:r>
              <w:rPr>
                <w:rFonts w:ascii="Open Sans" w:eastAsia="Open Sans" w:hAnsi="Open Sans" w:cs="Open Sans"/>
                <w:b/>
                <w:sz w:val="22"/>
                <w:szCs w:val="22"/>
              </w:rPr>
              <w:t>5,9%</w:t>
            </w:r>
          </w:p>
        </w:tc>
        <w:tc>
          <w:tcPr>
            <w:tcW w:w="1701" w:type="dxa"/>
            <w:shd w:val="clear" w:color="auto" w:fill="FFC000"/>
            <w:vAlign w:val="bottom"/>
          </w:tcPr>
          <w:p w14:paraId="22D5B38B" w14:textId="77777777" w:rsidR="00652644" w:rsidRDefault="00000000">
            <w:pPr>
              <w:jc w:val="center"/>
              <w:rPr>
                <w:rFonts w:ascii="Open Sans" w:eastAsia="Open Sans" w:hAnsi="Open Sans" w:cs="Open Sans"/>
                <w:b/>
                <w:sz w:val="22"/>
                <w:szCs w:val="22"/>
              </w:rPr>
            </w:pPr>
            <w:r>
              <w:rPr>
                <w:rFonts w:ascii="Open Sans" w:eastAsia="Open Sans" w:hAnsi="Open Sans" w:cs="Open Sans"/>
                <w:b/>
                <w:sz w:val="22"/>
                <w:szCs w:val="22"/>
              </w:rPr>
              <w:t>6,7%</w:t>
            </w:r>
          </w:p>
        </w:tc>
        <w:tc>
          <w:tcPr>
            <w:tcW w:w="1511" w:type="dxa"/>
            <w:shd w:val="clear" w:color="auto" w:fill="FFC000"/>
            <w:vAlign w:val="bottom"/>
          </w:tcPr>
          <w:p w14:paraId="7B55ACF1" w14:textId="77777777" w:rsidR="00652644" w:rsidRDefault="00000000">
            <w:pPr>
              <w:jc w:val="center"/>
              <w:rPr>
                <w:rFonts w:ascii="Open Sans" w:eastAsia="Open Sans" w:hAnsi="Open Sans" w:cs="Open Sans"/>
                <w:sz w:val="22"/>
                <w:szCs w:val="22"/>
              </w:rPr>
            </w:pPr>
            <w:r>
              <w:rPr>
                <w:rFonts w:ascii="Open Sans" w:eastAsia="Open Sans" w:hAnsi="Open Sans" w:cs="Open Sans"/>
                <w:b/>
                <w:sz w:val="22"/>
                <w:szCs w:val="22"/>
              </w:rPr>
              <w:t>6,9%</w:t>
            </w:r>
          </w:p>
        </w:tc>
      </w:tr>
      <w:tr w:rsidR="00652644" w14:paraId="15DE75F7" w14:textId="77777777">
        <w:trPr>
          <w:trHeight w:val="288"/>
        </w:trPr>
        <w:tc>
          <w:tcPr>
            <w:tcW w:w="2263" w:type="dxa"/>
            <w:tcBorders>
              <w:left w:val="single" w:sz="4" w:space="0" w:color="FFFFFF"/>
            </w:tcBorders>
            <w:shd w:val="clear" w:color="auto" w:fill="4472C4"/>
            <w:vAlign w:val="bottom"/>
          </w:tcPr>
          <w:p w14:paraId="2D5C17CB"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Cataluña</w:t>
            </w:r>
          </w:p>
        </w:tc>
        <w:tc>
          <w:tcPr>
            <w:tcW w:w="1985" w:type="dxa"/>
            <w:shd w:val="clear" w:color="auto" w:fill="B4C6E7"/>
            <w:vAlign w:val="bottom"/>
          </w:tcPr>
          <w:p w14:paraId="41099F50"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559" w:type="dxa"/>
            <w:shd w:val="clear" w:color="auto" w:fill="B4C6E7"/>
            <w:vAlign w:val="bottom"/>
          </w:tcPr>
          <w:p w14:paraId="29318E5D"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6,9%</w:t>
            </w:r>
          </w:p>
        </w:tc>
        <w:tc>
          <w:tcPr>
            <w:tcW w:w="1701" w:type="dxa"/>
            <w:shd w:val="clear" w:color="auto" w:fill="B4C6E7"/>
            <w:vAlign w:val="bottom"/>
          </w:tcPr>
          <w:p w14:paraId="6D2F5881"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6,6%</w:t>
            </w:r>
          </w:p>
        </w:tc>
        <w:tc>
          <w:tcPr>
            <w:tcW w:w="1511" w:type="dxa"/>
            <w:shd w:val="clear" w:color="auto" w:fill="B4C6E7"/>
            <w:vAlign w:val="bottom"/>
          </w:tcPr>
          <w:p w14:paraId="4C633B15"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652644" w14:paraId="20C06CE0" w14:textId="77777777">
        <w:trPr>
          <w:trHeight w:val="273"/>
        </w:trPr>
        <w:tc>
          <w:tcPr>
            <w:tcW w:w="2263" w:type="dxa"/>
            <w:tcBorders>
              <w:left w:val="single" w:sz="4" w:space="0" w:color="FFFFFF"/>
            </w:tcBorders>
            <w:shd w:val="clear" w:color="auto" w:fill="4472C4"/>
            <w:vAlign w:val="bottom"/>
          </w:tcPr>
          <w:p w14:paraId="12603656"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Castilla y León</w:t>
            </w:r>
          </w:p>
        </w:tc>
        <w:tc>
          <w:tcPr>
            <w:tcW w:w="1985" w:type="dxa"/>
            <w:shd w:val="clear" w:color="auto" w:fill="D9E2F3"/>
            <w:vAlign w:val="bottom"/>
          </w:tcPr>
          <w:p w14:paraId="10113E2A"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559" w:type="dxa"/>
            <w:shd w:val="clear" w:color="auto" w:fill="D9E2F3"/>
            <w:vAlign w:val="bottom"/>
          </w:tcPr>
          <w:p w14:paraId="008A783A"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701" w:type="dxa"/>
            <w:shd w:val="clear" w:color="auto" w:fill="D9E2F3"/>
            <w:vAlign w:val="bottom"/>
          </w:tcPr>
          <w:p w14:paraId="5B32E791"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6,2%</w:t>
            </w:r>
          </w:p>
        </w:tc>
        <w:tc>
          <w:tcPr>
            <w:tcW w:w="1511" w:type="dxa"/>
            <w:shd w:val="clear" w:color="auto" w:fill="D9E2F3"/>
            <w:vAlign w:val="bottom"/>
          </w:tcPr>
          <w:p w14:paraId="4AEA7CBE" w14:textId="77777777" w:rsidR="0065264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6,7%</w:t>
            </w:r>
          </w:p>
        </w:tc>
      </w:tr>
      <w:tr w:rsidR="00652644" w14:paraId="78A938B5" w14:textId="77777777">
        <w:trPr>
          <w:trHeight w:val="273"/>
        </w:trPr>
        <w:tc>
          <w:tcPr>
            <w:tcW w:w="2263" w:type="dxa"/>
            <w:tcBorders>
              <w:left w:val="single" w:sz="4" w:space="0" w:color="FFFFFF"/>
            </w:tcBorders>
            <w:shd w:val="clear" w:color="auto" w:fill="4472C4"/>
            <w:vAlign w:val="bottom"/>
          </w:tcPr>
          <w:p w14:paraId="111D9DC7"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Aragón</w:t>
            </w:r>
          </w:p>
        </w:tc>
        <w:tc>
          <w:tcPr>
            <w:tcW w:w="1985" w:type="dxa"/>
            <w:shd w:val="clear" w:color="auto" w:fill="B4C6E7"/>
            <w:vAlign w:val="bottom"/>
          </w:tcPr>
          <w:p w14:paraId="383A8AF3"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559" w:type="dxa"/>
            <w:shd w:val="clear" w:color="auto" w:fill="B4C6E7"/>
            <w:vAlign w:val="bottom"/>
          </w:tcPr>
          <w:p w14:paraId="38F153D6"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701" w:type="dxa"/>
            <w:shd w:val="clear" w:color="auto" w:fill="B4C6E7"/>
            <w:vAlign w:val="bottom"/>
          </w:tcPr>
          <w:p w14:paraId="1D29FE21"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6,5%</w:t>
            </w:r>
          </w:p>
        </w:tc>
        <w:tc>
          <w:tcPr>
            <w:tcW w:w="1511" w:type="dxa"/>
            <w:shd w:val="clear" w:color="auto" w:fill="B4C6E7"/>
            <w:vAlign w:val="bottom"/>
          </w:tcPr>
          <w:p w14:paraId="6F06F31B"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652644" w14:paraId="518AF4B1" w14:textId="77777777">
        <w:trPr>
          <w:trHeight w:val="273"/>
        </w:trPr>
        <w:tc>
          <w:tcPr>
            <w:tcW w:w="2263" w:type="dxa"/>
            <w:tcBorders>
              <w:left w:val="single" w:sz="4" w:space="0" w:color="FFFFFF"/>
            </w:tcBorders>
            <w:shd w:val="clear" w:color="auto" w:fill="4472C4"/>
            <w:vAlign w:val="bottom"/>
          </w:tcPr>
          <w:p w14:paraId="0EF17929"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Asturias</w:t>
            </w:r>
          </w:p>
        </w:tc>
        <w:tc>
          <w:tcPr>
            <w:tcW w:w="1985" w:type="dxa"/>
            <w:shd w:val="clear" w:color="auto" w:fill="D9E2F3"/>
            <w:vAlign w:val="bottom"/>
          </w:tcPr>
          <w:p w14:paraId="60C1C1AE"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559" w:type="dxa"/>
            <w:shd w:val="clear" w:color="auto" w:fill="D9E2F3"/>
            <w:vAlign w:val="bottom"/>
          </w:tcPr>
          <w:p w14:paraId="04301B5D"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701" w:type="dxa"/>
            <w:shd w:val="clear" w:color="auto" w:fill="D9E2F3"/>
            <w:vAlign w:val="bottom"/>
          </w:tcPr>
          <w:p w14:paraId="44966885"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6,2%</w:t>
            </w:r>
          </w:p>
        </w:tc>
        <w:tc>
          <w:tcPr>
            <w:tcW w:w="1511" w:type="dxa"/>
            <w:shd w:val="clear" w:color="auto" w:fill="D9E2F3"/>
            <w:vAlign w:val="bottom"/>
          </w:tcPr>
          <w:p w14:paraId="593496D3" w14:textId="77777777" w:rsidR="0065264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6,5%</w:t>
            </w:r>
          </w:p>
        </w:tc>
      </w:tr>
      <w:tr w:rsidR="00652644" w14:paraId="782F76D7" w14:textId="77777777">
        <w:trPr>
          <w:trHeight w:val="273"/>
        </w:trPr>
        <w:tc>
          <w:tcPr>
            <w:tcW w:w="2263" w:type="dxa"/>
            <w:tcBorders>
              <w:left w:val="single" w:sz="4" w:space="0" w:color="FFFFFF"/>
            </w:tcBorders>
            <w:shd w:val="clear" w:color="auto" w:fill="4472C4"/>
            <w:vAlign w:val="bottom"/>
          </w:tcPr>
          <w:p w14:paraId="5ADA148C"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Extremadura</w:t>
            </w:r>
          </w:p>
        </w:tc>
        <w:tc>
          <w:tcPr>
            <w:tcW w:w="1985" w:type="dxa"/>
            <w:shd w:val="clear" w:color="auto" w:fill="B4C6E7"/>
            <w:vAlign w:val="bottom"/>
          </w:tcPr>
          <w:p w14:paraId="7B532E6D"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559" w:type="dxa"/>
            <w:shd w:val="clear" w:color="auto" w:fill="B4C6E7"/>
            <w:vAlign w:val="bottom"/>
          </w:tcPr>
          <w:p w14:paraId="4128F732"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701" w:type="dxa"/>
            <w:shd w:val="clear" w:color="auto" w:fill="B4C6E7"/>
            <w:vAlign w:val="bottom"/>
          </w:tcPr>
          <w:p w14:paraId="5BA00CB5"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5,7%</w:t>
            </w:r>
          </w:p>
        </w:tc>
        <w:tc>
          <w:tcPr>
            <w:tcW w:w="1511" w:type="dxa"/>
            <w:shd w:val="clear" w:color="auto" w:fill="B4C6E7"/>
            <w:vAlign w:val="bottom"/>
          </w:tcPr>
          <w:p w14:paraId="261469E7" w14:textId="77777777" w:rsidR="0065264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6,4%</w:t>
            </w:r>
          </w:p>
        </w:tc>
      </w:tr>
      <w:tr w:rsidR="00652644" w14:paraId="599D2909" w14:textId="77777777">
        <w:trPr>
          <w:trHeight w:val="273"/>
        </w:trPr>
        <w:tc>
          <w:tcPr>
            <w:tcW w:w="2263" w:type="dxa"/>
            <w:tcBorders>
              <w:left w:val="single" w:sz="4" w:space="0" w:color="FFFFFF"/>
            </w:tcBorders>
            <w:shd w:val="clear" w:color="auto" w:fill="4472C4"/>
            <w:vAlign w:val="bottom"/>
          </w:tcPr>
          <w:p w14:paraId="4FEF1196"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Andalucía</w:t>
            </w:r>
          </w:p>
        </w:tc>
        <w:tc>
          <w:tcPr>
            <w:tcW w:w="1985" w:type="dxa"/>
            <w:shd w:val="clear" w:color="auto" w:fill="D9E2F3"/>
            <w:vAlign w:val="bottom"/>
          </w:tcPr>
          <w:p w14:paraId="21828E85"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559" w:type="dxa"/>
            <w:shd w:val="clear" w:color="auto" w:fill="D9E2F3"/>
            <w:vAlign w:val="bottom"/>
          </w:tcPr>
          <w:p w14:paraId="28A254CB"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701" w:type="dxa"/>
            <w:shd w:val="clear" w:color="auto" w:fill="D9E2F3"/>
            <w:vAlign w:val="bottom"/>
          </w:tcPr>
          <w:p w14:paraId="769BA65E"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6,1%</w:t>
            </w:r>
          </w:p>
        </w:tc>
        <w:tc>
          <w:tcPr>
            <w:tcW w:w="1511" w:type="dxa"/>
            <w:shd w:val="clear" w:color="auto" w:fill="D9E2F3"/>
            <w:vAlign w:val="bottom"/>
          </w:tcPr>
          <w:p w14:paraId="4C4A4DF2"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652644" w14:paraId="7FFF86FB" w14:textId="77777777">
        <w:trPr>
          <w:trHeight w:val="288"/>
        </w:trPr>
        <w:tc>
          <w:tcPr>
            <w:tcW w:w="2263" w:type="dxa"/>
            <w:tcBorders>
              <w:left w:val="single" w:sz="4" w:space="0" w:color="FFFFFF"/>
            </w:tcBorders>
            <w:shd w:val="clear" w:color="auto" w:fill="4472C4"/>
            <w:vAlign w:val="bottom"/>
          </w:tcPr>
          <w:p w14:paraId="7D3C1C3A"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Galicia</w:t>
            </w:r>
          </w:p>
        </w:tc>
        <w:tc>
          <w:tcPr>
            <w:tcW w:w="1985" w:type="dxa"/>
            <w:shd w:val="clear" w:color="auto" w:fill="B4C6E7"/>
            <w:vAlign w:val="bottom"/>
          </w:tcPr>
          <w:p w14:paraId="0613D4BC"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559" w:type="dxa"/>
            <w:shd w:val="clear" w:color="auto" w:fill="B4C6E7"/>
            <w:vAlign w:val="bottom"/>
          </w:tcPr>
          <w:p w14:paraId="41D4E6EB"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701" w:type="dxa"/>
            <w:shd w:val="clear" w:color="auto" w:fill="B4C6E7"/>
            <w:vAlign w:val="bottom"/>
          </w:tcPr>
          <w:p w14:paraId="1FABAF2C"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5,5%</w:t>
            </w:r>
          </w:p>
        </w:tc>
        <w:tc>
          <w:tcPr>
            <w:tcW w:w="1511" w:type="dxa"/>
            <w:shd w:val="clear" w:color="auto" w:fill="B4C6E7"/>
            <w:vAlign w:val="bottom"/>
          </w:tcPr>
          <w:p w14:paraId="186BF0BF" w14:textId="77777777" w:rsidR="0065264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5,9%</w:t>
            </w:r>
          </w:p>
        </w:tc>
      </w:tr>
      <w:tr w:rsidR="00652644" w14:paraId="57017FB1" w14:textId="77777777">
        <w:trPr>
          <w:trHeight w:val="273"/>
        </w:trPr>
        <w:tc>
          <w:tcPr>
            <w:tcW w:w="2263" w:type="dxa"/>
            <w:tcBorders>
              <w:left w:val="single" w:sz="4" w:space="0" w:color="FFFFFF"/>
            </w:tcBorders>
            <w:shd w:val="clear" w:color="auto" w:fill="4472C4"/>
            <w:vAlign w:val="bottom"/>
          </w:tcPr>
          <w:p w14:paraId="08EA42D9"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País Vasco</w:t>
            </w:r>
          </w:p>
        </w:tc>
        <w:tc>
          <w:tcPr>
            <w:tcW w:w="1985" w:type="dxa"/>
            <w:shd w:val="clear" w:color="auto" w:fill="D9E2F3"/>
            <w:vAlign w:val="bottom"/>
          </w:tcPr>
          <w:p w14:paraId="1E133575"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559" w:type="dxa"/>
            <w:shd w:val="clear" w:color="auto" w:fill="D9E2F3"/>
            <w:vAlign w:val="bottom"/>
          </w:tcPr>
          <w:p w14:paraId="61F68CF0"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701" w:type="dxa"/>
            <w:shd w:val="clear" w:color="auto" w:fill="D9E2F3"/>
            <w:vAlign w:val="bottom"/>
          </w:tcPr>
          <w:p w14:paraId="4A89BF4F"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5,5%</w:t>
            </w:r>
          </w:p>
        </w:tc>
        <w:tc>
          <w:tcPr>
            <w:tcW w:w="1511" w:type="dxa"/>
            <w:shd w:val="clear" w:color="auto" w:fill="D9E2F3"/>
            <w:vAlign w:val="bottom"/>
          </w:tcPr>
          <w:p w14:paraId="217D17A9" w14:textId="77777777" w:rsidR="0065264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5,5%</w:t>
            </w:r>
          </w:p>
        </w:tc>
      </w:tr>
      <w:tr w:rsidR="00652644" w14:paraId="232B3E98" w14:textId="77777777">
        <w:trPr>
          <w:trHeight w:val="273"/>
        </w:trPr>
        <w:tc>
          <w:tcPr>
            <w:tcW w:w="2263" w:type="dxa"/>
            <w:tcBorders>
              <w:left w:val="single" w:sz="4" w:space="0" w:color="FFFFFF"/>
            </w:tcBorders>
            <w:shd w:val="clear" w:color="auto" w:fill="4472C4"/>
            <w:vAlign w:val="bottom"/>
          </w:tcPr>
          <w:p w14:paraId="6F8C8636"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Madrid</w:t>
            </w:r>
          </w:p>
        </w:tc>
        <w:tc>
          <w:tcPr>
            <w:tcW w:w="1985" w:type="dxa"/>
            <w:shd w:val="clear" w:color="auto" w:fill="B4C6E7"/>
            <w:vAlign w:val="bottom"/>
          </w:tcPr>
          <w:p w14:paraId="7D05A872"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559" w:type="dxa"/>
            <w:shd w:val="clear" w:color="auto" w:fill="B4C6E7"/>
            <w:vAlign w:val="bottom"/>
          </w:tcPr>
          <w:p w14:paraId="5D1C0DBB"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701" w:type="dxa"/>
            <w:shd w:val="clear" w:color="auto" w:fill="B4C6E7"/>
            <w:vAlign w:val="bottom"/>
          </w:tcPr>
          <w:p w14:paraId="1847A391"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5,3%</w:t>
            </w:r>
          </w:p>
        </w:tc>
        <w:tc>
          <w:tcPr>
            <w:tcW w:w="1511" w:type="dxa"/>
            <w:shd w:val="clear" w:color="auto" w:fill="B4C6E7"/>
            <w:vAlign w:val="bottom"/>
          </w:tcPr>
          <w:p w14:paraId="0F5AA2FB" w14:textId="77777777" w:rsidR="0065264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5,5%</w:t>
            </w:r>
          </w:p>
        </w:tc>
      </w:tr>
      <w:tr w:rsidR="00652644" w14:paraId="67102BD5" w14:textId="77777777">
        <w:trPr>
          <w:trHeight w:val="273"/>
        </w:trPr>
        <w:tc>
          <w:tcPr>
            <w:tcW w:w="2263" w:type="dxa"/>
            <w:tcBorders>
              <w:left w:val="single" w:sz="4" w:space="0" w:color="FFFFFF"/>
              <w:bottom w:val="single" w:sz="4" w:space="0" w:color="FFFFFF"/>
            </w:tcBorders>
            <w:shd w:val="clear" w:color="auto" w:fill="4472C4"/>
            <w:vAlign w:val="bottom"/>
          </w:tcPr>
          <w:p w14:paraId="4D0D04AA"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Baleares</w:t>
            </w:r>
          </w:p>
        </w:tc>
        <w:tc>
          <w:tcPr>
            <w:tcW w:w="1985" w:type="dxa"/>
            <w:shd w:val="clear" w:color="auto" w:fill="D9E2F3"/>
            <w:vAlign w:val="bottom"/>
          </w:tcPr>
          <w:p w14:paraId="0778D77C"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4,3%</w:t>
            </w:r>
          </w:p>
        </w:tc>
        <w:tc>
          <w:tcPr>
            <w:tcW w:w="1559" w:type="dxa"/>
            <w:shd w:val="clear" w:color="auto" w:fill="D9E2F3"/>
            <w:vAlign w:val="bottom"/>
          </w:tcPr>
          <w:p w14:paraId="41EF6ED6"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6,7%</w:t>
            </w:r>
          </w:p>
        </w:tc>
        <w:tc>
          <w:tcPr>
            <w:tcW w:w="1701" w:type="dxa"/>
            <w:shd w:val="clear" w:color="auto" w:fill="D9E2F3"/>
            <w:vAlign w:val="bottom"/>
          </w:tcPr>
          <w:p w14:paraId="197BE9D3"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4,8%</w:t>
            </w:r>
          </w:p>
        </w:tc>
        <w:tc>
          <w:tcPr>
            <w:tcW w:w="1511" w:type="dxa"/>
            <w:shd w:val="clear" w:color="auto" w:fill="D9E2F3"/>
            <w:vAlign w:val="bottom"/>
          </w:tcPr>
          <w:p w14:paraId="41C61493" w14:textId="77777777" w:rsidR="00652644" w:rsidRDefault="00000000">
            <w:pPr>
              <w:jc w:val="center"/>
              <w:rPr>
                <w:rFonts w:ascii="Open Sans" w:eastAsia="Open Sans" w:hAnsi="Open Sans" w:cs="Open Sans"/>
                <w:color w:val="9C0006"/>
                <w:sz w:val="22"/>
                <w:szCs w:val="22"/>
              </w:rPr>
            </w:pPr>
            <w:r>
              <w:rPr>
                <w:rFonts w:ascii="Open Sans" w:eastAsia="Open Sans" w:hAnsi="Open Sans" w:cs="Open Sans"/>
                <w:color w:val="000000"/>
                <w:sz w:val="22"/>
                <w:szCs w:val="22"/>
              </w:rPr>
              <w:t>5,0%</w:t>
            </w:r>
          </w:p>
        </w:tc>
      </w:tr>
    </w:tbl>
    <w:p w14:paraId="726E81D0"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t>Tabla 2. Rentabilidad de la vivienda por provincias en junio de 2012, 2017, 2021 y 2022</w:t>
      </w:r>
    </w:p>
    <w:tbl>
      <w:tblPr>
        <w:tblStyle w:val="a0"/>
        <w:tblW w:w="912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63"/>
        <w:gridCol w:w="1701"/>
        <w:gridCol w:w="1701"/>
        <w:gridCol w:w="1843"/>
        <w:gridCol w:w="1615"/>
      </w:tblGrid>
      <w:tr w:rsidR="00652644" w14:paraId="0D6FE661" w14:textId="77777777" w:rsidTr="00652644">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476F6EF"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Provincia</w:t>
            </w:r>
          </w:p>
        </w:tc>
        <w:tc>
          <w:tcPr>
            <w:tcW w:w="1701" w:type="dxa"/>
            <w:vAlign w:val="center"/>
          </w:tcPr>
          <w:p w14:paraId="32EBF7BB"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218B90A9"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2012</w:t>
            </w:r>
          </w:p>
          <w:p w14:paraId="02396111"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(10 años)</w:t>
            </w:r>
          </w:p>
        </w:tc>
        <w:tc>
          <w:tcPr>
            <w:tcW w:w="1701" w:type="dxa"/>
            <w:vAlign w:val="center"/>
          </w:tcPr>
          <w:p w14:paraId="6E4D6918"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2AC5A619"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2017</w:t>
            </w:r>
          </w:p>
          <w:p w14:paraId="7B81D888"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(5 años)</w:t>
            </w:r>
          </w:p>
        </w:tc>
        <w:tc>
          <w:tcPr>
            <w:tcW w:w="1843" w:type="dxa"/>
            <w:vAlign w:val="center"/>
          </w:tcPr>
          <w:p w14:paraId="3F5CD63D"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6793AD50"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2021</w:t>
            </w:r>
          </w:p>
          <w:p w14:paraId="276CB706"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i/>
                <w:color w:val="000000"/>
                <w:sz w:val="22"/>
                <w:szCs w:val="22"/>
              </w:rPr>
            </w:pPr>
            <w:r>
              <w:rPr>
                <w:rFonts w:ascii="Open Sans" w:eastAsia="Open Sans" w:hAnsi="Open Sans" w:cs="Open Sans"/>
                <w:b w:val="0"/>
                <w:color w:val="000000"/>
                <w:sz w:val="22"/>
                <w:szCs w:val="22"/>
              </w:rPr>
              <w:t>(1 año)</w:t>
            </w:r>
          </w:p>
        </w:tc>
        <w:tc>
          <w:tcPr>
            <w:tcW w:w="1615" w:type="dxa"/>
            <w:vAlign w:val="center"/>
          </w:tcPr>
          <w:p w14:paraId="10B6164F"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Rentabilidad</w:t>
            </w:r>
          </w:p>
          <w:p w14:paraId="34827FDC"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b w:val="0"/>
                <w:color w:val="000000"/>
                <w:sz w:val="22"/>
                <w:szCs w:val="22"/>
              </w:rPr>
              <w:t>2022</w:t>
            </w:r>
          </w:p>
        </w:tc>
      </w:tr>
      <w:tr w:rsidR="00652644" w14:paraId="30622194"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8E5C758"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1701" w:type="dxa"/>
            <w:vAlign w:val="bottom"/>
          </w:tcPr>
          <w:p w14:paraId="421D45F9"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5,1%</w:t>
            </w:r>
          </w:p>
        </w:tc>
        <w:tc>
          <w:tcPr>
            <w:tcW w:w="1701" w:type="dxa"/>
            <w:vAlign w:val="bottom"/>
          </w:tcPr>
          <w:p w14:paraId="78123479"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6,8%</w:t>
            </w:r>
          </w:p>
        </w:tc>
        <w:tc>
          <w:tcPr>
            <w:tcW w:w="1843" w:type="dxa"/>
            <w:vAlign w:val="bottom"/>
          </w:tcPr>
          <w:p w14:paraId="6D74100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9,1%</w:t>
            </w:r>
          </w:p>
        </w:tc>
        <w:tc>
          <w:tcPr>
            <w:tcW w:w="1615" w:type="dxa"/>
            <w:vAlign w:val="bottom"/>
          </w:tcPr>
          <w:p w14:paraId="18989393"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11,1%</w:t>
            </w:r>
          </w:p>
        </w:tc>
      </w:tr>
      <w:tr w:rsidR="00652644" w14:paraId="1A81269A"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FAF06EE"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1701" w:type="dxa"/>
            <w:vAlign w:val="bottom"/>
          </w:tcPr>
          <w:p w14:paraId="38A99BF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701" w:type="dxa"/>
            <w:vAlign w:val="bottom"/>
          </w:tcPr>
          <w:p w14:paraId="5DD16C2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6,3%</w:t>
            </w:r>
          </w:p>
        </w:tc>
        <w:tc>
          <w:tcPr>
            <w:tcW w:w="1843" w:type="dxa"/>
            <w:vAlign w:val="bottom"/>
          </w:tcPr>
          <w:p w14:paraId="463020E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7,9%</w:t>
            </w:r>
          </w:p>
        </w:tc>
        <w:tc>
          <w:tcPr>
            <w:tcW w:w="1615" w:type="dxa"/>
            <w:vAlign w:val="bottom"/>
          </w:tcPr>
          <w:p w14:paraId="3F6B82AE"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w:t>
            </w:r>
          </w:p>
        </w:tc>
      </w:tr>
      <w:tr w:rsidR="00652644" w14:paraId="7571C775"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7B2B02B"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1701" w:type="dxa"/>
            <w:vAlign w:val="bottom"/>
          </w:tcPr>
          <w:p w14:paraId="4D1D53BD"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1701" w:type="dxa"/>
            <w:vAlign w:val="bottom"/>
          </w:tcPr>
          <w:p w14:paraId="792245A2"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w:t>
            </w:r>
          </w:p>
        </w:tc>
        <w:tc>
          <w:tcPr>
            <w:tcW w:w="1843" w:type="dxa"/>
            <w:vAlign w:val="bottom"/>
          </w:tcPr>
          <w:p w14:paraId="32D65F19"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7,6%</w:t>
            </w:r>
          </w:p>
        </w:tc>
        <w:tc>
          <w:tcPr>
            <w:tcW w:w="1615" w:type="dxa"/>
            <w:vAlign w:val="bottom"/>
          </w:tcPr>
          <w:p w14:paraId="650B16AD"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8,8%</w:t>
            </w:r>
          </w:p>
        </w:tc>
      </w:tr>
      <w:tr w:rsidR="00652644" w14:paraId="53CEDA84"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8FDC0D3"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Segovia</w:t>
            </w:r>
          </w:p>
        </w:tc>
        <w:tc>
          <w:tcPr>
            <w:tcW w:w="1701" w:type="dxa"/>
            <w:vAlign w:val="bottom"/>
          </w:tcPr>
          <w:p w14:paraId="29DB3918"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1701" w:type="dxa"/>
            <w:vAlign w:val="bottom"/>
          </w:tcPr>
          <w:p w14:paraId="5A2A0A6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w:t>
            </w:r>
          </w:p>
        </w:tc>
        <w:tc>
          <w:tcPr>
            <w:tcW w:w="1843" w:type="dxa"/>
            <w:vAlign w:val="bottom"/>
          </w:tcPr>
          <w:p w14:paraId="19DE3CEE"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7,0%</w:t>
            </w:r>
          </w:p>
        </w:tc>
        <w:tc>
          <w:tcPr>
            <w:tcW w:w="1615" w:type="dxa"/>
            <w:vAlign w:val="bottom"/>
          </w:tcPr>
          <w:p w14:paraId="7DD447AE"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8,4%</w:t>
            </w:r>
          </w:p>
        </w:tc>
      </w:tr>
      <w:tr w:rsidR="00652644" w14:paraId="2B44855D"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1A1E0FB"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1701" w:type="dxa"/>
            <w:vAlign w:val="bottom"/>
          </w:tcPr>
          <w:p w14:paraId="7A40CDA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w:t>
            </w:r>
          </w:p>
        </w:tc>
        <w:tc>
          <w:tcPr>
            <w:tcW w:w="1701" w:type="dxa"/>
            <w:vAlign w:val="bottom"/>
          </w:tcPr>
          <w:p w14:paraId="231E8305"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c>
          <w:tcPr>
            <w:tcW w:w="1843" w:type="dxa"/>
            <w:vAlign w:val="bottom"/>
          </w:tcPr>
          <w:p w14:paraId="64951A53"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7,5%</w:t>
            </w:r>
          </w:p>
        </w:tc>
        <w:tc>
          <w:tcPr>
            <w:tcW w:w="1615" w:type="dxa"/>
            <w:vAlign w:val="bottom"/>
          </w:tcPr>
          <w:p w14:paraId="471FD53E"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r>
      <w:tr w:rsidR="00652644" w14:paraId="7A7CEE87"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EBD1274"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1701" w:type="dxa"/>
            <w:vAlign w:val="bottom"/>
          </w:tcPr>
          <w:p w14:paraId="3679EBE5"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4,1%</w:t>
            </w:r>
          </w:p>
        </w:tc>
        <w:tc>
          <w:tcPr>
            <w:tcW w:w="1701" w:type="dxa"/>
            <w:vAlign w:val="bottom"/>
          </w:tcPr>
          <w:p w14:paraId="7E5B7E7D"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c>
          <w:tcPr>
            <w:tcW w:w="1843" w:type="dxa"/>
            <w:vAlign w:val="bottom"/>
          </w:tcPr>
          <w:p w14:paraId="17107A7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7,4%</w:t>
            </w:r>
          </w:p>
        </w:tc>
        <w:tc>
          <w:tcPr>
            <w:tcW w:w="1615" w:type="dxa"/>
            <w:vAlign w:val="bottom"/>
          </w:tcPr>
          <w:p w14:paraId="6E3821FE"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r>
      <w:tr w:rsidR="00652644" w14:paraId="7C51D68C"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5D7A88E"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Toledo</w:t>
            </w:r>
          </w:p>
        </w:tc>
        <w:tc>
          <w:tcPr>
            <w:tcW w:w="1701" w:type="dxa"/>
            <w:vAlign w:val="bottom"/>
          </w:tcPr>
          <w:p w14:paraId="5D6A1EA2"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4,6%</w:t>
            </w:r>
          </w:p>
        </w:tc>
        <w:tc>
          <w:tcPr>
            <w:tcW w:w="1701" w:type="dxa"/>
            <w:vAlign w:val="bottom"/>
          </w:tcPr>
          <w:p w14:paraId="4B261EE4"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w:t>
            </w:r>
          </w:p>
        </w:tc>
        <w:tc>
          <w:tcPr>
            <w:tcW w:w="1843" w:type="dxa"/>
            <w:vAlign w:val="bottom"/>
          </w:tcPr>
          <w:p w14:paraId="107BFC34"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8,1%</w:t>
            </w:r>
          </w:p>
        </w:tc>
        <w:tc>
          <w:tcPr>
            <w:tcW w:w="1615" w:type="dxa"/>
            <w:vAlign w:val="bottom"/>
          </w:tcPr>
          <w:p w14:paraId="7F87158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r>
      <w:tr w:rsidR="00652644" w14:paraId="385DC8EF"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AA0B876"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1701" w:type="dxa"/>
            <w:vAlign w:val="bottom"/>
          </w:tcPr>
          <w:p w14:paraId="32D16D98"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4,7%</w:t>
            </w:r>
          </w:p>
        </w:tc>
        <w:tc>
          <w:tcPr>
            <w:tcW w:w="1701" w:type="dxa"/>
            <w:vAlign w:val="bottom"/>
          </w:tcPr>
          <w:p w14:paraId="27663B2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6,7%</w:t>
            </w:r>
          </w:p>
        </w:tc>
        <w:tc>
          <w:tcPr>
            <w:tcW w:w="1843" w:type="dxa"/>
            <w:vAlign w:val="bottom"/>
          </w:tcPr>
          <w:p w14:paraId="17F9412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6,7%</w:t>
            </w:r>
          </w:p>
        </w:tc>
        <w:tc>
          <w:tcPr>
            <w:tcW w:w="1615" w:type="dxa"/>
            <w:vAlign w:val="bottom"/>
          </w:tcPr>
          <w:p w14:paraId="50466A03"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r>
      <w:tr w:rsidR="00652644" w14:paraId="6EA3444A"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0F25C7C"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Sevilla</w:t>
            </w:r>
          </w:p>
        </w:tc>
        <w:tc>
          <w:tcPr>
            <w:tcW w:w="1701" w:type="dxa"/>
            <w:vAlign w:val="bottom"/>
          </w:tcPr>
          <w:p w14:paraId="6CD2A47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701" w:type="dxa"/>
            <w:vAlign w:val="bottom"/>
          </w:tcPr>
          <w:p w14:paraId="67FD260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c>
          <w:tcPr>
            <w:tcW w:w="1843" w:type="dxa"/>
            <w:vAlign w:val="bottom"/>
          </w:tcPr>
          <w:p w14:paraId="75A8BF05"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7,2%</w:t>
            </w:r>
          </w:p>
        </w:tc>
        <w:tc>
          <w:tcPr>
            <w:tcW w:w="1615" w:type="dxa"/>
            <w:vAlign w:val="bottom"/>
          </w:tcPr>
          <w:p w14:paraId="65B512E8"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7,5%</w:t>
            </w:r>
          </w:p>
        </w:tc>
      </w:tr>
      <w:tr w:rsidR="00652644" w14:paraId="6A320C16"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87FCE50"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Lleida</w:t>
            </w:r>
          </w:p>
        </w:tc>
        <w:tc>
          <w:tcPr>
            <w:tcW w:w="1701" w:type="dxa"/>
            <w:vAlign w:val="bottom"/>
          </w:tcPr>
          <w:p w14:paraId="2A1A7741"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4,6%</w:t>
            </w:r>
          </w:p>
        </w:tc>
        <w:tc>
          <w:tcPr>
            <w:tcW w:w="1701" w:type="dxa"/>
            <w:vAlign w:val="bottom"/>
          </w:tcPr>
          <w:p w14:paraId="545DC830"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5,9%</w:t>
            </w:r>
          </w:p>
        </w:tc>
        <w:tc>
          <w:tcPr>
            <w:tcW w:w="1843" w:type="dxa"/>
            <w:vAlign w:val="bottom"/>
          </w:tcPr>
          <w:p w14:paraId="2CD5AF88"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6,7%</w:t>
            </w:r>
          </w:p>
        </w:tc>
        <w:tc>
          <w:tcPr>
            <w:tcW w:w="1615" w:type="dxa"/>
            <w:vAlign w:val="bottom"/>
          </w:tcPr>
          <w:p w14:paraId="1CBBC2E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r>
      <w:tr w:rsidR="00652644" w14:paraId="1A3E8A30"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D0689DA"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1701" w:type="dxa"/>
            <w:vAlign w:val="bottom"/>
          </w:tcPr>
          <w:p w14:paraId="1EE32C3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3,9%</w:t>
            </w:r>
          </w:p>
        </w:tc>
        <w:tc>
          <w:tcPr>
            <w:tcW w:w="1701" w:type="dxa"/>
            <w:vAlign w:val="bottom"/>
          </w:tcPr>
          <w:p w14:paraId="0C24006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5,3%</w:t>
            </w:r>
          </w:p>
        </w:tc>
        <w:tc>
          <w:tcPr>
            <w:tcW w:w="1843" w:type="dxa"/>
            <w:vAlign w:val="bottom"/>
          </w:tcPr>
          <w:p w14:paraId="5C30B274"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6,6%</w:t>
            </w:r>
          </w:p>
        </w:tc>
        <w:tc>
          <w:tcPr>
            <w:tcW w:w="1615" w:type="dxa"/>
            <w:vAlign w:val="bottom"/>
          </w:tcPr>
          <w:p w14:paraId="533B0513"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652644" w14:paraId="3CF32349"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C481692"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Lugo</w:t>
            </w:r>
          </w:p>
        </w:tc>
        <w:tc>
          <w:tcPr>
            <w:tcW w:w="1701" w:type="dxa"/>
            <w:vAlign w:val="bottom"/>
          </w:tcPr>
          <w:p w14:paraId="2496D5A7"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1701" w:type="dxa"/>
            <w:vAlign w:val="bottom"/>
          </w:tcPr>
          <w:p w14:paraId="498F2FD3"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c>
          <w:tcPr>
            <w:tcW w:w="1843" w:type="dxa"/>
            <w:vAlign w:val="bottom"/>
          </w:tcPr>
          <w:p w14:paraId="152A886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6,0%</w:t>
            </w:r>
          </w:p>
        </w:tc>
        <w:tc>
          <w:tcPr>
            <w:tcW w:w="1615" w:type="dxa"/>
            <w:vAlign w:val="bottom"/>
          </w:tcPr>
          <w:p w14:paraId="1BC057C0"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652644" w14:paraId="6BB26AD8"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69D8CBF"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Navarra</w:t>
            </w:r>
          </w:p>
        </w:tc>
        <w:tc>
          <w:tcPr>
            <w:tcW w:w="1701" w:type="dxa"/>
            <w:vAlign w:val="bottom"/>
          </w:tcPr>
          <w:p w14:paraId="752D646F"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1701" w:type="dxa"/>
            <w:vAlign w:val="bottom"/>
          </w:tcPr>
          <w:p w14:paraId="6972E97D"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c>
          <w:tcPr>
            <w:tcW w:w="1843" w:type="dxa"/>
            <w:vAlign w:val="bottom"/>
          </w:tcPr>
          <w:p w14:paraId="7874414A"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7,4%</w:t>
            </w:r>
          </w:p>
        </w:tc>
        <w:tc>
          <w:tcPr>
            <w:tcW w:w="1615" w:type="dxa"/>
            <w:vAlign w:val="bottom"/>
          </w:tcPr>
          <w:p w14:paraId="1EF9AEC4"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652644" w14:paraId="3FE77669"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6B9D1E9"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Ávila</w:t>
            </w:r>
          </w:p>
        </w:tc>
        <w:tc>
          <w:tcPr>
            <w:tcW w:w="1701" w:type="dxa"/>
            <w:vAlign w:val="bottom"/>
          </w:tcPr>
          <w:p w14:paraId="11B6B1C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701" w:type="dxa"/>
            <w:vAlign w:val="bottom"/>
          </w:tcPr>
          <w:p w14:paraId="28CF3334"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5,3%</w:t>
            </w:r>
          </w:p>
        </w:tc>
        <w:tc>
          <w:tcPr>
            <w:tcW w:w="1843" w:type="dxa"/>
            <w:vAlign w:val="bottom"/>
          </w:tcPr>
          <w:p w14:paraId="2FEC1AC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7,4%</w:t>
            </w:r>
          </w:p>
        </w:tc>
        <w:tc>
          <w:tcPr>
            <w:tcW w:w="1615" w:type="dxa"/>
            <w:vAlign w:val="bottom"/>
          </w:tcPr>
          <w:p w14:paraId="0FCCD3D6"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652644" w14:paraId="2D7B0E98"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DB6606E"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La Rioja</w:t>
            </w:r>
          </w:p>
        </w:tc>
        <w:tc>
          <w:tcPr>
            <w:tcW w:w="1701" w:type="dxa"/>
            <w:vAlign w:val="bottom"/>
          </w:tcPr>
          <w:p w14:paraId="489E1DF9"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3,8%</w:t>
            </w:r>
          </w:p>
        </w:tc>
        <w:tc>
          <w:tcPr>
            <w:tcW w:w="1701" w:type="dxa"/>
            <w:vAlign w:val="bottom"/>
          </w:tcPr>
          <w:p w14:paraId="74F0B444"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c>
          <w:tcPr>
            <w:tcW w:w="1843" w:type="dxa"/>
            <w:vAlign w:val="bottom"/>
          </w:tcPr>
          <w:p w14:paraId="51409A99"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6,3%</w:t>
            </w:r>
          </w:p>
        </w:tc>
        <w:tc>
          <w:tcPr>
            <w:tcW w:w="1615" w:type="dxa"/>
            <w:vAlign w:val="bottom"/>
          </w:tcPr>
          <w:p w14:paraId="3677D033"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r>
      <w:tr w:rsidR="00652644" w14:paraId="68980FE3"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4EB9D6E"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1701" w:type="dxa"/>
            <w:vAlign w:val="bottom"/>
          </w:tcPr>
          <w:p w14:paraId="3E03785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4,9%</w:t>
            </w:r>
          </w:p>
        </w:tc>
        <w:tc>
          <w:tcPr>
            <w:tcW w:w="1701" w:type="dxa"/>
            <w:vAlign w:val="bottom"/>
          </w:tcPr>
          <w:p w14:paraId="262CE40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5,8%</w:t>
            </w:r>
          </w:p>
        </w:tc>
        <w:tc>
          <w:tcPr>
            <w:tcW w:w="1843" w:type="dxa"/>
            <w:vAlign w:val="bottom"/>
          </w:tcPr>
          <w:p w14:paraId="2335618D"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6,6%</w:t>
            </w:r>
          </w:p>
        </w:tc>
        <w:tc>
          <w:tcPr>
            <w:tcW w:w="1615" w:type="dxa"/>
            <w:vAlign w:val="bottom"/>
          </w:tcPr>
          <w:p w14:paraId="51EC12B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r>
      <w:tr w:rsidR="00652644" w14:paraId="0B1F5305"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CA663E3"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Guadalajara</w:t>
            </w:r>
          </w:p>
        </w:tc>
        <w:tc>
          <w:tcPr>
            <w:tcW w:w="1701" w:type="dxa"/>
            <w:vAlign w:val="bottom"/>
          </w:tcPr>
          <w:p w14:paraId="0652CEF0"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w:t>
            </w:r>
          </w:p>
        </w:tc>
        <w:tc>
          <w:tcPr>
            <w:tcW w:w="1701" w:type="dxa"/>
            <w:vAlign w:val="bottom"/>
          </w:tcPr>
          <w:p w14:paraId="31D98E00"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5,7%</w:t>
            </w:r>
          </w:p>
        </w:tc>
        <w:tc>
          <w:tcPr>
            <w:tcW w:w="1843" w:type="dxa"/>
            <w:vAlign w:val="bottom"/>
          </w:tcPr>
          <w:p w14:paraId="0229746A"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7,2%</w:t>
            </w:r>
          </w:p>
        </w:tc>
        <w:tc>
          <w:tcPr>
            <w:tcW w:w="1615" w:type="dxa"/>
            <w:vAlign w:val="bottom"/>
          </w:tcPr>
          <w:p w14:paraId="0B63B4E4"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r>
      <w:tr w:rsidR="00652644" w14:paraId="73584251"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BC09629"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Ciudad Real</w:t>
            </w:r>
          </w:p>
        </w:tc>
        <w:tc>
          <w:tcPr>
            <w:tcW w:w="1701" w:type="dxa"/>
            <w:vAlign w:val="bottom"/>
          </w:tcPr>
          <w:p w14:paraId="364D8C0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701" w:type="dxa"/>
            <w:vAlign w:val="bottom"/>
          </w:tcPr>
          <w:p w14:paraId="5802838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w:t>
            </w:r>
          </w:p>
        </w:tc>
        <w:tc>
          <w:tcPr>
            <w:tcW w:w="1843" w:type="dxa"/>
            <w:vAlign w:val="bottom"/>
          </w:tcPr>
          <w:p w14:paraId="737D6DDE"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6,6%</w:t>
            </w:r>
          </w:p>
        </w:tc>
        <w:tc>
          <w:tcPr>
            <w:tcW w:w="1615" w:type="dxa"/>
            <w:vAlign w:val="bottom"/>
          </w:tcPr>
          <w:p w14:paraId="2DECDFF3"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652644" w14:paraId="4BE1FF07"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BF523DA"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Jaén</w:t>
            </w:r>
          </w:p>
        </w:tc>
        <w:tc>
          <w:tcPr>
            <w:tcW w:w="1701" w:type="dxa"/>
            <w:vAlign w:val="bottom"/>
          </w:tcPr>
          <w:p w14:paraId="266D1094"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4,1%</w:t>
            </w:r>
          </w:p>
        </w:tc>
        <w:tc>
          <w:tcPr>
            <w:tcW w:w="1701" w:type="dxa"/>
            <w:vAlign w:val="bottom"/>
          </w:tcPr>
          <w:p w14:paraId="4121C1F3"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4,9%</w:t>
            </w:r>
          </w:p>
        </w:tc>
        <w:tc>
          <w:tcPr>
            <w:tcW w:w="1843" w:type="dxa"/>
            <w:vAlign w:val="bottom"/>
          </w:tcPr>
          <w:p w14:paraId="471A6C5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6,0%</w:t>
            </w:r>
          </w:p>
        </w:tc>
        <w:tc>
          <w:tcPr>
            <w:tcW w:w="1615" w:type="dxa"/>
            <w:vAlign w:val="bottom"/>
          </w:tcPr>
          <w:p w14:paraId="5BBBBA2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652644" w14:paraId="136FCDF8"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8018F9A"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1701" w:type="dxa"/>
            <w:vAlign w:val="bottom"/>
          </w:tcPr>
          <w:p w14:paraId="2EEEDB8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4,3%</w:t>
            </w:r>
          </w:p>
        </w:tc>
        <w:tc>
          <w:tcPr>
            <w:tcW w:w="1701" w:type="dxa"/>
            <w:vAlign w:val="bottom"/>
          </w:tcPr>
          <w:p w14:paraId="1C6919B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c>
          <w:tcPr>
            <w:tcW w:w="1843" w:type="dxa"/>
            <w:vAlign w:val="bottom"/>
          </w:tcPr>
          <w:p w14:paraId="070D7B5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6,4%</w:t>
            </w:r>
          </w:p>
        </w:tc>
        <w:tc>
          <w:tcPr>
            <w:tcW w:w="1615" w:type="dxa"/>
            <w:vAlign w:val="bottom"/>
          </w:tcPr>
          <w:p w14:paraId="2B41B955"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r>
      <w:tr w:rsidR="00652644" w14:paraId="4A4CD1B8"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33D5FA3"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Badajoz</w:t>
            </w:r>
          </w:p>
        </w:tc>
        <w:tc>
          <w:tcPr>
            <w:tcW w:w="1701" w:type="dxa"/>
            <w:vAlign w:val="bottom"/>
          </w:tcPr>
          <w:p w14:paraId="248AC111"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4,1%</w:t>
            </w:r>
          </w:p>
        </w:tc>
        <w:tc>
          <w:tcPr>
            <w:tcW w:w="1701" w:type="dxa"/>
            <w:vAlign w:val="bottom"/>
          </w:tcPr>
          <w:p w14:paraId="7A1D5C46"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5,1%</w:t>
            </w:r>
          </w:p>
        </w:tc>
        <w:tc>
          <w:tcPr>
            <w:tcW w:w="1843" w:type="dxa"/>
            <w:vAlign w:val="bottom"/>
          </w:tcPr>
          <w:p w14:paraId="5369E4F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5,8%</w:t>
            </w:r>
          </w:p>
        </w:tc>
        <w:tc>
          <w:tcPr>
            <w:tcW w:w="1615" w:type="dxa"/>
            <w:vAlign w:val="bottom"/>
          </w:tcPr>
          <w:p w14:paraId="2082859E"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r>
      <w:tr w:rsidR="00652644" w14:paraId="50FF1AC1"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0165916"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1701" w:type="dxa"/>
            <w:vAlign w:val="bottom"/>
          </w:tcPr>
          <w:p w14:paraId="74646147"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1701" w:type="dxa"/>
            <w:vAlign w:val="bottom"/>
          </w:tcPr>
          <w:p w14:paraId="49F4DB27"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5,6%</w:t>
            </w:r>
          </w:p>
        </w:tc>
        <w:tc>
          <w:tcPr>
            <w:tcW w:w="1843" w:type="dxa"/>
            <w:vAlign w:val="bottom"/>
          </w:tcPr>
          <w:p w14:paraId="5188401B"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6,0%</w:t>
            </w:r>
          </w:p>
        </w:tc>
        <w:tc>
          <w:tcPr>
            <w:tcW w:w="1615" w:type="dxa"/>
            <w:vAlign w:val="bottom"/>
          </w:tcPr>
          <w:p w14:paraId="73103CF3"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r>
      <w:tr w:rsidR="00652644" w14:paraId="2752D417"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5B24E47"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1701" w:type="dxa"/>
            <w:vAlign w:val="bottom"/>
          </w:tcPr>
          <w:p w14:paraId="0471F6C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4,2%</w:t>
            </w:r>
          </w:p>
        </w:tc>
        <w:tc>
          <w:tcPr>
            <w:tcW w:w="1701" w:type="dxa"/>
            <w:vAlign w:val="bottom"/>
          </w:tcPr>
          <w:p w14:paraId="2314E2DF"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c>
          <w:tcPr>
            <w:tcW w:w="1843" w:type="dxa"/>
            <w:vAlign w:val="bottom"/>
          </w:tcPr>
          <w:p w14:paraId="73504FCA"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6,2%</w:t>
            </w:r>
          </w:p>
        </w:tc>
        <w:tc>
          <w:tcPr>
            <w:tcW w:w="1615" w:type="dxa"/>
            <w:vAlign w:val="bottom"/>
          </w:tcPr>
          <w:p w14:paraId="6B11DCD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r>
      <w:tr w:rsidR="00652644" w14:paraId="45F2F139"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F9F4D0D"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Zaragoza</w:t>
            </w:r>
          </w:p>
        </w:tc>
        <w:tc>
          <w:tcPr>
            <w:tcW w:w="1701" w:type="dxa"/>
            <w:vAlign w:val="bottom"/>
          </w:tcPr>
          <w:p w14:paraId="0D5BA545"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4,1%</w:t>
            </w:r>
          </w:p>
        </w:tc>
        <w:tc>
          <w:tcPr>
            <w:tcW w:w="1701" w:type="dxa"/>
            <w:vAlign w:val="bottom"/>
          </w:tcPr>
          <w:p w14:paraId="0FE00EB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c>
          <w:tcPr>
            <w:tcW w:w="1843" w:type="dxa"/>
            <w:vAlign w:val="bottom"/>
          </w:tcPr>
          <w:p w14:paraId="21A1B410"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6,4%</w:t>
            </w:r>
          </w:p>
        </w:tc>
        <w:tc>
          <w:tcPr>
            <w:tcW w:w="1615" w:type="dxa"/>
            <w:vAlign w:val="bottom"/>
          </w:tcPr>
          <w:p w14:paraId="53859005"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652644" w14:paraId="31DC2941"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41CF6A5"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Burgos</w:t>
            </w:r>
          </w:p>
        </w:tc>
        <w:tc>
          <w:tcPr>
            <w:tcW w:w="1701" w:type="dxa"/>
            <w:vAlign w:val="bottom"/>
          </w:tcPr>
          <w:p w14:paraId="362ED0BD"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w:t>
            </w:r>
          </w:p>
        </w:tc>
        <w:tc>
          <w:tcPr>
            <w:tcW w:w="1701" w:type="dxa"/>
            <w:vAlign w:val="bottom"/>
          </w:tcPr>
          <w:p w14:paraId="3D0AB05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c>
          <w:tcPr>
            <w:tcW w:w="1843" w:type="dxa"/>
            <w:vAlign w:val="bottom"/>
          </w:tcPr>
          <w:p w14:paraId="5E1CA11F"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6,1%</w:t>
            </w:r>
          </w:p>
        </w:tc>
        <w:tc>
          <w:tcPr>
            <w:tcW w:w="1615" w:type="dxa"/>
            <w:vAlign w:val="bottom"/>
          </w:tcPr>
          <w:p w14:paraId="0B5E0B1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652644" w14:paraId="24B0FA3C"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627696B"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1701" w:type="dxa"/>
            <w:vAlign w:val="bottom"/>
          </w:tcPr>
          <w:p w14:paraId="110420A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w:t>
            </w:r>
          </w:p>
        </w:tc>
        <w:tc>
          <w:tcPr>
            <w:tcW w:w="1701" w:type="dxa"/>
            <w:vAlign w:val="bottom"/>
          </w:tcPr>
          <w:p w14:paraId="6665D7B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6,9%</w:t>
            </w:r>
          </w:p>
        </w:tc>
        <w:tc>
          <w:tcPr>
            <w:tcW w:w="1843" w:type="dxa"/>
            <w:vAlign w:val="bottom"/>
          </w:tcPr>
          <w:p w14:paraId="6C11B65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5,9%</w:t>
            </w:r>
          </w:p>
        </w:tc>
        <w:tc>
          <w:tcPr>
            <w:tcW w:w="1615" w:type="dxa"/>
            <w:vAlign w:val="bottom"/>
          </w:tcPr>
          <w:p w14:paraId="7E8DE5A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652644" w14:paraId="19F200AB"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47CA84A"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Albacete</w:t>
            </w:r>
          </w:p>
        </w:tc>
        <w:tc>
          <w:tcPr>
            <w:tcW w:w="1701" w:type="dxa"/>
            <w:vAlign w:val="bottom"/>
          </w:tcPr>
          <w:p w14:paraId="2D50E63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w:t>
            </w:r>
          </w:p>
        </w:tc>
        <w:tc>
          <w:tcPr>
            <w:tcW w:w="1701" w:type="dxa"/>
            <w:vAlign w:val="bottom"/>
          </w:tcPr>
          <w:p w14:paraId="139CA2D3"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4,9%</w:t>
            </w:r>
          </w:p>
        </w:tc>
        <w:tc>
          <w:tcPr>
            <w:tcW w:w="1843" w:type="dxa"/>
            <w:vAlign w:val="bottom"/>
          </w:tcPr>
          <w:p w14:paraId="7B1F4021"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5,9%</w:t>
            </w:r>
          </w:p>
        </w:tc>
        <w:tc>
          <w:tcPr>
            <w:tcW w:w="1615" w:type="dxa"/>
            <w:vAlign w:val="bottom"/>
          </w:tcPr>
          <w:p w14:paraId="78EC3D21"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r>
      <w:tr w:rsidR="00652644" w14:paraId="2CB90C43"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4106653"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1701" w:type="dxa"/>
            <w:vAlign w:val="bottom"/>
          </w:tcPr>
          <w:p w14:paraId="343285E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701" w:type="dxa"/>
            <w:vAlign w:val="bottom"/>
          </w:tcPr>
          <w:p w14:paraId="11488DA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6,0%</w:t>
            </w:r>
          </w:p>
        </w:tc>
        <w:tc>
          <w:tcPr>
            <w:tcW w:w="1843" w:type="dxa"/>
            <w:vAlign w:val="bottom"/>
          </w:tcPr>
          <w:p w14:paraId="276FB848"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6,3%</w:t>
            </w:r>
          </w:p>
        </w:tc>
        <w:tc>
          <w:tcPr>
            <w:tcW w:w="1615" w:type="dxa"/>
            <w:vAlign w:val="bottom"/>
          </w:tcPr>
          <w:p w14:paraId="03FD6FD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652644" w14:paraId="3D939CDB"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21828CD"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Salamanca</w:t>
            </w:r>
          </w:p>
        </w:tc>
        <w:tc>
          <w:tcPr>
            <w:tcW w:w="1701" w:type="dxa"/>
            <w:vAlign w:val="bottom"/>
          </w:tcPr>
          <w:p w14:paraId="03E21EBD"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3,7%</w:t>
            </w:r>
          </w:p>
        </w:tc>
        <w:tc>
          <w:tcPr>
            <w:tcW w:w="1701" w:type="dxa"/>
            <w:vAlign w:val="bottom"/>
          </w:tcPr>
          <w:p w14:paraId="14C1D91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5,0%</w:t>
            </w:r>
          </w:p>
        </w:tc>
        <w:tc>
          <w:tcPr>
            <w:tcW w:w="1843" w:type="dxa"/>
            <w:vAlign w:val="bottom"/>
          </w:tcPr>
          <w:p w14:paraId="6BB2AD3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5,7%</w:t>
            </w:r>
          </w:p>
        </w:tc>
        <w:tc>
          <w:tcPr>
            <w:tcW w:w="1615" w:type="dxa"/>
            <w:vAlign w:val="bottom"/>
          </w:tcPr>
          <w:p w14:paraId="40ACBB20"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652644" w14:paraId="66C4492A"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2F55C6A"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Córdoba</w:t>
            </w:r>
          </w:p>
        </w:tc>
        <w:tc>
          <w:tcPr>
            <w:tcW w:w="1701" w:type="dxa"/>
            <w:vAlign w:val="bottom"/>
          </w:tcPr>
          <w:p w14:paraId="79E74D0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701" w:type="dxa"/>
            <w:vAlign w:val="bottom"/>
          </w:tcPr>
          <w:p w14:paraId="398430A3"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5,5%</w:t>
            </w:r>
          </w:p>
        </w:tc>
        <w:tc>
          <w:tcPr>
            <w:tcW w:w="1843" w:type="dxa"/>
            <w:vAlign w:val="bottom"/>
          </w:tcPr>
          <w:p w14:paraId="1F4A9E2E"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6,3%</w:t>
            </w:r>
          </w:p>
        </w:tc>
        <w:tc>
          <w:tcPr>
            <w:tcW w:w="1615" w:type="dxa"/>
            <w:vAlign w:val="bottom"/>
          </w:tcPr>
          <w:p w14:paraId="0CA310B3"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652644" w14:paraId="63DFAF59"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337BB8F"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León</w:t>
            </w:r>
          </w:p>
        </w:tc>
        <w:tc>
          <w:tcPr>
            <w:tcW w:w="1701" w:type="dxa"/>
            <w:vAlign w:val="bottom"/>
          </w:tcPr>
          <w:p w14:paraId="5C23149F"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w:t>
            </w:r>
          </w:p>
        </w:tc>
        <w:tc>
          <w:tcPr>
            <w:tcW w:w="1701" w:type="dxa"/>
            <w:vAlign w:val="bottom"/>
          </w:tcPr>
          <w:p w14:paraId="48DAF00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4,8%</w:t>
            </w:r>
          </w:p>
        </w:tc>
        <w:tc>
          <w:tcPr>
            <w:tcW w:w="1843" w:type="dxa"/>
            <w:vAlign w:val="bottom"/>
          </w:tcPr>
          <w:p w14:paraId="12371556"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5,7%</w:t>
            </w:r>
          </w:p>
        </w:tc>
        <w:tc>
          <w:tcPr>
            <w:tcW w:w="1615" w:type="dxa"/>
            <w:vAlign w:val="bottom"/>
          </w:tcPr>
          <w:p w14:paraId="663A4115"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652644" w14:paraId="2E8FF6E4"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756D8AE"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Girona</w:t>
            </w:r>
          </w:p>
        </w:tc>
        <w:tc>
          <w:tcPr>
            <w:tcW w:w="1701" w:type="dxa"/>
            <w:vAlign w:val="bottom"/>
          </w:tcPr>
          <w:p w14:paraId="79C33B8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4,4%</w:t>
            </w:r>
          </w:p>
        </w:tc>
        <w:tc>
          <w:tcPr>
            <w:tcW w:w="1701" w:type="dxa"/>
            <w:vAlign w:val="bottom"/>
          </w:tcPr>
          <w:p w14:paraId="51CFFD0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5,3%</w:t>
            </w:r>
          </w:p>
        </w:tc>
        <w:tc>
          <w:tcPr>
            <w:tcW w:w="1843" w:type="dxa"/>
            <w:vAlign w:val="bottom"/>
          </w:tcPr>
          <w:p w14:paraId="332B55A8"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5,4%</w:t>
            </w:r>
          </w:p>
        </w:tc>
        <w:tc>
          <w:tcPr>
            <w:tcW w:w="1615" w:type="dxa"/>
            <w:vAlign w:val="bottom"/>
          </w:tcPr>
          <w:p w14:paraId="2081CC86"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652644" w14:paraId="3C4C76C4"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3FF43DF"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1701" w:type="dxa"/>
            <w:vAlign w:val="bottom"/>
          </w:tcPr>
          <w:p w14:paraId="52DBA0F2"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w:t>
            </w:r>
          </w:p>
        </w:tc>
        <w:tc>
          <w:tcPr>
            <w:tcW w:w="1701" w:type="dxa"/>
            <w:vAlign w:val="bottom"/>
          </w:tcPr>
          <w:p w14:paraId="4EBA4313"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4,5%</w:t>
            </w:r>
          </w:p>
        </w:tc>
        <w:tc>
          <w:tcPr>
            <w:tcW w:w="1843" w:type="dxa"/>
            <w:vAlign w:val="bottom"/>
          </w:tcPr>
          <w:p w14:paraId="5AABFD9A"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5,7%</w:t>
            </w:r>
          </w:p>
        </w:tc>
        <w:tc>
          <w:tcPr>
            <w:tcW w:w="1615" w:type="dxa"/>
            <w:vAlign w:val="bottom"/>
          </w:tcPr>
          <w:p w14:paraId="132CE4A6"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652644" w14:paraId="16B9C9AC"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C751B76"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Valladolid</w:t>
            </w:r>
          </w:p>
        </w:tc>
        <w:tc>
          <w:tcPr>
            <w:tcW w:w="1701" w:type="dxa"/>
            <w:vAlign w:val="bottom"/>
          </w:tcPr>
          <w:p w14:paraId="13AB6B0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4,0%</w:t>
            </w:r>
          </w:p>
        </w:tc>
        <w:tc>
          <w:tcPr>
            <w:tcW w:w="1701" w:type="dxa"/>
            <w:vAlign w:val="bottom"/>
          </w:tcPr>
          <w:p w14:paraId="32362B10"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5,1%</w:t>
            </w:r>
          </w:p>
        </w:tc>
        <w:tc>
          <w:tcPr>
            <w:tcW w:w="1843" w:type="dxa"/>
            <w:vAlign w:val="bottom"/>
          </w:tcPr>
          <w:p w14:paraId="631EC2C7"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5,6%</w:t>
            </w:r>
          </w:p>
        </w:tc>
        <w:tc>
          <w:tcPr>
            <w:tcW w:w="1615" w:type="dxa"/>
            <w:vAlign w:val="bottom"/>
          </w:tcPr>
          <w:p w14:paraId="2E232E73"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652644" w14:paraId="0DAF16DE"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07A816E"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1701" w:type="dxa"/>
            <w:vAlign w:val="bottom"/>
          </w:tcPr>
          <w:p w14:paraId="26C450C6"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701" w:type="dxa"/>
            <w:vAlign w:val="bottom"/>
          </w:tcPr>
          <w:p w14:paraId="545B807D"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843" w:type="dxa"/>
            <w:vAlign w:val="bottom"/>
          </w:tcPr>
          <w:p w14:paraId="555D1CF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5,6%</w:t>
            </w:r>
          </w:p>
        </w:tc>
        <w:tc>
          <w:tcPr>
            <w:tcW w:w="1615" w:type="dxa"/>
            <w:vAlign w:val="bottom"/>
          </w:tcPr>
          <w:p w14:paraId="702D1C99"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5,9%</w:t>
            </w:r>
          </w:p>
        </w:tc>
      </w:tr>
      <w:tr w:rsidR="00652644" w14:paraId="182396DA"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10CEABD"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1701" w:type="dxa"/>
            <w:vAlign w:val="bottom"/>
          </w:tcPr>
          <w:p w14:paraId="37960EF5"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701" w:type="dxa"/>
            <w:vAlign w:val="bottom"/>
          </w:tcPr>
          <w:p w14:paraId="12C88C9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843" w:type="dxa"/>
            <w:vAlign w:val="bottom"/>
          </w:tcPr>
          <w:p w14:paraId="32C76B68"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6,1%</w:t>
            </w:r>
          </w:p>
        </w:tc>
        <w:tc>
          <w:tcPr>
            <w:tcW w:w="1615" w:type="dxa"/>
            <w:vAlign w:val="bottom"/>
          </w:tcPr>
          <w:p w14:paraId="27703EBD"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5,9%</w:t>
            </w:r>
          </w:p>
        </w:tc>
      </w:tr>
      <w:tr w:rsidR="00652644" w14:paraId="5BEE7DC0" w14:textId="77777777" w:rsidTr="006526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85EF9E5"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1701" w:type="dxa"/>
            <w:vAlign w:val="bottom"/>
          </w:tcPr>
          <w:p w14:paraId="5EA591B8"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701" w:type="dxa"/>
            <w:vAlign w:val="bottom"/>
          </w:tcPr>
          <w:p w14:paraId="10D41D48"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843" w:type="dxa"/>
            <w:vAlign w:val="bottom"/>
          </w:tcPr>
          <w:p w14:paraId="34741A0A"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5,8%</w:t>
            </w:r>
          </w:p>
        </w:tc>
        <w:tc>
          <w:tcPr>
            <w:tcW w:w="1615" w:type="dxa"/>
            <w:vAlign w:val="bottom"/>
          </w:tcPr>
          <w:p w14:paraId="6517C50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5,9%</w:t>
            </w:r>
          </w:p>
        </w:tc>
      </w:tr>
      <w:tr w:rsidR="00652644" w14:paraId="62EA1DF1"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75B1147"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Cáceres</w:t>
            </w:r>
          </w:p>
        </w:tc>
        <w:tc>
          <w:tcPr>
            <w:tcW w:w="1701" w:type="dxa"/>
            <w:vAlign w:val="bottom"/>
          </w:tcPr>
          <w:p w14:paraId="2BB2CB87"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701" w:type="dxa"/>
            <w:vAlign w:val="bottom"/>
          </w:tcPr>
          <w:p w14:paraId="0536C1C1"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843" w:type="dxa"/>
            <w:vAlign w:val="bottom"/>
          </w:tcPr>
          <w:p w14:paraId="20B3B613"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5,7%</w:t>
            </w:r>
          </w:p>
        </w:tc>
        <w:tc>
          <w:tcPr>
            <w:tcW w:w="1615" w:type="dxa"/>
            <w:vAlign w:val="bottom"/>
          </w:tcPr>
          <w:p w14:paraId="295CA9C8"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5,8%</w:t>
            </w:r>
          </w:p>
        </w:tc>
      </w:tr>
      <w:tr w:rsidR="00652644" w14:paraId="3820AEFB"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A8BA0E9"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Palencia</w:t>
            </w:r>
          </w:p>
        </w:tc>
        <w:tc>
          <w:tcPr>
            <w:tcW w:w="1701" w:type="dxa"/>
            <w:vAlign w:val="bottom"/>
          </w:tcPr>
          <w:p w14:paraId="69A8D5DF"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701" w:type="dxa"/>
            <w:vAlign w:val="bottom"/>
          </w:tcPr>
          <w:p w14:paraId="0D21B3F1"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843" w:type="dxa"/>
            <w:vAlign w:val="bottom"/>
          </w:tcPr>
          <w:p w14:paraId="6100D58D"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5,3%</w:t>
            </w:r>
          </w:p>
        </w:tc>
        <w:tc>
          <w:tcPr>
            <w:tcW w:w="1615" w:type="dxa"/>
            <w:vAlign w:val="bottom"/>
          </w:tcPr>
          <w:p w14:paraId="780D7A7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5,6%</w:t>
            </w:r>
          </w:p>
        </w:tc>
      </w:tr>
      <w:tr w:rsidR="00652644" w14:paraId="63945363"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8E5950B"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Madrid</w:t>
            </w:r>
          </w:p>
        </w:tc>
        <w:tc>
          <w:tcPr>
            <w:tcW w:w="1701" w:type="dxa"/>
            <w:vAlign w:val="bottom"/>
          </w:tcPr>
          <w:p w14:paraId="7A93BA3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701" w:type="dxa"/>
            <w:vAlign w:val="bottom"/>
          </w:tcPr>
          <w:p w14:paraId="105C7793"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843" w:type="dxa"/>
            <w:vAlign w:val="bottom"/>
          </w:tcPr>
          <w:p w14:paraId="46640BE8"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5,3%</w:t>
            </w:r>
          </w:p>
        </w:tc>
        <w:tc>
          <w:tcPr>
            <w:tcW w:w="1615" w:type="dxa"/>
            <w:vAlign w:val="bottom"/>
          </w:tcPr>
          <w:p w14:paraId="0729A464"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5,5%</w:t>
            </w:r>
          </w:p>
        </w:tc>
      </w:tr>
      <w:tr w:rsidR="00652644" w14:paraId="3F47277D"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4C4FEC9C"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Araba - Álava</w:t>
            </w:r>
          </w:p>
        </w:tc>
        <w:tc>
          <w:tcPr>
            <w:tcW w:w="1701" w:type="dxa"/>
            <w:vAlign w:val="bottom"/>
          </w:tcPr>
          <w:p w14:paraId="3134E8E0"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701" w:type="dxa"/>
            <w:vAlign w:val="bottom"/>
          </w:tcPr>
          <w:p w14:paraId="55D6A8C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843" w:type="dxa"/>
            <w:vAlign w:val="bottom"/>
          </w:tcPr>
          <w:p w14:paraId="271688A1"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5,4%</w:t>
            </w:r>
          </w:p>
        </w:tc>
        <w:tc>
          <w:tcPr>
            <w:tcW w:w="1615" w:type="dxa"/>
            <w:vAlign w:val="bottom"/>
          </w:tcPr>
          <w:p w14:paraId="26845F42"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5,5%</w:t>
            </w:r>
          </w:p>
        </w:tc>
      </w:tr>
      <w:tr w:rsidR="00652644" w14:paraId="522E4C3B"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7C2CF50"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1701" w:type="dxa"/>
            <w:vAlign w:val="bottom"/>
          </w:tcPr>
          <w:p w14:paraId="7797EEED"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701" w:type="dxa"/>
            <w:vAlign w:val="bottom"/>
          </w:tcPr>
          <w:p w14:paraId="1AB5E326"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843" w:type="dxa"/>
            <w:vAlign w:val="bottom"/>
          </w:tcPr>
          <w:p w14:paraId="4ED7F5C1"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5,2%</w:t>
            </w:r>
          </w:p>
        </w:tc>
        <w:tc>
          <w:tcPr>
            <w:tcW w:w="1615" w:type="dxa"/>
            <w:vAlign w:val="bottom"/>
          </w:tcPr>
          <w:p w14:paraId="4DFBDBDB"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5,5%</w:t>
            </w:r>
          </w:p>
        </w:tc>
      </w:tr>
      <w:tr w:rsidR="00652644" w14:paraId="4E1240F7" w14:textId="77777777" w:rsidTr="006526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52F4DF2"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1701" w:type="dxa"/>
            <w:vAlign w:val="bottom"/>
          </w:tcPr>
          <w:p w14:paraId="12CE26F1"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701" w:type="dxa"/>
            <w:vAlign w:val="bottom"/>
          </w:tcPr>
          <w:p w14:paraId="09B89FD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843" w:type="dxa"/>
            <w:vAlign w:val="bottom"/>
          </w:tcPr>
          <w:p w14:paraId="0AD93FC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4,9%</w:t>
            </w:r>
          </w:p>
        </w:tc>
        <w:tc>
          <w:tcPr>
            <w:tcW w:w="1615" w:type="dxa"/>
            <w:vAlign w:val="bottom"/>
          </w:tcPr>
          <w:p w14:paraId="4B71212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5,3%</w:t>
            </w:r>
          </w:p>
        </w:tc>
      </w:tr>
      <w:tr w:rsidR="00652644" w14:paraId="3FAEEC79"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2D533579"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1701" w:type="dxa"/>
            <w:vAlign w:val="bottom"/>
          </w:tcPr>
          <w:p w14:paraId="6C373274"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701" w:type="dxa"/>
            <w:vAlign w:val="bottom"/>
          </w:tcPr>
          <w:p w14:paraId="1C9781A1"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1843" w:type="dxa"/>
            <w:vAlign w:val="bottom"/>
          </w:tcPr>
          <w:p w14:paraId="7B54D022"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4,8%</w:t>
            </w:r>
          </w:p>
        </w:tc>
        <w:tc>
          <w:tcPr>
            <w:tcW w:w="1615" w:type="dxa"/>
            <w:vAlign w:val="bottom"/>
          </w:tcPr>
          <w:p w14:paraId="7FC18F9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5,0%</w:t>
            </w:r>
          </w:p>
        </w:tc>
      </w:tr>
      <w:tr w:rsidR="00652644" w14:paraId="3802A6E1"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34B2BC98"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Ourense</w:t>
            </w:r>
          </w:p>
        </w:tc>
        <w:tc>
          <w:tcPr>
            <w:tcW w:w="1701" w:type="dxa"/>
            <w:vAlign w:val="bottom"/>
          </w:tcPr>
          <w:p w14:paraId="47F9D681"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3,3%</w:t>
            </w:r>
          </w:p>
        </w:tc>
        <w:tc>
          <w:tcPr>
            <w:tcW w:w="1701" w:type="dxa"/>
            <w:vAlign w:val="bottom"/>
          </w:tcPr>
          <w:p w14:paraId="56A6F10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843" w:type="dxa"/>
            <w:vAlign w:val="bottom"/>
          </w:tcPr>
          <w:p w14:paraId="5D7A3F8F"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4,8%</w:t>
            </w:r>
          </w:p>
        </w:tc>
        <w:tc>
          <w:tcPr>
            <w:tcW w:w="1615" w:type="dxa"/>
            <w:vAlign w:val="bottom"/>
          </w:tcPr>
          <w:p w14:paraId="35E547DD"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5,0%</w:t>
            </w:r>
          </w:p>
        </w:tc>
      </w:tr>
      <w:tr w:rsidR="00652644" w14:paraId="00B31C25"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58C8C50D"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Huesca</w:t>
            </w:r>
          </w:p>
        </w:tc>
        <w:tc>
          <w:tcPr>
            <w:tcW w:w="1701" w:type="dxa"/>
            <w:vAlign w:val="bottom"/>
          </w:tcPr>
          <w:p w14:paraId="293C7038"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701" w:type="dxa"/>
            <w:vAlign w:val="bottom"/>
          </w:tcPr>
          <w:p w14:paraId="0EA9EEC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843" w:type="dxa"/>
            <w:vAlign w:val="bottom"/>
          </w:tcPr>
          <w:p w14:paraId="283A51B7"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6,4%</w:t>
            </w:r>
          </w:p>
        </w:tc>
        <w:tc>
          <w:tcPr>
            <w:tcW w:w="1615" w:type="dxa"/>
            <w:vAlign w:val="bottom"/>
          </w:tcPr>
          <w:p w14:paraId="605D91E6"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w:t>
            </w:r>
          </w:p>
        </w:tc>
      </w:tr>
      <w:tr w:rsidR="00652644" w14:paraId="2D8F2CBB" w14:textId="77777777" w:rsidTr="006526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724B6705"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Cuenca</w:t>
            </w:r>
          </w:p>
        </w:tc>
        <w:tc>
          <w:tcPr>
            <w:tcW w:w="1701" w:type="dxa"/>
            <w:vAlign w:val="bottom"/>
          </w:tcPr>
          <w:p w14:paraId="51BC11C5"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701" w:type="dxa"/>
            <w:vAlign w:val="bottom"/>
          </w:tcPr>
          <w:p w14:paraId="3702879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843" w:type="dxa"/>
            <w:vAlign w:val="bottom"/>
          </w:tcPr>
          <w:p w14:paraId="77194BBA"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7,0%</w:t>
            </w:r>
          </w:p>
        </w:tc>
        <w:tc>
          <w:tcPr>
            <w:tcW w:w="1615" w:type="dxa"/>
          </w:tcPr>
          <w:p w14:paraId="207B1988"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w:t>
            </w:r>
          </w:p>
        </w:tc>
      </w:tr>
      <w:tr w:rsidR="00652644" w14:paraId="10544530"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68B3CFDB"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Teruel</w:t>
            </w:r>
          </w:p>
        </w:tc>
        <w:tc>
          <w:tcPr>
            <w:tcW w:w="1701" w:type="dxa"/>
            <w:vAlign w:val="bottom"/>
          </w:tcPr>
          <w:p w14:paraId="553A012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701" w:type="dxa"/>
            <w:vAlign w:val="bottom"/>
          </w:tcPr>
          <w:p w14:paraId="2D4B84B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843" w:type="dxa"/>
            <w:vAlign w:val="bottom"/>
          </w:tcPr>
          <w:p w14:paraId="452F663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color w:val="000000"/>
                <w:sz w:val="22"/>
                <w:szCs w:val="22"/>
              </w:rPr>
            </w:pPr>
            <w:r>
              <w:rPr>
                <w:rFonts w:ascii="Open Sans" w:eastAsia="Open Sans" w:hAnsi="Open Sans" w:cs="Open Sans"/>
                <w:color w:val="000000"/>
                <w:sz w:val="22"/>
                <w:szCs w:val="22"/>
              </w:rPr>
              <w:t>0,0%</w:t>
            </w:r>
          </w:p>
        </w:tc>
        <w:tc>
          <w:tcPr>
            <w:tcW w:w="1615" w:type="dxa"/>
          </w:tcPr>
          <w:p w14:paraId="4671A1AD"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b/>
                <w:sz w:val="22"/>
                <w:szCs w:val="22"/>
              </w:rPr>
            </w:pPr>
            <w:r>
              <w:rPr>
                <w:rFonts w:ascii="Open Sans" w:eastAsia="Open Sans" w:hAnsi="Open Sans" w:cs="Open Sans"/>
                <w:color w:val="000000"/>
                <w:sz w:val="22"/>
                <w:szCs w:val="22"/>
              </w:rPr>
              <w:t>-</w:t>
            </w:r>
          </w:p>
        </w:tc>
      </w:tr>
      <w:tr w:rsidR="00652644" w14:paraId="431BA786" w14:textId="77777777" w:rsidTr="006526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0BEF0607"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Soria</w:t>
            </w:r>
          </w:p>
        </w:tc>
        <w:tc>
          <w:tcPr>
            <w:tcW w:w="1701" w:type="dxa"/>
            <w:vAlign w:val="bottom"/>
          </w:tcPr>
          <w:p w14:paraId="6BC6E7DF"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701" w:type="dxa"/>
            <w:vAlign w:val="bottom"/>
          </w:tcPr>
          <w:p w14:paraId="48BA5218"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843" w:type="dxa"/>
            <w:vAlign w:val="bottom"/>
          </w:tcPr>
          <w:p w14:paraId="2EEC34C4"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0,0%</w:t>
            </w:r>
          </w:p>
        </w:tc>
        <w:tc>
          <w:tcPr>
            <w:tcW w:w="1615" w:type="dxa"/>
          </w:tcPr>
          <w:p w14:paraId="36B11912"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w:t>
            </w:r>
          </w:p>
        </w:tc>
      </w:tr>
      <w:tr w:rsidR="00652644" w14:paraId="3CAF2762" w14:textId="77777777" w:rsidTr="00652644">
        <w:trPr>
          <w:trHeight w:val="279"/>
        </w:trPr>
        <w:tc>
          <w:tcPr>
            <w:cnfStyle w:val="001000000000" w:firstRow="0" w:lastRow="0" w:firstColumn="1" w:lastColumn="0" w:oddVBand="0" w:evenVBand="0" w:oddHBand="0" w:evenHBand="0" w:firstRowFirstColumn="0" w:firstRowLastColumn="0" w:lastRowFirstColumn="0" w:lastRowLastColumn="0"/>
            <w:tcW w:w="2263" w:type="dxa"/>
            <w:vAlign w:val="bottom"/>
          </w:tcPr>
          <w:p w14:paraId="16F68D4F"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Zamora</w:t>
            </w:r>
          </w:p>
        </w:tc>
        <w:tc>
          <w:tcPr>
            <w:tcW w:w="1701" w:type="dxa"/>
            <w:vAlign w:val="bottom"/>
          </w:tcPr>
          <w:p w14:paraId="0B97CA12"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701" w:type="dxa"/>
            <w:vAlign w:val="bottom"/>
          </w:tcPr>
          <w:p w14:paraId="592FDB1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843" w:type="dxa"/>
            <w:vAlign w:val="bottom"/>
          </w:tcPr>
          <w:p w14:paraId="1BF61226"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615" w:type="dxa"/>
          </w:tcPr>
          <w:p w14:paraId="4A230622"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r>
              <w:rPr>
                <w:rFonts w:ascii="Open Sans" w:eastAsia="Open Sans" w:hAnsi="Open Sans" w:cs="Open Sans"/>
                <w:color w:val="000000"/>
                <w:sz w:val="22"/>
                <w:szCs w:val="22"/>
              </w:rPr>
              <w:t>-</w:t>
            </w:r>
          </w:p>
        </w:tc>
      </w:tr>
    </w:tbl>
    <w:p w14:paraId="1E3108F1" w14:textId="77777777" w:rsidR="00C26FD9" w:rsidRDefault="00C26FD9">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rPr>
      </w:pPr>
    </w:p>
    <w:p w14:paraId="2686BD0F" w14:textId="313D77FE"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lastRenderedPageBreak/>
        <w:t>Tabla 3. Rentabilidad de la vivienda por ciudades en junio de 2012, 2017, 2021 y 2022</w:t>
      </w:r>
    </w:p>
    <w:tbl>
      <w:tblPr>
        <w:tblStyle w:val="a1"/>
        <w:tblW w:w="9359"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3"/>
        <w:gridCol w:w="2126"/>
        <w:gridCol w:w="1559"/>
        <w:gridCol w:w="1418"/>
        <w:gridCol w:w="1417"/>
        <w:gridCol w:w="1426"/>
      </w:tblGrid>
      <w:tr w:rsidR="00652644" w14:paraId="0DEEE20B" w14:textId="77777777" w:rsidTr="00652644">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A0FB5DA" w14:textId="77777777" w:rsidR="00652644" w:rsidRDefault="00000000">
            <w:pPr>
              <w:rPr>
                <w:rFonts w:ascii="Open Sans" w:eastAsia="Open Sans" w:hAnsi="Open Sans" w:cs="Open Sans"/>
                <w:sz w:val="20"/>
                <w:szCs w:val="20"/>
              </w:rPr>
            </w:pPr>
            <w:r>
              <w:rPr>
                <w:rFonts w:ascii="Open Sans" w:eastAsia="Open Sans" w:hAnsi="Open Sans" w:cs="Open Sans"/>
                <w:b w:val="0"/>
                <w:sz w:val="20"/>
                <w:szCs w:val="20"/>
              </w:rPr>
              <w:t>Provincia</w:t>
            </w:r>
          </w:p>
        </w:tc>
        <w:tc>
          <w:tcPr>
            <w:tcW w:w="2126" w:type="dxa"/>
            <w:vAlign w:val="center"/>
          </w:tcPr>
          <w:p w14:paraId="67C03805" w14:textId="77777777" w:rsidR="00652644" w:rsidRDefault="00000000">
            <w:pPr>
              <w:cnfStyle w:val="100000000000" w:firstRow="1" w:lastRow="0" w:firstColumn="0" w:lastColumn="0" w:oddVBand="0" w:evenVBand="0" w:oddHBand="0" w:evenHBand="0" w:firstRowFirstColumn="0" w:firstRowLastColumn="0" w:lastRowFirstColumn="0" w:lastRowLastColumn="0"/>
            </w:pPr>
            <w:r>
              <w:rPr>
                <w:rFonts w:ascii="Open Sans" w:eastAsia="Open Sans" w:hAnsi="Open Sans" w:cs="Open Sans"/>
                <w:b w:val="0"/>
                <w:sz w:val="20"/>
                <w:szCs w:val="20"/>
              </w:rPr>
              <w:t>Ciudad</w:t>
            </w:r>
          </w:p>
        </w:tc>
        <w:tc>
          <w:tcPr>
            <w:tcW w:w="1559" w:type="dxa"/>
            <w:vAlign w:val="center"/>
          </w:tcPr>
          <w:p w14:paraId="54321120"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1FC7D563"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2012</w:t>
            </w:r>
          </w:p>
          <w:p w14:paraId="50520BDC"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(10 años)</w:t>
            </w:r>
          </w:p>
        </w:tc>
        <w:tc>
          <w:tcPr>
            <w:tcW w:w="1418" w:type="dxa"/>
            <w:vAlign w:val="center"/>
          </w:tcPr>
          <w:p w14:paraId="769DC90A"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1E3687D6"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2017</w:t>
            </w:r>
          </w:p>
          <w:p w14:paraId="2D05D251"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(5 años)</w:t>
            </w:r>
          </w:p>
        </w:tc>
        <w:tc>
          <w:tcPr>
            <w:tcW w:w="1417" w:type="dxa"/>
            <w:vAlign w:val="center"/>
          </w:tcPr>
          <w:p w14:paraId="53624265"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7B99F5C7"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2021</w:t>
            </w:r>
          </w:p>
          <w:p w14:paraId="5C76D25F"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(1 año)</w:t>
            </w:r>
          </w:p>
        </w:tc>
        <w:tc>
          <w:tcPr>
            <w:tcW w:w="1426" w:type="dxa"/>
            <w:vAlign w:val="center"/>
          </w:tcPr>
          <w:p w14:paraId="557162BF"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Rentabilidad</w:t>
            </w:r>
          </w:p>
          <w:p w14:paraId="79E62A3A" w14:textId="77777777" w:rsidR="00652644" w:rsidRDefault="00000000">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color w:val="000000"/>
                <w:sz w:val="20"/>
                <w:szCs w:val="20"/>
              </w:rPr>
            </w:pPr>
            <w:r>
              <w:rPr>
                <w:rFonts w:ascii="Open Sans" w:eastAsia="Open Sans" w:hAnsi="Open Sans" w:cs="Open Sans"/>
                <w:b w:val="0"/>
                <w:color w:val="000000"/>
                <w:sz w:val="20"/>
                <w:szCs w:val="20"/>
              </w:rPr>
              <w:t>2022</w:t>
            </w:r>
          </w:p>
        </w:tc>
      </w:tr>
      <w:tr w:rsidR="00652644" w14:paraId="22E87032" w14:textId="77777777" w:rsidTr="006526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06273EC"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7C05F9D9"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Gandía</w:t>
            </w:r>
          </w:p>
        </w:tc>
        <w:tc>
          <w:tcPr>
            <w:tcW w:w="1559" w:type="dxa"/>
            <w:vAlign w:val="bottom"/>
          </w:tcPr>
          <w:p w14:paraId="0C4F073A"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418" w:type="dxa"/>
            <w:vAlign w:val="bottom"/>
          </w:tcPr>
          <w:p w14:paraId="4ED4E641"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1417" w:type="dxa"/>
            <w:vAlign w:val="bottom"/>
          </w:tcPr>
          <w:p w14:paraId="58922F91"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c>
          <w:tcPr>
            <w:tcW w:w="1426" w:type="dxa"/>
            <w:vAlign w:val="bottom"/>
          </w:tcPr>
          <w:p w14:paraId="7B37B35A"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11,5%</w:t>
            </w:r>
          </w:p>
        </w:tc>
      </w:tr>
      <w:tr w:rsidR="00652644" w14:paraId="239C5280" w14:textId="77777777" w:rsidTr="00652644">
        <w:trPr>
          <w:trHeight w:val="25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A24E23D"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04082138"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Águilas</w:t>
            </w:r>
          </w:p>
        </w:tc>
        <w:tc>
          <w:tcPr>
            <w:tcW w:w="1559" w:type="dxa"/>
          </w:tcPr>
          <w:p w14:paraId="46EF19C4"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5DBC456D"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1AC03C8B"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5BDF6115"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10,9%</w:t>
            </w:r>
          </w:p>
        </w:tc>
      </w:tr>
      <w:tr w:rsidR="00652644" w14:paraId="246AC2A5" w14:textId="77777777" w:rsidTr="006526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F15B33F"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3E8A3AF3"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La Manga del Mar Menor</w:t>
            </w:r>
          </w:p>
        </w:tc>
        <w:tc>
          <w:tcPr>
            <w:tcW w:w="1559" w:type="dxa"/>
          </w:tcPr>
          <w:p w14:paraId="5804458E"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36ED4B2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4868E69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7B631D5F"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10,8%</w:t>
            </w:r>
          </w:p>
        </w:tc>
      </w:tr>
      <w:tr w:rsidR="00652644" w14:paraId="64DCC3E1" w14:textId="77777777" w:rsidTr="00652644">
        <w:trPr>
          <w:trHeight w:val="25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EB9F49B"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2EE9AEC8"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Santa Pola</w:t>
            </w:r>
          </w:p>
        </w:tc>
        <w:tc>
          <w:tcPr>
            <w:tcW w:w="1559" w:type="dxa"/>
            <w:vAlign w:val="bottom"/>
          </w:tcPr>
          <w:p w14:paraId="55E30BA4"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418" w:type="dxa"/>
          </w:tcPr>
          <w:p w14:paraId="02427C62"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4BAA5AF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6171C69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10,2%</w:t>
            </w:r>
          </w:p>
        </w:tc>
      </w:tr>
      <w:tr w:rsidR="00652644" w14:paraId="54D8C16C" w14:textId="77777777" w:rsidTr="0065264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45388F3"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13B98F92"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Vera</w:t>
            </w:r>
          </w:p>
        </w:tc>
        <w:tc>
          <w:tcPr>
            <w:tcW w:w="1559" w:type="dxa"/>
            <w:vAlign w:val="bottom"/>
          </w:tcPr>
          <w:p w14:paraId="50C59DD8"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418" w:type="dxa"/>
          </w:tcPr>
          <w:p w14:paraId="48453E16"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236BAAEF"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74895D9A"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9,4%</w:t>
            </w:r>
          </w:p>
        </w:tc>
      </w:tr>
      <w:tr w:rsidR="00652644" w14:paraId="66B22E54" w14:textId="77777777" w:rsidTr="00652644">
        <w:trPr>
          <w:trHeight w:val="21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A813C68"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126" w:type="dxa"/>
            <w:vAlign w:val="bottom"/>
          </w:tcPr>
          <w:p w14:paraId="6AF71208"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Laredo</w:t>
            </w:r>
          </w:p>
        </w:tc>
        <w:tc>
          <w:tcPr>
            <w:tcW w:w="1559" w:type="dxa"/>
            <w:vAlign w:val="bottom"/>
          </w:tcPr>
          <w:p w14:paraId="237BBC36" w14:textId="77777777" w:rsidR="00652644" w:rsidRDefault="00652644">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p>
        </w:tc>
        <w:tc>
          <w:tcPr>
            <w:tcW w:w="1418" w:type="dxa"/>
          </w:tcPr>
          <w:p w14:paraId="5CF02E78"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05339D0B"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281C749B"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w:t>
            </w:r>
          </w:p>
        </w:tc>
      </w:tr>
      <w:tr w:rsidR="00652644" w14:paraId="05DFE579" w14:textId="77777777" w:rsidTr="0065264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CA84C6B"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3F888109"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Sagunto / Sagunt</w:t>
            </w:r>
          </w:p>
        </w:tc>
        <w:tc>
          <w:tcPr>
            <w:tcW w:w="1559" w:type="dxa"/>
            <w:vAlign w:val="bottom"/>
          </w:tcPr>
          <w:p w14:paraId="72CAF9C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418" w:type="dxa"/>
          </w:tcPr>
          <w:p w14:paraId="6FDD3A61"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15159B72"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78F90FC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9,0%</w:t>
            </w:r>
          </w:p>
        </w:tc>
      </w:tr>
      <w:tr w:rsidR="00652644" w14:paraId="31E63BA1" w14:textId="77777777" w:rsidTr="00652644">
        <w:trPr>
          <w:trHeight w:val="250"/>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972F6D8"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Murcia</w:t>
            </w:r>
          </w:p>
        </w:tc>
        <w:tc>
          <w:tcPr>
            <w:tcW w:w="2126" w:type="dxa"/>
            <w:vAlign w:val="bottom"/>
          </w:tcPr>
          <w:p w14:paraId="4A74BCE5"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Cartagena</w:t>
            </w:r>
          </w:p>
        </w:tc>
        <w:tc>
          <w:tcPr>
            <w:tcW w:w="1559" w:type="dxa"/>
            <w:vAlign w:val="bottom"/>
          </w:tcPr>
          <w:p w14:paraId="7B7F83E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418" w:type="dxa"/>
            <w:vAlign w:val="bottom"/>
          </w:tcPr>
          <w:p w14:paraId="65F4A955"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1417" w:type="dxa"/>
            <w:vAlign w:val="bottom"/>
          </w:tcPr>
          <w:p w14:paraId="76110F7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1426" w:type="dxa"/>
            <w:vAlign w:val="bottom"/>
          </w:tcPr>
          <w:p w14:paraId="078C7161"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8,2%</w:t>
            </w:r>
          </w:p>
        </w:tc>
      </w:tr>
      <w:tr w:rsidR="00652644" w14:paraId="0D90B4E1" w14:textId="77777777" w:rsidTr="0065264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88A5B77"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1EE3C51D"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La Línea de la Concepción</w:t>
            </w:r>
          </w:p>
        </w:tc>
        <w:tc>
          <w:tcPr>
            <w:tcW w:w="1559" w:type="dxa"/>
            <w:vAlign w:val="bottom"/>
          </w:tcPr>
          <w:p w14:paraId="230DBE0E"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418" w:type="dxa"/>
            <w:vAlign w:val="bottom"/>
          </w:tcPr>
          <w:p w14:paraId="6140F4BA"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vAlign w:val="bottom"/>
          </w:tcPr>
          <w:p w14:paraId="13F97504"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c>
          <w:tcPr>
            <w:tcW w:w="1426" w:type="dxa"/>
            <w:vAlign w:val="bottom"/>
          </w:tcPr>
          <w:p w14:paraId="640ACE14"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r>
      <w:tr w:rsidR="00652644" w14:paraId="110EE2B4" w14:textId="77777777" w:rsidTr="00652644">
        <w:trPr>
          <w:trHeight w:val="200"/>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377C687"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2507D1A8"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Roquetas de Mar</w:t>
            </w:r>
          </w:p>
        </w:tc>
        <w:tc>
          <w:tcPr>
            <w:tcW w:w="1559" w:type="dxa"/>
            <w:vAlign w:val="bottom"/>
          </w:tcPr>
          <w:p w14:paraId="3802DEBE"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418" w:type="dxa"/>
            <w:vAlign w:val="bottom"/>
          </w:tcPr>
          <w:p w14:paraId="6127E827"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1417" w:type="dxa"/>
            <w:vAlign w:val="bottom"/>
          </w:tcPr>
          <w:p w14:paraId="530204C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c>
          <w:tcPr>
            <w:tcW w:w="1426" w:type="dxa"/>
            <w:vAlign w:val="bottom"/>
          </w:tcPr>
          <w:p w14:paraId="0F7EDDC7"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8,0%</w:t>
            </w:r>
          </w:p>
        </w:tc>
      </w:tr>
      <w:tr w:rsidR="00652644" w14:paraId="3443CA5D" w14:textId="77777777" w:rsidTr="00652644">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31BCAD7"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Huelva</w:t>
            </w:r>
          </w:p>
        </w:tc>
        <w:tc>
          <w:tcPr>
            <w:tcW w:w="2126" w:type="dxa"/>
            <w:vAlign w:val="bottom"/>
          </w:tcPr>
          <w:p w14:paraId="5C415D77"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Huelva Capital</w:t>
            </w:r>
          </w:p>
        </w:tc>
        <w:tc>
          <w:tcPr>
            <w:tcW w:w="1559" w:type="dxa"/>
            <w:vAlign w:val="bottom"/>
          </w:tcPr>
          <w:p w14:paraId="52AB8363"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418" w:type="dxa"/>
            <w:vAlign w:val="bottom"/>
          </w:tcPr>
          <w:p w14:paraId="18DC3FB0"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417" w:type="dxa"/>
            <w:vAlign w:val="bottom"/>
          </w:tcPr>
          <w:p w14:paraId="54840AC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1426" w:type="dxa"/>
            <w:vAlign w:val="bottom"/>
          </w:tcPr>
          <w:p w14:paraId="689EEF00"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7,9%</w:t>
            </w:r>
          </w:p>
        </w:tc>
      </w:tr>
      <w:tr w:rsidR="00652644" w14:paraId="6673D7D1" w14:textId="77777777" w:rsidTr="00652644">
        <w:trPr>
          <w:trHeight w:val="317"/>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7B712D3"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3559F59B"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Algeciras</w:t>
            </w:r>
          </w:p>
        </w:tc>
        <w:tc>
          <w:tcPr>
            <w:tcW w:w="1559" w:type="dxa"/>
            <w:vAlign w:val="bottom"/>
          </w:tcPr>
          <w:p w14:paraId="573003B0"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418" w:type="dxa"/>
            <w:vAlign w:val="bottom"/>
          </w:tcPr>
          <w:p w14:paraId="680A629B"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1417" w:type="dxa"/>
            <w:vAlign w:val="bottom"/>
          </w:tcPr>
          <w:p w14:paraId="7175D52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c>
          <w:tcPr>
            <w:tcW w:w="1426" w:type="dxa"/>
            <w:vAlign w:val="bottom"/>
          </w:tcPr>
          <w:p w14:paraId="5080561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7,8%</w:t>
            </w:r>
          </w:p>
        </w:tc>
      </w:tr>
      <w:tr w:rsidR="00652644" w14:paraId="477FBDD8" w14:textId="77777777" w:rsidTr="0065264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52B6BDC"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6DD57EDB"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Badalona</w:t>
            </w:r>
          </w:p>
        </w:tc>
        <w:tc>
          <w:tcPr>
            <w:tcW w:w="1559" w:type="dxa"/>
            <w:vAlign w:val="bottom"/>
          </w:tcPr>
          <w:p w14:paraId="327090A5"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418" w:type="dxa"/>
            <w:vAlign w:val="bottom"/>
          </w:tcPr>
          <w:p w14:paraId="2369D1CD"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c>
          <w:tcPr>
            <w:tcW w:w="1417" w:type="dxa"/>
            <w:vAlign w:val="bottom"/>
          </w:tcPr>
          <w:p w14:paraId="2DA2605E"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6,3%</w:t>
            </w:r>
          </w:p>
        </w:tc>
        <w:tc>
          <w:tcPr>
            <w:tcW w:w="1426" w:type="dxa"/>
            <w:vAlign w:val="bottom"/>
          </w:tcPr>
          <w:p w14:paraId="4957C725"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7,4%</w:t>
            </w:r>
          </w:p>
        </w:tc>
      </w:tr>
      <w:tr w:rsidR="00652644" w14:paraId="5CE7FE43" w14:textId="77777777" w:rsidTr="00652644">
        <w:trPr>
          <w:trHeight w:val="233"/>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AA2D46C"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23BBFB9E"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El Puerto de Santa María</w:t>
            </w:r>
          </w:p>
        </w:tc>
        <w:tc>
          <w:tcPr>
            <w:tcW w:w="1559" w:type="dxa"/>
            <w:vAlign w:val="bottom"/>
          </w:tcPr>
          <w:p w14:paraId="7DB0A1B4"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418" w:type="dxa"/>
            <w:vAlign w:val="bottom"/>
          </w:tcPr>
          <w:p w14:paraId="7C387744"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417" w:type="dxa"/>
            <w:vAlign w:val="bottom"/>
          </w:tcPr>
          <w:p w14:paraId="1D4455BB"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61999B4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652644" w14:paraId="73C93E08" w14:textId="77777777" w:rsidTr="0065264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B124501"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16EE0A16"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Torrevieja</w:t>
            </w:r>
          </w:p>
        </w:tc>
        <w:tc>
          <w:tcPr>
            <w:tcW w:w="1559" w:type="dxa"/>
            <w:vAlign w:val="bottom"/>
          </w:tcPr>
          <w:p w14:paraId="4505B5D9"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c>
          <w:tcPr>
            <w:tcW w:w="1418" w:type="dxa"/>
            <w:vAlign w:val="bottom"/>
          </w:tcPr>
          <w:p w14:paraId="071E2718"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1417" w:type="dxa"/>
            <w:vAlign w:val="bottom"/>
          </w:tcPr>
          <w:p w14:paraId="2ACE6E5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426" w:type="dxa"/>
            <w:vAlign w:val="bottom"/>
          </w:tcPr>
          <w:p w14:paraId="4C6C5A19"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7,3%</w:t>
            </w:r>
          </w:p>
        </w:tc>
      </w:tr>
      <w:tr w:rsidR="00652644" w14:paraId="4A1CF332" w14:textId="77777777" w:rsidTr="00652644">
        <w:trPr>
          <w:trHeight w:val="25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A5DA7A7"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Almería</w:t>
            </w:r>
          </w:p>
        </w:tc>
        <w:tc>
          <w:tcPr>
            <w:tcW w:w="2126" w:type="dxa"/>
            <w:vAlign w:val="bottom"/>
          </w:tcPr>
          <w:p w14:paraId="45F57720"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Almería Capital</w:t>
            </w:r>
          </w:p>
        </w:tc>
        <w:tc>
          <w:tcPr>
            <w:tcW w:w="1559" w:type="dxa"/>
            <w:vAlign w:val="bottom"/>
          </w:tcPr>
          <w:p w14:paraId="74E7EF12"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418" w:type="dxa"/>
            <w:vAlign w:val="bottom"/>
          </w:tcPr>
          <w:p w14:paraId="00CB8DB0"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417" w:type="dxa"/>
            <w:vAlign w:val="bottom"/>
          </w:tcPr>
          <w:p w14:paraId="1C074E10"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1426" w:type="dxa"/>
            <w:vAlign w:val="bottom"/>
          </w:tcPr>
          <w:p w14:paraId="5F4A8D56"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652644" w14:paraId="796FB6BD" w14:textId="77777777" w:rsidTr="00652644">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3AAAA51"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126" w:type="dxa"/>
            <w:vAlign w:val="bottom"/>
          </w:tcPr>
          <w:p w14:paraId="5554C782"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Castro-Urdiales</w:t>
            </w:r>
          </w:p>
        </w:tc>
        <w:tc>
          <w:tcPr>
            <w:tcW w:w="1559" w:type="dxa"/>
            <w:vAlign w:val="bottom"/>
          </w:tcPr>
          <w:p w14:paraId="3076972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418" w:type="dxa"/>
            <w:vAlign w:val="bottom"/>
          </w:tcPr>
          <w:p w14:paraId="50916D3D"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vAlign w:val="bottom"/>
          </w:tcPr>
          <w:p w14:paraId="76188E3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1426" w:type="dxa"/>
            <w:vAlign w:val="bottom"/>
          </w:tcPr>
          <w:p w14:paraId="27155BCE"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7,2%</w:t>
            </w:r>
          </w:p>
        </w:tc>
      </w:tr>
      <w:tr w:rsidR="00652644" w14:paraId="166348FB" w14:textId="77777777" w:rsidTr="00652644">
        <w:trPr>
          <w:trHeight w:val="26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DC266BF"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126" w:type="dxa"/>
            <w:vAlign w:val="bottom"/>
          </w:tcPr>
          <w:p w14:paraId="35EC916B"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Mogán</w:t>
            </w:r>
          </w:p>
        </w:tc>
        <w:tc>
          <w:tcPr>
            <w:tcW w:w="1559" w:type="dxa"/>
          </w:tcPr>
          <w:p w14:paraId="4F937C27"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680ECC8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1AC9CB50"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4A89753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7,1%</w:t>
            </w:r>
          </w:p>
        </w:tc>
      </w:tr>
      <w:tr w:rsidR="00652644" w14:paraId="7D2492D8" w14:textId="77777777" w:rsidTr="00652644">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9F371EA"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0B6608B6"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Alicante / Alacant</w:t>
            </w:r>
          </w:p>
        </w:tc>
        <w:tc>
          <w:tcPr>
            <w:tcW w:w="1559" w:type="dxa"/>
            <w:vAlign w:val="bottom"/>
          </w:tcPr>
          <w:p w14:paraId="6468D46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418" w:type="dxa"/>
            <w:vAlign w:val="bottom"/>
          </w:tcPr>
          <w:p w14:paraId="24A96CA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417" w:type="dxa"/>
            <w:vAlign w:val="bottom"/>
          </w:tcPr>
          <w:p w14:paraId="12BA187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426" w:type="dxa"/>
            <w:vAlign w:val="bottom"/>
          </w:tcPr>
          <w:p w14:paraId="08493FE3"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6,9%</w:t>
            </w:r>
          </w:p>
        </w:tc>
      </w:tr>
      <w:tr w:rsidR="00652644" w14:paraId="449E7F72" w14:textId="77777777" w:rsidTr="00652644">
        <w:trPr>
          <w:trHeight w:val="27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F226F30"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Castellón</w:t>
            </w:r>
          </w:p>
        </w:tc>
        <w:tc>
          <w:tcPr>
            <w:tcW w:w="2126" w:type="dxa"/>
            <w:vAlign w:val="bottom"/>
          </w:tcPr>
          <w:p w14:paraId="6710750D"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Castellón de la Plana / Castelló de la Plana</w:t>
            </w:r>
          </w:p>
        </w:tc>
        <w:tc>
          <w:tcPr>
            <w:tcW w:w="1559" w:type="dxa"/>
            <w:vAlign w:val="bottom"/>
          </w:tcPr>
          <w:p w14:paraId="7D67743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418" w:type="dxa"/>
            <w:vAlign w:val="bottom"/>
          </w:tcPr>
          <w:p w14:paraId="04E29C42"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417" w:type="dxa"/>
            <w:vAlign w:val="bottom"/>
          </w:tcPr>
          <w:p w14:paraId="049132A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426" w:type="dxa"/>
            <w:vAlign w:val="bottom"/>
          </w:tcPr>
          <w:p w14:paraId="5151A7C8"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652644" w14:paraId="19C239D4" w14:textId="77777777" w:rsidTr="0065264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F8BFF73"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Tarragona</w:t>
            </w:r>
          </w:p>
        </w:tc>
        <w:tc>
          <w:tcPr>
            <w:tcW w:w="2126" w:type="dxa"/>
            <w:vAlign w:val="bottom"/>
          </w:tcPr>
          <w:p w14:paraId="08D399C0"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Tarragona Capital</w:t>
            </w:r>
          </w:p>
        </w:tc>
        <w:tc>
          <w:tcPr>
            <w:tcW w:w="1559" w:type="dxa"/>
            <w:vAlign w:val="bottom"/>
          </w:tcPr>
          <w:p w14:paraId="38BE0C5A"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418" w:type="dxa"/>
            <w:vAlign w:val="bottom"/>
          </w:tcPr>
          <w:p w14:paraId="6DECBBF9"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417" w:type="dxa"/>
            <w:vAlign w:val="bottom"/>
          </w:tcPr>
          <w:p w14:paraId="2DF43326"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426" w:type="dxa"/>
            <w:vAlign w:val="bottom"/>
          </w:tcPr>
          <w:p w14:paraId="0C5AFDA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652644" w14:paraId="5BCE5ECD" w14:textId="77777777" w:rsidTr="00652644">
        <w:trPr>
          <w:trHeight w:val="50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B31300A"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390CC80D"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Ferrol</w:t>
            </w:r>
          </w:p>
        </w:tc>
        <w:tc>
          <w:tcPr>
            <w:tcW w:w="1559" w:type="dxa"/>
            <w:vAlign w:val="bottom"/>
          </w:tcPr>
          <w:p w14:paraId="3A635B16"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418" w:type="dxa"/>
            <w:vAlign w:val="bottom"/>
          </w:tcPr>
          <w:p w14:paraId="10AA35F5"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417" w:type="dxa"/>
            <w:vAlign w:val="bottom"/>
          </w:tcPr>
          <w:p w14:paraId="6CE4BF1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426" w:type="dxa"/>
            <w:vAlign w:val="bottom"/>
          </w:tcPr>
          <w:p w14:paraId="1E847D7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652644" w14:paraId="1E59C62F" w14:textId="77777777" w:rsidTr="0065264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717C221"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Santa Cruz de Tenerife</w:t>
            </w:r>
          </w:p>
        </w:tc>
        <w:tc>
          <w:tcPr>
            <w:tcW w:w="2126" w:type="dxa"/>
            <w:vAlign w:val="bottom"/>
          </w:tcPr>
          <w:p w14:paraId="057F35CC"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Santa Cruz de Tenerife Capital</w:t>
            </w:r>
          </w:p>
        </w:tc>
        <w:tc>
          <w:tcPr>
            <w:tcW w:w="1559" w:type="dxa"/>
            <w:vAlign w:val="bottom"/>
          </w:tcPr>
          <w:p w14:paraId="7C3F835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418" w:type="dxa"/>
            <w:vAlign w:val="bottom"/>
          </w:tcPr>
          <w:p w14:paraId="2B9F5FBA"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1417" w:type="dxa"/>
            <w:vAlign w:val="bottom"/>
          </w:tcPr>
          <w:p w14:paraId="1C282D6D"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6,7%</w:t>
            </w:r>
          </w:p>
        </w:tc>
        <w:tc>
          <w:tcPr>
            <w:tcW w:w="1426" w:type="dxa"/>
            <w:vAlign w:val="bottom"/>
          </w:tcPr>
          <w:p w14:paraId="4C6373AE"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652644" w14:paraId="1CCE5B3D" w14:textId="77777777" w:rsidTr="00652644">
        <w:trPr>
          <w:trHeight w:val="416"/>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514C918"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39739D9F"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El Campello</w:t>
            </w:r>
          </w:p>
        </w:tc>
        <w:tc>
          <w:tcPr>
            <w:tcW w:w="1559" w:type="dxa"/>
            <w:vAlign w:val="bottom"/>
          </w:tcPr>
          <w:p w14:paraId="2372B900"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418" w:type="dxa"/>
          </w:tcPr>
          <w:p w14:paraId="032FFF7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6368DA4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488B231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652644" w14:paraId="46526316" w14:textId="77777777" w:rsidTr="00652644">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38EEEE1"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Las Palmas</w:t>
            </w:r>
          </w:p>
        </w:tc>
        <w:tc>
          <w:tcPr>
            <w:tcW w:w="2126" w:type="dxa"/>
            <w:vAlign w:val="bottom"/>
          </w:tcPr>
          <w:p w14:paraId="0D6EFEAA"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Las Palmas de Gran Canaria</w:t>
            </w:r>
          </w:p>
        </w:tc>
        <w:tc>
          <w:tcPr>
            <w:tcW w:w="1559" w:type="dxa"/>
            <w:vAlign w:val="bottom"/>
          </w:tcPr>
          <w:p w14:paraId="762C79D3"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418" w:type="dxa"/>
            <w:vAlign w:val="bottom"/>
          </w:tcPr>
          <w:p w14:paraId="234A8B1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c>
          <w:tcPr>
            <w:tcW w:w="1417" w:type="dxa"/>
            <w:vAlign w:val="bottom"/>
          </w:tcPr>
          <w:p w14:paraId="7DC6B982"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1426" w:type="dxa"/>
            <w:vAlign w:val="bottom"/>
          </w:tcPr>
          <w:p w14:paraId="4BC7AD5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6,6%</w:t>
            </w:r>
          </w:p>
        </w:tc>
      </w:tr>
      <w:tr w:rsidR="00652644" w14:paraId="6AFFD58E" w14:textId="77777777" w:rsidTr="00652644">
        <w:trPr>
          <w:trHeight w:val="26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1B01377"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3AE79938"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Elche / Elx</w:t>
            </w:r>
          </w:p>
        </w:tc>
        <w:tc>
          <w:tcPr>
            <w:tcW w:w="1559" w:type="dxa"/>
            <w:vAlign w:val="bottom"/>
          </w:tcPr>
          <w:p w14:paraId="61EDBCC7"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418" w:type="dxa"/>
            <w:vAlign w:val="bottom"/>
          </w:tcPr>
          <w:p w14:paraId="78700A6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417" w:type="dxa"/>
            <w:vAlign w:val="bottom"/>
          </w:tcPr>
          <w:p w14:paraId="7D4C6277"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c>
          <w:tcPr>
            <w:tcW w:w="1426" w:type="dxa"/>
            <w:vAlign w:val="bottom"/>
          </w:tcPr>
          <w:p w14:paraId="766A670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6,4%</w:t>
            </w:r>
          </w:p>
        </w:tc>
      </w:tr>
      <w:tr w:rsidR="00652644" w14:paraId="501E7F3A" w14:textId="77777777" w:rsidTr="00652644">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3B08A37"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56B353E5"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Torremolinos</w:t>
            </w:r>
          </w:p>
        </w:tc>
        <w:tc>
          <w:tcPr>
            <w:tcW w:w="1559" w:type="dxa"/>
            <w:vAlign w:val="bottom"/>
          </w:tcPr>
          <w:p w14:paraId="38A65208"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418" w:type="dxa"/>
            <w:vAlign w:val="bottom"/>
          </w:tcPr>
          <w:p w14:paraId="5FA5CE94"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417" w:type="dxa"/>
            <w:vAlign w:val="bottom"/>
          </w:tcPr>
          <w:p w14:paraId="76F2DD2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426" w:type="dxa"/>
            <w:vAlign w:val="bottom"/>
          </w:tcPr>
          <w:p w14:paraId="5E1B15C1"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652644" w14:paraId="5C0AC695" w14:textId="77777777" w:rsidTr="00652644">
        <w:trPr>
          <w:trHeight w:val="27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D03C669"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Asturias</w:t>
            </w:r>
          </w:p>
        </w:tc>
        <w:tc>
          <w:tcPr>
            <w:tcW w:w="2126" w:type="dxa"/>
            <w:vAlign w:val="bottom"/>
          </w:tcPr>
          <w:p w14:paraId="54DF8B07"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Gijón</w:t>
            </w:r>
          </w:p>
        </w:tc>
        <w:tc>
          <w:tcPr>
            <w:tcW w:w="1559" w:type="dxa"/>
            <w:vAlign w:val="bottom"/>
          </w:tcPr>
          <w:p w14:paraId="1EE56010"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418" w:type="dxa"/>
            <w:vAlign w:val="bottom"/>
          </w:tcPr>
          <w:p w14:paraId="60A31B74"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417" w:type="dxa"/>
            <w:vAlign w:val="bottom"/>
          </w:tcPr>
          <w:p w14:paraId="6C612294"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1426" w:type="dxa"/>
            <w:vAlign w:val="bottom"/>
          </w:tcPr>
          <w:p w14:paraId="6578881E"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r>
      <w:tr w:rsidR="00652644" w14:paraId="3A92FFEA" w14:textId="77777777" w:rsidTr="0065264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4711A3F"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 Coruña</w:t>
            </w:r>
          </w:p>
        </w:tc>
        <w:tc>
          <w:tcPr>
            <w:tcW w:w="2126" w:type="dxa"/>
            <w:vAlign w:val="bottom"/>
          </w:tcPr>
          <w:p w14:paraId="2208ADBE"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Narón</w:t>
            </w:r>
          </w:p>
        </w:tc>
        <w:tc>
          <w:tcPr>
            <w:tcW w:w="1559" w:type="dxa"/>
            <w:vAlign w:val="bottom"/>
          </w:tcPr>
          <w:p w14:paraId="41FE171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vAlign w:val="bottom"/>
          </w:tcPr>
          <w:p w14:paraId="4BC952C8"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417" w:type="dxa"/>
            <w:vAlign w:val="bottom"/>
          </w:tcPr>
          <w:p w14:paraId="057992AF" w14:textId="77777777" w:rsidR="00652644" w:rsidRDefault="0065264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426" w:type="dxa"/>
            <w:vAlign w:val="bottom"/>
          </w:tcPr>
          <w:p w14:paraId="23FCF6C1"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652644" w14:paraId="15A6846A" w14:textId="77777777" w:rsidTr="00652644">
        <w:trPr>
          <w:trHeight w:val="153"/>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4707785"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59A5F60B"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Vélez-Málaga</w:t>
            </w:r>
          </w:p>
        </w:tc>
        <w:tc>
          <w:tcPr>
            <w:tcW w:w="1559" w:type="dxa"/>
            <w:vAlign w:val="bottom"/>
          </w:tcPr>
          <w:p w14:paraId="4EDCDDD6"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418" w:type="dxa"/>
          </w:tcPr>
          <w:p w14:paraId="0A372C6B"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01AFB7E7"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4D2EC0C8"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6,0%</w:t>
            </w:r>
          </w:p>
        </w:tc>
      </w:tr>
      <w:tr w:rsidR="00652644" w14:paraId="18AED4B4" w14:textId="77777777" w:rsidTr="00652644">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0329320"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lastRenderedPageBreak/>
              <w:t>Asturias</w:t>
            </w:r>
          </w:p>
        </w:tc>
        <w:tc>
          <w:tcPr>
            <w:tcW w:w="2126" w:type="dxa"/>
            <w:vAlign w:val="bottom"/>
          </w:tcPr>
          <w:p w14:paraId="1F430A71"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Avilés</w:t>
            </w:r>
          </w:p>
        </w:tc>
        <w:tc>
          <w:tcPr>
            <w:tcW w:w="1559" w:type="dxa"/>
            <w:vAlign w:val="bottom"/>
          </w:tcPr>
          <w:p w14:paraId="69F46664" w14:textId="77777777" w:rsidR="00652644" w:rsidRDefault="0065264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418" w:type="dxa"/>
            <w:vAlign w:val="bottom"/>
          </w:tcPr>
          <w:p w14:paraId="60090642"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417" w:type="dxa"/>
            <w:vAlign w:val="bottom"/>
          </w:tcPr>
          <w:p w14:paraId="5541FC73"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426" w:type="dxa"/>
            <w:vAlign w:val="bottom"/>
          </w:tcPr>
          <w:p w14:paraId="5F7EA5E3"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r>
      <w:tr w:rsidR="00652644" w14:paraId="13A8E345" w14:textId="77777777" w:rsidTr="00652644">
        <w:trPr>
          <w:trHeight w:val="265"/>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622ABB3"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7B21AF3E"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Benidorm</w:t>
            </w:r>
          </w:p>
        </w:tc>
        <w:tc>
          <w:tcPr>
            <w:tcW w:w="1559" w:type="dxa"/>
            <w:vAlign w:val="bottom"/>
          </w:tcPr>
          <w:p w14:paraId="564CC6B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418" w:type="dxa"/>
            <w:vAlign w:val="bottom"/>
          </w:tcPr>
          <w:p w14:paraId="5A7081F2"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c>
          <w:tcPr>
            <w:tcW w:w="1417" w:type="dxa"/>
            <w:vAlign w:val="bottom"/>
          </w:tcPr>
          <w:p w14:paraId="2935F97B"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426" w:type="dxa"/>
            <w:vAlign w:val="bottom"/>
          </w:tcPr>
          <w:p w14:paraId="16B0B1FD"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r>
      <w:tr w:rsidR="00652644" w14:paraId="48D1A8B4" w14:textId="77777777" w:rsidTr="006526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12395EC"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Granada</w:t>
            </w:r>
          </w:p>
        </w:tc>
        <w:tc>
          <w:tcPr>
            <w:tcW w:w="2126" w:type="dxa"/>
            <w:vAlign w:val="bottom"/>
          </w:tcPr>
          <w:p w14:paraId="5D3B5FFD"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Almuñécar</w:t>
            </w:r>
          </w:p>
        </w:tc>
        <w:tc>
          <w:tcPr>
            <w:tcW w:w="1559" w:type="dxa"/>
            <w:vAlign w:val="bottom"/>
          </w:tcPr>
          <w:p w14:paraId="49DE6445"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3,7%</w:t>
            </w:r>
          </w:p>
        </w:tc>
        <w:tc>
          <w:tcPr>
            <w:tcW w:w="1418" w:type="dxa"/>
          </w:tcPr>
          <w:p w14:paraId="73B9927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3134D28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527E0D50"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r>
      <w:tr w:rsidR="00652644" w14:paraId="7E4DD9E6" w14:textId="77777777" w:rsidTr="00652644">
        <w:trPr>
          <w:trHeight w:val="155"/>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E41D7C9"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Valencia</w:t>
            </w:r>
          </w:p>
        </w:tc>
        <w:tc>
          <w:tcPr>
            <w:tcW w:w="2126" w:type="dxa"/>
            <w:vAlign w:val="bottom"/>
          </w:tcPr>
          <w:p w14:paraId="2EFFFE0E"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Valencia Capital</w:t>
            </w:r>
          </w:p>
        </w:tc>
        <w:tc>
          <w:tcPr>
            <w:tcW w:w="1559" w:type="dxa"/>
            <w:vAlign w:val="bottom"/>
          </w:tcPr>
          <w:p w14:paraId="2DC2363B"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418" w:type="dxa"/>
            <w:vAlign w:val="bottom"/>
          </w:tcPr>
          <w:p w14:paraId="0EA7326E"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417" w:type="dxa"/>
            <w:vAlign w:val="bottom"/>
          </w:tcPr>
          <w:p w14:paraId="3F4653E4"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426" w:type="dxa"/>
            <w:vAlign w:val="bottom"/>
          </w:tcPr>
          <w:p w14:paraId="080D38E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5,9%</w:t>
            </w:r>
          </w:p>
        </w:tc>
      </w:tr>
      <w:tr w:rsidR="00652644" w14:paraId="67A601FF" w14:textId="77777777" w:rsidTr="0065264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BAD4BC9"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Melilla</w:t>
            </w:r>
          </w:p>
        </w:tc>
        <w:tc>
          <w:tcPr>
            <w:tcW w:w="2126" w:type="dxa"/>
            <w:vAlign w:val="bottom"/>
          </w:tcPr>
          <w:p w14:paraId="124121FC"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Melilla Capital</w:t>
            </w:r>
          </w:p>
        </w:tc>
        <w:tc>
          <w:tcPr>
            <w:tcW w:w="1559" w:type="dxa"/>
          </w:tcPr>
          <w:p w14:paraId="67C16A5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8" w:type="dxa"/>
          </w:tcPr>
          <w:p w14:paraId="021A0C8A"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3C5FB7B1"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3F16C590"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r>
      <w:tr w:rsidR="00652644" w14:paraId="0B1ECFB0" w14:textId="77777777" w:rsidTr="00652644">
        <w:trPr>
          <w:trHeight w:val="307"/>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6A787EC"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126" w:type="dxa"/>
            <w:vAlign w:val="bottom"/>
          </w:tcPr>
          <w:p w14:paraId="44166557"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Pontevedra Capital</w:t>
            </w:r>
          </w:p>
        </w:tc>
        <w:tc>
          <w:tcPr>
            <w:tcW w:w="1559" w:type="dxa"/>
            <w:vAlign w:val="bottom"/>
          </w:tcPr>
          <w:p w14:paraId="2A3A9712"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1418" w:type="dxa"/>
            <w:vAlign w:val="bottom"/>
          </w:tcPr>
          <w:p w14:paraId="24C24690"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417" w:type="dxa"/>
            <w:vAlign w:val="bottom"/>
          </w:tcPr>
          <w:p w14:paraId="4C19BE8E"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12B028ED"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r>
      <w:tr w:rsidR="00652644" w14:paraId="1F3E7BEF" w14:textId="77777777" w:rsidTr="0065264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8124045"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2F386CC9"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Mataró</w:t>
            </w:r>
          </w:p>
        </w:tc>
        <w:tc>
          <w:tcPr>
            <w:tcW w:w="1559" w:type="dxa"/>
            <w:vAlign w:val="bottom"/>
          </w:tcPr>
          <w:p w14:paraId="22B22D11"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418" w:type="dxa"/>
            <w:vAlign w:val="bottom"/>
          </w:tcPr>
          <w:p w14:paraId="2877BB0C" w14:textId="77777777" w:rsidR="00652644" w:rsidRDefault="00652644">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p>
        </w:tc>
        <w:tc>
          <w:tcPr>
            <w:tcW w:w="1417" w:type="dxa"/>
            <w:vAlign w:val="bottom"/>
          </w:tcPr>
          <w:p w14:paraId="144F74F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47478ECF"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r>
      <w:tr w:rsidR="00652644" w14:paraId="48D00227" w14:textId="77777777" w:rsidTr="00652644">
        <w:trPr>
          <w:trHeight w:val="27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B254668"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200AE1AB"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Benalmádena</w:t>
            </w:r>
          </w:p>
        </w:tc>
        <w:tc>
          <w:tcPr>
            <w:tcW w:w="1559" w:type="dxa"/>
            <w:vAlign w:val="bottom"/>
          </w:tcPr>
          <w:p w14:paraId="5C802773"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418" w:type="dxa"/>
            <w:vAlign w:val="bottom"/>
          </w:tcPr>
          <w:p w14:paraId="3B7647C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417" w:type="dxa"/>
            <w:vAlign w:val="bottom"/>
          </w:tcPr>
          <w:p w14:paraId="43ADB2A8"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426" w:type="dxa"/>
            <w:vAlign w:val="bottom"/>
          </w:tcPr>
          <w:p w14:paraId="79ABA46E"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r>
      <w:tr w:rsidR="00652644" w14:paraId="131EE4EA" w14:textId="77777777" w:rsidTr="0065264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EEF651C"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126" w:type="dxa"/>
            <w:vAlign w:val="bottom"/>
          </w:tcPr>
          <w:p w14:paraId="7106E64B"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Barakaldo</w:t>
            </w:r>
          </w:p>
        </w:tc>
        <w:tc>
          <w:tcPr>
            <w:tcW w:w="1559" w:type="dxa"/>
            <w:vAlign w:val="bottom"/>
          </w:tcPr>
          <w:p w14:paraId="30BDC6A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418" w:type="dxa"/>
            <w:vAlign w:val="bottom"/>
          </w:tcPr>
          <w:p w14:paraId="7B7AD4C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1417" w:type="dxa"/>
            <w:vAlign w:val="bottom"/>
          </w:tcPr>
          <w:p w14:paraId="32429809"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3FCF69E9"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r>
      <w:tr w:rsidR="00652644" w14:paraId="2CCA6445" w14:textId="77777777" w:rsidTr="00652644">
        <w:trPr>
          <w:trHeight w:val="258"/>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340B39C"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Cantabria</w:t>
            </w:r>
          </w:p>
        </w:tc>
        <w:tc>
          <w:tcPr>
            <w:tcW w:w="2126" w:type="dxa"/>
            <w:vAlign w:val="bottom"/>
          </w:tcPr>
          <w:p w14:paraId="04372FE8"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Santander</w:t>
            </w:r>
          </w:p>
        </w:tc>
        <w:tc>
          <w:tcPr>
            <w:tcW w:w="1559" w:type="dxa"/>
            <w:vAlign w:val="bottom"/>
          </w:tcPr>
          <w:p w14:paraId="54358EA7"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1418" w:type="dxa"/>
            <w:vAlign w:val="bottom"/>
          </w:tcPr>
          <w:p w14:paraId="25AE7F6D"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417" w:type="dxa"/>
            <w:vAlign w:val="bottom"/>
          </w:tcPr>
          <w:p w14:paraId="325B3B83"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426" w:type="dxa"/>
            <w:vAlign w:val="bottom"/>
          </w:tcPr>
          <w:p w14:paraId="7106CBEE"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5,4%</w:t>
            </w:r>
          </w:p>
        </w:tc>
      </w:tr>
      <w:tr w:rsidR="00652644" w14:paraId="78141AC7" w14:textId="77777777" w:rsidTr="0065264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B7579D0"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14CF1D19"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Castelldefels</w:t>
            </w:r>
          </w:p>
        </w:tc>
        <w:tc>
          <w:tcPr>
            <w:tcW w:w="1559" w:type="dxa"/>
            <w:vAlign w:val="bottom"/>
          </w:tcPr>
          <w:p w14:paraId="689BF75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418" w:type="dxa"/>
            <w:vAlign w:val="bottom"/>
          </w:tcPr>
          <w:p w14:paraId="426D75DD"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vAlign w:val="bottom"/>
          </w:tcPr>
          <w:p w14:paraId="7C4F7945"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1426" w:type="dxa"/>
            <w:vAlign w:val="bottom"/>
          </w:tcPr>
          <w:p w14:paraId="0FEC520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652644" w14:paraId="15BB9811" w14:textId="77777777" w:rsidTr="00652644">
        <w:trPr>
          <w:trHeight w:val="357"/>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365439A2"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Cádiz</w:t>
            </w:r>
          </w:p>
        </w:tc>
        <w:tc>
          <w:tcPr>
            <w:tcW w:w="2126" w:type="dxa"/>
            <w:vAlign w:val="bottom"/>
          </w:tcPr>
          <w:p w14:paraId="5833C0B6"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Cádiz Capital</w:t>
            </w:r>
          </w:p>
        </w:tc>
        <w:tc>
          <w:tcPr>
            <w:tcW w:w="1559" w:type="dxa"/>
            <w:vAlign w:val="bottom"/>
          </w:tcPr>
          <w:p w14:paraId="5474DD2F"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1418" w:type="dxa"/>
            <w:vAlign w:val="bottom"/>
          </w:tcPr>
          <w:p w14:paraId="22563077"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417" w:type="dxa"/>
            <w:vAlign w:val="bottom"/>
          </w:tcPr>
          <w:p w14:paraId="5F8DF748"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426" w:type="dxa"/>
            <w:vAlign w:val="bottom"/>
          </w:tcPr>
          <w:p w14:paraId="64546BE2"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652644" w14:paraId="7D531005" w14:textId="77777777" w:rsidTr="0065264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8C58B48"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2D7D3175"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Málaga Capital</w:t>
            </w:r>
          </w:p>
        </w:tc>
        <w:tc>
          <w:tcPr>
            <w:tcW w:w="1559" w:type="dxa"/>
            <w:vAlign w:val="bottom"/>
          </w:tcPr>
          <w:p w14:paraId="36DF2959"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418" w:type="dxa"/>
            <w:vAlign w:val="bottom"/>
          </w:tcPr>
          <w:p w14:paraId="2A421EFD"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1417" w:type="dxa"/>
            <w:vAlign w:val="bottom"/>
          </w:tcPr>
          <w:p w14:paraId="45AB99B7"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426" w:type="dxa"/>
            <w:vAlign w:val="bottom"/>
          </w:tcPr>
          <w:p w14:paraId="6334D819"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5,3%</w:t>
            </w:r>
          </w:p>
        </w:tc>
      </w:tr>
      <w:tr w:rsidR="00652644" w14:paraId="18AAA6DF" w14:textId="77777777" w:rsidTr="00652644">
        <w:trPr>
          <w:trHeight w:val="23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69A80F5"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20521BA3"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Marbella</w:t>
            </w:r>
          </w:p>
        </w:tc>
        <w:tc>
          <w:tcPr>
            <w:tcW w:w="1559" w:type="dxa"/>
            <w:vAlign w:val="bottom"/>
          </w:tcPr>
          <w:p w14:paraId="08FAED9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418" w:type="dxa"/>
            <w:vAlign w:val="bottom"/>
          </w:tcPr>
          <w:p w14:paraId="1D79AE9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c>
          <w:tcPr>
            <w:tcW w:w="1417" w:type="dxa"/>
            <w:vAlign w:val="bottom"/>
          </w:tcPr>
          <w:p w14:paraId="602BD6E8"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1426" w:type="dxa"/>
            <w:vAlign w:val="bottom"/>
          </w:tcPr>
          <w:p w14:paraId="0CE06C62"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652644" w14:paraId="46D71E59" w14:textId="77777777" w:rsidTr="006526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5D0867C"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0BC43C36"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Estepona</w:t>
            </w:r>
          </w:p>
        </w:tc>
        <w:tc>
          <w:tcPr>
            <w:tcW w:w="1559" w:type="dxa"/>
            <w:vAlign w:val="bottom"/>
          </w:tcPr>
          <w:p w14:paraId="02468C15"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418" w:type="dxa"/>
            <w:vAlign w:val="bottom"/>
          </w:tcPr>
          <w:p w14:paraId="6778B866"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vAlign w:val="bottom"/>
          </w:tcPr>
          <w:p w14:paraId="1D4718C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426" w:type="dxa"/>
            <w:vAlign w:val="bottom"/>
          </w:tcPr>
          <w:p w14:paraId="4B8EF844"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r>
      <w:tr w:rsidR="00652644" w14:paraId="2A51141E" w14:textId="77777777" w:rsidTr="00652644">
        <w:trPr>
          <w:trHeight w:val="317"/>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5B40769"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268D2123"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Barcelona Capital</w:t>
            </w:r>
          </w:p>
        </w:tc>
        <w:tc>
          <w:tcPr>
            <w:tcW w:w="1559" w:type="dxa"/>
            <w:vAlign w:val="bottom"/>
          </w:tcPr>
          <w:p w14:paraId="0F3CF4F7"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418" w:type="dxa"/>
            <w:vAlign w:val="bottom"/>
          </w:tcPr>
          <w:p w14:paraId="308E5284"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417" w:type="dxa"/>
            <w:vAlign w:val="bottom"/>
          </w:tcPr>
          <w:p w14:paraId="5F0060ED"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426" w:type="dxa"/>
            <w:vAlign w:val="bottom"/>
          </w:tcPr>
          <w:p w14:paraId="2C934F2C"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5,1%</w:t>
            </w:r>
          </w:p>
        </w:tc>
      </w:tr>
      <w:tr w:rsidR="00652644" w14:paraId="05296107" w14:textId="77777777" w:rsidTr="0065264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37D812B"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00D0FFEE"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Fuengirola</w:t>
            </w:r>
          </w:p>
        </w:tc>
        <w:tc>
          <w:tcPr>
            <w:tcW w:w="1559" w:type="dxa"/>
            <w:vAlign w:val="bottom"/>
          </w:tcPr>
          <w:p w14:paraId="6CF6EE80"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418" w:type="dxa"/>
            <w:vAlign w:val="bottom"/>
          </w:tcPr>
          <w:p w14:paraId="5828A8A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5,7%</w:t>
            </w:r>
          </w:p>
        </w:tc>
        <w:tc>
          <w:tcPr>
            <w:tcW w:w="1417" w:type="dxa"/>
            <w:vAlign w:val="bottom"/>
          </w:tcPr>
          <w:p w14:paraId="2ADBC3C0"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426" w:type="dxa"/>
            <w:vAlign w:val="bottom"/>
          </w:tcPr>
          <w:p w14:paraId="4BF15A7E"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5,0%</w:t>
            </w:r>
          </w:p>
        </w:tc>
      </w:tr>
      <w:tr w:rsidR="00652644" w14:paraId="40602347" w14:textId="77777777" w:rsidTr="00652644">
        <w:trPr>
          <w:trHeight w:val="275"/>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1F7C0770"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126" w:type="dxa"/>
            <w:vAlign w:val="bottom"/>
          </w:tcPr>
          <w:p w14:paraId="74360882"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Bilbao</w:t>
            </w:r>
          </w:p>
        </w:tc>
        <w:tc>
          <w:tcPr>
            <w:tcW w:w="1559" w:type="dxa"/>
            <w:vAlign w:val="bottom"/>
          </w:tcPr>
          <w:p w14:paraId="57F1659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1418" w:type="dxa"/>
            <w:vAlign w:val="bottom"/>
          </w:tcPr>
          <w:p w14:paraId="62D3A0E1"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417" w:type="dxa"/>
            <w:vAlign w:val="bottom"/>
          </w:tcPr>
          <w:p w14:paraId="6BCFD311"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1426" w:type="dxa"/>
            <w:vAlign w:val="bottom"/>
          </w:tcPr>
          <w:p w14:paraId="1EE132A2"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652644" w14:paraId="502D9F5F" w14:textId="77777777" w:rsidTr="006526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3363E00"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Alicante</w:t>
            </w:r>
          </w:p>
        </w:tc>
        <w:tc>
          <w:tcPr>
            <w:tcW w:w="2126" w:type="dxa"/>
            <w:vAlign w:val="bottom"/>
          </w:tcPr>
          <w:p w14:paraId="12F54C5C"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Orihuela</w:t>
            </w:r>
          </w:p>
        </w:tc>
        <w:tc>
          <w:tcPr>
            <w:tcW w:w="1559" w:type="dxa"/>
            <w:vAlign w:val="bottom"/>
          </w:tcPr>
          <w:p w14:paraId="677F2E66"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418" w:type="dxa"/>
            <w:vAlign w:val="bottom"/>
          </w:tcPr>
          <w:p w14:paraId="1523FC1D"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vAlign w:val="bottom"/>
          </w:tcPr>
          <w:p w14:paraId="208B9E15"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273C524A"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652644" w14:paraId="69586190" w14:textId="77777777" w:rsidTr="00652644">
        <w:trPr>
          <w:trHeight w:val="190"/>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0147EC16"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Barcelona</w:t>
            </w:r>
          </w:p>
        </w:tc>
        <w:tc>
          <w:tcPr>
            <w:tcW w:w="2126" w:type="dxa"/>
            <w:vAlign w:val="bottom"/>
          </w:tcPr>
          <w:p w14:paraId="3F38C309"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Sitges</w:t>
            </w:r>
          </w:p>
        </w:tc>
        <w:tc>
          <w:tcPr>
            <w:tcW w:w="1559" w:type="dxa"/>
            <w:vAlign w:val="bottom"/>
          </w:tcPr>
          <w:p w14:paraId="7F9F0F34"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1418" w:type="dxa"/>
            <w:vAlign w:val="bottom"/>
          </w:tcPr>
          <w:p w14:paraId="14172884"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vAlign w:val="bottom"/>
          </w:tcPr>
          <w:p w14:paraId="577A15B6"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426" w:type="dxa"/>
            <w:vAlign w:val="bottom"/>
          </w:tcPr>
          <w:p w14:paraId="019FC515"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652644" w14:paraId="7F923D91" w14:textId="77777777" w:rsidTr="0065264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7EA3AE39"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Pontevedra</w:t>
            </w:r>
          </w:p>
        </w:tc>
        <w:tc>
          <w:tcPr>
            <w:tcW w:w="2126" w:type="dxa"/>
            <w:vAlign w:val="bottom"/>
          </w:tcPr>
          <w:p w14:paraId="685FAF00"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Vigo</w:t>
            </w:r>
          </w:p>
        </w:tc>
        <w:tc>
          <w:tcPr>
            <w:tcW w:w="1559" w:type="dxa"/>
            <w:vAlign w:val="bottom"/>
          </w:tcPr>
          <w:p w14:paraId="39C97B3A"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418" w:type="dxa"/>
            <w:vAlign w:val="bottom"/>
          </w:tcPr>
          <w:p w14:paraId="01892CF3"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417" w:type="dxa"/>
            <w:vAlign w:val="bottom"/>
          </w:tcPr>
          <w:p w14:paraId="068E27B2"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426" w:type="dxa"/>
            <w:vAlign w:val="bottom"/>
          </w:tcPr>
          <w:p w14:paraId="16957ABC"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4,6%</w:t>
            </w:r>
          </w:p>
        </w:tc>
      </w:tr>
      <w:tr w:rsidR="00652644" w14:paraId="7AEF64F2" w14:textId="77777777" w:rsidTr="00652644">
        <w:trPr>
          <w:trHeight w:val="120"/>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2850D83F"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Illes Balears</w:t>
            </w:r>
          </w:p>
        </w:tc>
        <w:tc>
          <w:tcPr>
            <w:tcW w:w="2126" w:type="dxa"/>
            <w:vAlign w:val="bottom"/>
          </w:tcPr>
          <w:p w14:paraId="4084BC95"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Palma de Mallorca</w:t>
            </w:r>
          </w:p>
        </w:tc>
        <w:tc>
          <w:tcPr>
            <w:tcW w:w="1559" w:type="dxa"/>
            <w:vAlign w:val="bottom"/>
          </w:tcPr>
          <w:p w14:paraId="3F4375D9"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9,1%</w:t>
            </w:r>
          </w:p>
        </w:tc>
        <w:tc>
          <w:tcPr>
            <w:tcW w:w="1418" w:type="dxa"/>
            <w:vAlign w:val="bottom"/>
          </w:tcPr>
          <w:p w14:paraId="1A0CD7E2"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6,2%</w:t>
            </w:r>
          </w:p>
        </w:tc>
        <w:tc>
          <w:tcPr>
            <w:tcW w:w="1417" w:type="dxa"/>
            <w:vAlign w:val="bottom"/>
          </w:tcPr>
          <w:p w14:paraId="79C2A89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426" w:type="dxa"/>
            <w:vAlign w:val="bottom"/>
          </w:tcPr>
          <w:p w14:paraId="3BCB224B"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4,5%</w:t>
            </w:r>
          </w:p>
        </w:tc>
      </w:tr>
      <w:tr w:rsidR="00652644" w14:paraId="52D53A8F" w14:textId="77777777" w:rsidTr="006526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4D007F9D"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Bizkaia</w:t>
            </w:r>
          </w:p>
        </w:tc>
        <w:tc>
          <w:tcPr>
            <w:tcW w:w="2126" w:type="dxa"/>
            <w:vAlign w:val="bottom"/>
          </w:tcPr>
          <w:p w14:paraId="272C92DD"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Getxo</w:t>
            </w:r>
          </w:p>
        </w:tc>
        <w:tc>
          <w:tcPr>
            <w:tcW w:w="1559" w:type="dxa"/>
            <w:vAlign w:val="bottom"/>
          </w:tcPr>
          <w:p w14:paraId="740AE02E"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418" w:type="dxa"/>
            <w:vAlign w:val="bottom"/>
          </w:tcPr>
          <w:p w14:paraId="604731E1"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1417" w:type="dxa"/>
            <w:vAlign w:val="bottom"/>
          </w:tcPr>
          <w:p w14:paraId="2651779B"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1426" w:type="dxa"/>
            <w:vAlign w:val="bottom"/>
          </w:tcPr>
          <w:p w14:paraId="1E663A3F"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4,2%</w:t>
            </w:r>
          </w:p>
        </w:tc>
      </w:tr>
      <w:tr w:rsidR="00652644" w14:paraId="702229BA" w14:textId="77777777" w:rsidTr="00652644">
        <w:trPr>
          <w:trHeight w:val="33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59345837"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Málaga</w:t>
            </w:r>
          </w:p>
        </w:tc>
        <w:tc>
          <w:tcPr>
            <w:tcW w:w="2126" w:type="dxa"/>
            <w:vAlign w:val="bottom"/>
          </w:tcPr>
          <w:p w14:paraId="48290EC5" w14:textId="77777777" w:rsidR="00652644" w:rsidRDefault="000000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Rincón de la Victoria</w:t>
            </w:r>
          </w:p>
        </w:tc>
        <w:tc>
          <w:tcPr>
            <w:tcW w:w="1559" w:type="dxa"/>
            <w:vAlign w:val="bottom"/>
          </w:tcPr>
          <w:p w14:paraId="6A287EC5"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1418" w:type="dxa"/>
          </w:tcPr>
          <w:p w14:paraId="2E94384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17" w:type="dxa"/>
          </w:tcPr>
          <w:p w14:paraId="074037DE"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1426" w:type="dxa"/>
            <w:vAlign w:val="bottom"/>
          </w:tcPr>
          <w:p w14:paraId="45ABEFFA" w14:textId="77777777" w:rsidR="00652644" w:rsidRDefault="00000000">
            <w:pPr>
              <w:jc w:val="cente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4,1%</w:t>
            </w:r>
          </w:p>
        </w:tc>
      </w:tr>
      <w:tr w:rsidR="00652644" w14:paraId="039A3AF3" w14:textId="77777777" w:rsidTr="00652644">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13" w:type="dxa"/>
            <w:vAlign w:val="bottom"/>
          </w:tcPr>
          <w:p w14:paraId="69A7B197" w14:textId="77777777" w:rsidR="00652644" w:rsidRDefault="00000000">
            <w:pPr>
              <w:rPr>
                <w:rFonts w:ascii="Open Sans" w:eastAsia="Open Sans" w:hAnsi="Open Sans" w:cs="Open Sans"/>
                <w:sz w:val="22"/>
                <w:szCs w:val="22"/>
              </w:rPr>
            </w:pPr>
            <w:r>
              <w:rPr>
                <w:rFonts w:ascii="Open Sans" w:eastAsia="Open Sans" w:hAnsi="Open Sans" w:cs="Open Sans"/>
                <w:b w:val="0"/>
                <w:sz w:val="22"/>
                <w:szCs w:val="22"/>
              </w:rPr>
              <w:t>Gipuzkoa</w:t>
            </w:r>
          </w:p>
        </w:tc>
        <w:tc>
          <w:tcPr>
            <w:tcW w:w="2126" w:type="dxa"/>
            <w:vAlign w:val="bottom"/>
          </w:tcPr>
          <w:p w14:paraId="6154D2C8" w14:textId="77777777" w:rsidR="00652644" w:rsidRDefault="00000000">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2"/>
                <w:szCs w:val="22"/>
              </w:rPr>
            </w:pPr>
            <w:r>
              <w:rPr>
                <w:rFonts w:ascii="Open Sans" w:eastAsia="Open Sans" w:hAnsi="Open Sans" w:cs="Open Sans"/>
                <w:color w:val="000000"/>
                <w:sz w:val="22"/>
                <w:szCs w:val="22"/>
              </w:rPr>
              <w:t>Donostia - San Sebastián</w:t>
            </w:r>
          </w:p>
        </w:tc>
        <w:tc>
          <w:tcPr>
            <w:tcW w:w="1559" w:type="dxa"/>
            <w:vAlign w:val="bottom"/>
          </w:tcPr>
          <w:p w14:paraId="0E273633"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2,9%</w:t>
            </w:r>
          </w:p>
        </w:tc>
        <w:tc>
          <w:tcPr>
            <w:tcW w:w="1418" w:type="dxa"/>
            <w:vAlign w:val="bottom"/>
          </w:tcPr>
          <w:p w14:paraId="1156F974"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1417" w:type="dxa"/>
            <w:vAlign w:val="bottom"/>
          </w:tcPr>
          <w:p w14:paraId="50AC9016"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426" w:type="dxa"/>
            <w:vAlign w:val="bottom"/>
          </w:tcPr>
          <w:p w14:paraId="072077A2" w14:textId="77777777" w:rsidR="00652644" w:rsidRDefault="00000000">
            <w:pPr>
              <w:jc w:val="cente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color w:val="000000"/>
                <w:sz w:val="22"/>
                <w:szCs w:val="22"/>
              </w:rPr>
            </w:pPr>
            <w:r>
              <w:rPr>
                <w:rFonts w:ascii="Open Sans" w:eastAsia="Open Sans" w:hAnsi="Open Sans" w:cs="Open Sans"/>
                <w:color w:val="000000"/>
                <w:sz w:val="22"/>
                <w:szCs w:val="22"/>
              </w:rPr>
              <w:t>3,5%</w:t>
            </w:r>
          </w:p>
        </w:tc>
      </w:tr>
    </w:tbl>
    <w:p w14:paraId="4ED43F7D" w14:textId="77777777" w:rsidR="00652644" w:rsidRDefault="00652644">
      <w:pPr>
        <w:jc w:val="both"/>
        <w:rPr>
          <w:rFonts w:ascii="Open Sans Light" w:eastAsia="Open Sans Light" w:hAnsi="Open Sans Light" w:cs="Open Sans Light"/>
          <w:color w:val="404040"/>
        </w:rPr>
      </w:pPr>
    </w:p>
    <w:p w14:paraId="3F9475A1"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t>Tabla 4. Rentabilidad de la vivienda por distritos de Madrid en junio de 2012, 2017, 2021 y 2022</w:t>
      </w:r>
    </w:p>
    <w:tbl>
      <w:tblPr>
        <w:tblStyle w:val="a2"/>
        <w:tblW w:w="937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001"/>
        <w:gridCol w:w="2251"/>
        <w:gridCol w:w="2064"/>
        <w:gridCol w:w="2054"/>
      </w:tblGrid>
      <w:tr w:rsidR="00652644" w14:paraId="696CF9C0" w14:textId="77777777">
        <w:trPr>
          <w:trHeight w:val="637"/>
        </w:trPr>
        <w:tc>
          <w:tcPr>
            <w:tcW w:w="3001" w:type="dxa"/>
            <w:tcBorders>
              <w:top w:val="single" w:sz="4" w:space="0" w:color="FFFFFF"/>
              <w:left w:val="single" w:sz="4" w:space="0" w:color="FFFFFF"/>
              <w:right w:val="nil"/>
            </w:tcBorders>
            <w:shd w:val="clear" w:color="auto" w:fill="4472C4"/>
            <w:vAlign w:val="center"/>
          </w:tcPr>
          <w:p w14:paraId="3D716573" w14:textId="77777777" w:rsidR="00652644" w:rsidRDefault="00000000">
            <w:pP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Distritos de Madrid</w:t>
            </w:r>
          </w:p>
        </w:tc>
        <w:tc>
          <w:tcPr>
            <w:tcW w:w="2251" w:type="dxa"/>
            <w:tcBorders>
              <w:top w:val="single" w:sz="4" w:space="0" w:color="FFFFFF"/>
              <w:left w:val="nil"/>
              <w:right w:val="nil"/>
            </w:tcBorders>
            <w:shd w:val="clear" w:color="auto" w:fill="4472C4"/>
          </w:tcPr>
          <w:p w14:paraId="424DBCF3" w14:textId="77777777" w:rsidR="00652644" w:rsidRDefault="00000000">
            <w:pPr>
              <w:pBdr>
                <w:top w:val="nil"/>
                <w:left w:val="nil"/>
                <w:bottom w:val="nil"/>
                <w:right w:val="nil"/>
                <w:between w:val="nil"/>
              </w:pBdr>
              <w:jc w:val="cente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 xml:space="preserve">Rentabilidad </w:t>
            </w:r>
          </w:p>
          <w:p w14:paraId="3B569DC1" w14:textId="77777777" w:rsidR="00652644" w:rsidRDefault="00000000">
            <w:pPr>
              <w:pBdr>
                <w:top w:val="nil"/>
                <w:left w:val="nil"/>
                <w:bottom w:val="nil"/>
                <w:right w:val="nil"/>
                <w:between w:val="nil"/>
              </w:pBdr>
              <w:jc w:val="cente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2017 (5 años)</w:t>
            </w:r>
          </w:p>
        </w:tc>
        <w:tc>
          <w:tcPr>
            <w:tcW w:w="2064" w:type="dxa"/>
            <w:tcBorders>
              <w:top w:val="single" w:sz="4" w:space="0" w:color="FFFFFF"/>
              <w:left w:val="nil"/>
              <w:right w:val="nil"/>
            </w:tcBorders>
            <w:shd w:val="clear" w:color="auto" w:fill="4472C4"/>
            <w:vAlign w:val="center"/>
          </w:tcPr>
          <w:p w14:paraId="04EEC909" w14:textId="77777777" w:rsidR="00652644" w:rsidRDefault="00000000">
            <w:pPr>
              <w:pBdr>
                <w:top w:val="nil"/>
                <w:left w:val="nil"/>
                <w:bottom w:val="nil"/>
                <w:right w:val="nil"/>
                <w:between w:val="nil"/>
              </w:pBdr>
              <w:jc w:val="cente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Rentabilidad</w:t>
            </w:r>
          </w:p>
          <w:p w14:paraId="57A32287" w14:textId="77777777" w:rsidR="00652644" w:rsidRDefault="00000000">
            <w:pPr>
              <w:pBdr>
                <w:top w:val="nil"/>
                <w:left w:val="nil"/>
                <w:bottom w:val="nil"/>
                <w:right w:val="nil"/>
                <w:between w:val="nil"/>
              </w:pBdr>
              <w:jc w:val="cente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2021 (1 año)</w:t>
            </w:r>
          </w:p>
        </w:tc>
        <w:tc>
          <w:tcPr>
            <w:tcW w:w="2054" w:type="dxa"/>
            <w:tcBorders>
              <w:top w:val="single" w:sz="4" w:space="0" w:color="FFFFFF"/>
              <w:left w:val="nil"/>
              <w:right w:val="single" w:sz="4" w:space="0" w:color="FFFFFF"/>
            </w:tcBorders>
            <w:shd w:val="clear" w:color="auto" w:fill="4472C4"/>
            <w:vAlign w:val="center"/>
          </w:tcPr>
          <w:p w14:paraId="28708117" w14:textId="77777777" w:rsidR="00652644" w:rsidRDefault="00000000">
            <w:pPr>
              <w:pBdr>
                <w:top w:val="nil"/>
                <w:left w:val="nil"/>
                <w:bottom w:val="nil"/>
                <w:right w:val="nil"/>
                <w:between w:val="nil"/>
              </w:pBdr>
              <w:jc w:val="cente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Rentabilidad</w:t>
            </w:r>
          </w:p>
          <w:p w14:paraId="7F152658" w14:textId="77777777" w:rsidR="00652644" w:rsidRDefault="00000000">
            <w:pPr>
              <w:pBdr>
                <w:top w:val="nil"/>
                <w:left w:val="nil"/>
                <w:bottom w:val="nil"/>
                <w:right w:val="nil"/>
                <w:between w:val="nil"/>
              </w:pBdr>
              <w:jc w:val="center"/>
              <w:rPr>
                <w:rFonts w:ascii="Open Sans Light" w:eastAsia="Open Sans Light" w:hAnsi="Open Sans Light" w:cs="Open Sans Light"/>
                <w:b/>
                <w:i/>
                <w:color w:val="FFFFFF"/>
                <w:sz w:val="22"/>
                <w:szCs w:val="22"/>
              </w:rPr>
            </w:pPr>
            <w:r>
              <w:rPr>
                <w:rFonts w:ascii="Open Sans Light" w:eastAsia="Open Sans Light" w:hAnsi="Open Sans Light" w:cs="Open Sans Light"/>
                <w:b/>
                <w:color w:val="FFFFFF"/>
                <w:sz w:val="22"/>
                <w:szCs w:val="22"/>
              </w:rPr>
              <w:t>2022</w:t>
            </w:r>
          </w:p>
        </w:tc>
      </w:tr>
      <w:tr w:rsidR="00652644" w14:paraId="40422842" w14:textId="77777777">
        <w:trPr>
          <w:trHeight w:val="310"/>
        </w:trPr>
        <w:tc>
          <w:tcPr>
            <w:tcW w:w="3001" w:type="dxa"/>
            <w:tcBorders>
              <w:left w:val="single" w:sz="4" w:space="0" w:color="FFFFFF"/>
            </w:tcBorders>
            <w:shd w:val="clear" w:color="auto" w:fill="4472C4"/>
            <w:vAlign w:val="bottom"/>
          </w:tcPr>
          <w:p w14:paraId="14B6174A"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Villaverde</w:t>
            </w:r>
          </w:p>
        </w:tc>
        <w:tc>
          <w:tcPr>
            <w:tcW w:w="2251" w:type="dxa"/>
            <w:shd w:val="clear" w:color="auto" w:fill="B4C6E7"/>
            <w:vAlign w:val="bottom"/>
          </w:tcPr>
          <w:p w14:paraId="28A831E0" w14:textId="77777777" w:rsidR="00652644" w:rsidRDefault="00652644">
            <w:pPr>
              <w:jc w:val="center"/>
              <w:rPr>
                <w:rFonts w:ascii="Open Sans" w:eastAsia="Open Sans" w:hAnsi="Open Sans" w:cs="Open Sans"/>
                <w:color w:val="000000"/>
                <w:sz w:val="22"/>
                <w:szCs w:val="22"/>
              </w:rPr>
            </w:pPr>
          </w:p>
        </w:tc>
        <w:tc>
          <w:tcPr>
            <w:tcW w:w="2064" w:type="dxa"/>
            <w:shd w:val="clear" w:color="auto" w:fill="B4C6E7"/>
            <w:vAlign w:val="bottom"/>
          </w:tcPr>
          <w:p w14:paraId="578E167F"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7,6%</w:t>
            </w:r>
          </w:p>
        </w:tc>
        <w:tc>
          <w:tcPr>
            <w:tcW w:w="2054" w:type="dxa"/>
            <w:shd w:val="clear" w:color="auto" w:fill="B4C6E7"/>
            <w:vAlign w:val="bottom"/>
          </w:tcPr>
          <w:p w14:paraId="0101E1DA"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7,5%</w:t>
            </w:r>
          </w:p>
        </w:tc>
      </w:tr>
      <w:tr w:rsidR="00652644" w14:paraId="5D849A6A" w14:textId="77777777">
        <w:trPr>
          <w:trHeight w:val="310"/>
        </w:trPr>
        <w:tc>
          <w:tcPr>
            <w:tcW w:w="3001" w:type="dxa"/>
            <w:tcBorders>
              <w:left w:val="single" w:sz="4" w:space="0" w:color="FFFFFF"/>
            </w:tcBorders>
            <w:shd w:val="clear" w:color="auto" w:fill="4472C4"/>
            <w:vAlign w:val="bottom"/>
          </w:tcPr>
          <w:p w14:paraId="450F516E"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Usera</w:t>
            </w:r>
          </w:p>
        </w:tc>
        <w:tc>
          <w:tcPr>
            <w:tcW w:w="2251" w:type="dxa"/>
            <w:shd w:val="clear" w:color="auto" w:fill="D9E2F3"/>
            <w:vAlign w:val="bottom"/>
          </w:tcPr>
          <w:p w14:paraId="77B3CC03"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7,0%</w:t>
            </w:r>
          </w:p>
        </w:tc>
        <w:tc>
          <w:tcPr>
            <w:tcW w:w="2064" w:type="dxa"/>
            <w:shd w:val="clear" w:color="auto" w:fill="D9E2F3"/>
            <w:vAlign w:val="bottom"/>
          </w:tcPr>
          <w:p w14:paraId="47A6943D"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2054" w:type="dxa"/>
            <w:shd w:val="clear" w:color="auto" w:fill="D9E2F3"/>
            <w:vAlign w:val="bottom"/>
          </w:tcPr>
          <w:p w14:paraId="5C91B975"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7,0%</w:t>
            </w:r>
          </w:p>
        </w:tc>
      </w:tr>
      <w:tr w:rsidR="00652644" w14:paraId="1E744883" w14:textId="77777777">
        <w:trPr>
          <w:trHeight w:val="310"/>
        </w:trPr>
        <w:tc>
          <w:tcPr>
            <w:tcW w:w="3001" w:type="dxa"/>
            <w:tcBorders>
              <w:left w:val="single" w:sz="4" w:space="0" w:color="FFFFFF"/>
            </w:tcBorders>
            <w:shd w:val="clear" w:color="auto" w:fill="4472C4"/>
            <w:vAlign w:val="bottom"/>
          </w:tcPr>
          <w:p w14:paraId="4324B757"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Puente de Vallecas</w:t>
            </w:r>
          </w:p>
        </w:tc>
        <w:tc>
          <w:tcPr>
            <w:tcW w:w="2251" w:type="dxa"/>
            <w:shd w:val="clear" w:color="auto" w:fill="B4C6E7"/>
            <w:vAlign w:val="bottom"/>
          </w:tcPr>
          <w:p w14:paraId="729A4E7B"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7,6%</w:t>
            </w:r>
          </w:p>
        </w:tc>
        <w:tc>
          <w:tcPr>
            <w:tcW w:w="2064" w:type="dxa"/>
            <w:shd w:val="clear" w:color="auto" w:fill="B4C6E7"/>
            <w:vAlign w:val="bottom"/>
          </w:tcPr>
          <w:p w14:paraId="24C1C8A2"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6,9%</w:t>
            </w:r>
          </w:p>
        </w:tc>
        <w:tc>
          <w:tcPr>
            <w:tcW w:w="2054" w:type="dxa"/>
            <w:shd w:val="clear" w:color="auto" w:fill="B4C6E7"/>
            <w:vAlign w:val="bottom"/>
          </w:tcPr>
          <w:p w14:paraId="393AC3BF"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6,8%</w:t>
            </w:r>
          </w:p>
        </w:tc>
      </w:tr>
      <w:tr w:rsidR="00652644" w14:paraId="76C8BB1D" w14:textId="77777777">
        <w:trPr>
          <w:trHeight w:val="310"/>
        </w:trPr>
        <w:tc>
          <w:tcPr>
            <w:tcW w:w="3001" w:type="dxa"/>
            <w:tcBorders>
              <w:left w:val="single" w:sz="4" w:space="0" w:color="FFFFFF"/>
            </w:tcBorders>
            <w:shd w:val="clear" w:color="auto" w:fill="4472C4"/>
            <w:vAlign w:val="bottom"/>
          </w:tcPr>
          <w:p w14:paraId="6E0E800F"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Carabanchel</w:t>
            </w:r>
          </w:p>
        </w:tc>
        <w:tc>
          <w:tcPr>
            <w:tcW w:w="2251" w:type="dxa"/>
            <w:shd w:val="clear" w:color="auto" w:fill="D9E2F3"/>
            <w:vAlign w:val="bottom"/>
          </w:tcPr>
          <w:p w14:paraId="3D53C1AD"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6,5%</w:t>
            </w:r>
          </w:p>
        </w:tc>
        <w:tc>
          <w:tcPr>
            <w:tcW w:w="2064" w:type="dxa"/>
            <w:shd w:val="clear" w:color="auto" w:fill="D9E2F3"/>
            <w:vAlign w:val="bottom"/>
          </w:tcPr>
          <w:p w14:paraId="5139D7FF"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2054" w:type="dxa"/>
            <w:shd w:val="clear" w:color="auto" w:fill="D9E2F3"/>
            <w:vAlign w:val="bottom"/>
          </w:tcPr>
          <w:p w14:paraId="33203CC9"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6,3%</w:t>
            </w:r>
          </w:p>
        </w:tc>
      </w:tr>
      <w:tr w:rsidR="00652644" w14:paraId="2B6B8A95" w14:textId="77777777">
        <w:trPr>
          <w:trHeight w:val="326"/>
        </w:trPr>
        <w:tc>
          <w:tcPr>
            <w:tcW w:w="3001" w:type="dxa"/>
            <w:tcBorders>
              <w:left w:val="single" w:sz="4" w:space="0" w:color="FFFFFF"/>
            </w:tcBorders>
            <w:shd w:val="clear" w:color="auto" w:fill="4472C4"/>
            <w:vAlign w:val="bottom"/>
          </w:tcPr>
          <w:p w14:paraId="0DBF4E69"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Latina</w:t>
            </w:r>
          </w:p>
        </w:tc>
        <w:tc>
          <w:tcPr>
            <w:tcW w:w="2251" w:type="dxa"/>
            <w:shd w:val="clear" w:color="auto" w:fill="B4C6E7"/>
            <w:vAlign w:val="bottom"/>
          </w:tcPr>
          <w:p w14:paraId="7F2FC3D2"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w:t>
            </w:r>
          </w:p>
        </w:tc>
        <w:tc>
          <w:tcPr>
            <w:tcW w:w="2064" w:type="dxa"/>
            <w:shd w:val="clear" w:color="auto" w:fill="B4C6E7"/>
            <w:vAlign w:val="bottom"/>
          </w:tcPr>
          <w:p w14:paraId="66783989"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2054" w:type="dxa"/>
            <w:shd w:val="clear" w:color="auto" w:fill="B4C6E7"/>
            <w:vAlign w:val="bottom"/>
          </w:tcPr>
          <w:p w14:paraId="2D442C7D"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6,3%</w:t>
            </w:r>
          </w:p>
        </w:tc>
      </w:tr>
      <w:tr w:rsidR="00652644" w14:paraId="5C8F2A94" w14:textId="77777777">
        <w:trPr>
          <w:trHeight w:val="310"/>
        </w:trPr>
        <w:tc>
          <w:tcPr>
            <w:tcW w:w="3001" w:type="dxa"/>
            <w:tcBorders>
              <w:left w:val="single" w:sz="4" w:space="0" w:color="FFFFFF"/>
            </w:tcBorders>
            <w:shd w:val="clear" w:color="auto" w:fill="4472C4"/>
            <w:vAlign w:val="bottom"/>
          </w:tcPr>
          <w:p w14:paraId="57B0416E"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Villa de Vallecas</w:t>
            </w:r>
          </w:p>
        </w:tc>
        <w:tc>
          <w:tcPr>
            <w:tcW w:w="2251" w:type="dxa"/>
            <w:shd w:val="clear" w:color="auto" w:fill="D9E2F3"/>
            <w:vAlign w:val="bottom"/>
          </w:tcPr>
          <w:p w14:paraId="1FCB07DB"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5,8%</w:t>
            </w:r>
          </w:p>
        </w:tc>
        <w:tc>
          <w:tcPr>
            <w:tcW w:w="2064" w:type="dxa"/>
            <w:shd w:val="clear" w:color="auto" w:fill="D9E2F3"/>
            <w:vAlign w:val="bottom"/>
          </w:tcPr>
          <w:p w14:paraId="4AF92FCE"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5,5%</w:t>
            </w:r>
          </w:p>
        </w:tc>
        <w:tc>
          <w:tcPr>
            <w:tcW w:w="2054" w:type="dxa"/>
            <w:shd w:val="clear" w:color="auto" w:fill="D9E2F3"/>
            <w:vAlign w:val="bottom"/>
          </w:tcPr>
          <w:p w14:paraId="54ABC41B"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6,1%</w:t>
            </w:r>
          </w:p>
        </w:tc>
      </w:tr>
      <w:tr w:rsidR="00652644" w14:paraId="120E166F" w14:textId="77777777">
        <w:trPr>
          <w:trHeight w:val="310"/>
        </w:trPr>
        <w:tc>
          <w:tcPr>
            <w:tcW w:w="3001" w:type="dxa"/>
            <w:tcBorders>
              <w:left w:val="single" w:sz="4" w:space="0" w:color="FFFFFF"/>
            </w:tcBorders>
            <w:shd w:val="clear" w:color="auto" w:fill="4472C4"/>
            <w:vAlign w:val="bottom"/>
          </w:tcPr>
          <w:p w14:paraId="7B6169BF"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San Blas</w:t>
            </w:r>
          </w:p>
        </w:tc>
        <w:tc>
          <w:tcPr>
            <w:tcW w:w="2251" w:type="dxa"/>
            <w:shd w:val="clear" w:color="auto" w:fill="B4C6E7"/>
            <w:vAlign w:val="bottom"/>
          </w:tcPr>
          <w:p w14:paraId="6322B97F"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2064" w:type="dxa"/>
            <w:shd w:val="clear" w:color="auto" w:fill="B4C6E7"/>
            <w:vAlign w:val="bottom"/>
          </w:tcPr>
          <w:p w14:paraId="463339BE"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2054" w:type="dxa"/>
            <w:shd w:val="clear" w:color="auto" w:fill="B4C6E7"/>
            <w:vAlign w:val="bottom"/>
          </w:tcPr>
          <w:p w14:paraId="363B0A7C"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5,2%</w:t>
            </w:r>
          </w:p>
        </w:tc>
      </w:tr>
      <w:tr w:rsidR="00652644" w14:paraId="73A1A23B" w14:textId="77777777">
        <w:trPr>
          <w:trHeight w:val="310"/>
        </w:trPr>
        <w:tc>
          <w:tcPr>
            <w:tcW w:w="3001" w:type="dxa"/>
            <w:tcBorders>
              <w:left w:val="single" w:sz="4" w:space="0" w:color="FFFFFF"/>
            </w:tcBorders>
            <w:shd w:val="clear" w:color="auto" w:fill="4472C4"/>
            <w:vAlign w:val="bottom"/>
          </w:tcPr>
          <w:p w14:paraId="417F5C91"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lastRenderedPageBreak/>
              <w:t>Tetuán</w:t>
            </w:r>
          </w:p>
        </w:tc>
        <w:tc>
          <w:tcPr>
            <w:tcW w:w="2251" w:type="dxa"/>
            <w:shd w:val="clear" w:color="auto" w:fill="D9E2F3"/>
            <w:vAlign w:val="bottom"/>
          </w:tcPr>
          <w:p w14:paraId="4E0F0203"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2064" w:type="dxa"/>
            <w:shd w:val="clear" w:color="auto" w:fill="D9E2F3"/>
            <w:vAlign w:val="bottom"/>
          </w:tcPr>
          <w:p w14:paraId="30CD170A"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2054" w:type="dxa"/>
            <w:shd w:val="clear" w:color="auto" w:fill="D9E2F3"/>
            <w:vAlign w:val="bottom"/>
          </w:tcPr>
          <w:p w14:paraId="46F9AE54"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4,8%</w:t>
            </w:r>
          </w:p>
        </w:tc>
      </w:tr>
      <w:tr w:rsidR="00652644" w14:paraId="425BBB99" w14:textId="77777777">
        <w:trPr>
          <w:trHeight w:val="310"/>
        </w:trPr>
        <w:tc>
          <w:tcPr>
            <w:tcW w:w="3001" w:type="dxa"/>
            <w:tcBorders>
              <w:left w:val="single" w:sz="4" w:space="0" w:color="FFFFFF"/>
            </w:tcBorders>
            <w:shd w:val="clear" w:color="auto" w:fill="4472C4"/>
            <w:vAlign w:val="bottom"/>
          </w:tcPr>
          <w:p w14:paraId="1AD9A9D9"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Ciudad Lineal</w:t>
            </w:r>
          </w:p>
        </w:tc>
        <w:tc>
          <w:tcPr>
            <w:tcW w:w="2251" w:type="dxa"/>
            <w:shd w:val="clear" w:color="auto" w:fill="B4C6E7"/>
            <w:vAlign w:val="bottom"/>
          </w:tcPr>
          <w:p w14:paraId="2B55996A"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2064" w:type="dxa"/>
            <w:shd w:val="clear" w:color="auto" w:fill="B4C6E7"/>
            <w:vAlign w:val="bottom"/>
          </w:tcPr>
          <w:p w14:paraId="0DEB3819"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2054" w:type="dxa"/>
            <w:shd w:val="clear" w:color="auto" w:fill="B4C6E7"/>
            <w:vAlign w:val="bottom"/>
          </w:tcPr>
          <w:p w14:paraId="13D3E097"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4,7%</w:t>
            </w:r>
          </w:p>
        </w:tc>
      </w:tr>
      <w:tr w:rsidR="00652644" w14:paraId="3A35AD9F" w14:textId="77777777">
        <w:trPr>
          <w:trHeight w:val="310"/>
        </w:trPr>
        <w:tc>
          <w:tcPr>
            <w:tcW w:w="3001" w:type="dxa"/>
            <w:tcBorders>
              <w:left w:val="single" w:sz="4" w:space="0" w:color="FFFFFF"/>
            </w:tcBorders>
            <w:shd w:val="clear" w:color="auto" w:fill="4472C4"/>
            <w:vAlign w:val="bottom"/>
          </w:tcPr>
          <w:p w14:paraId="5438C601"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Arganzuela</w:t>
            </w:r>
          </w:p>
        </w:tc>
        <w:tc>
          <w:tcPr>
            <w:tcW w:w="2251" w:type="dxa"/>
            <w:shd w:val="clear" w:color="auto" w:fill="D9E2F3"/>
            <w:vAlign w:val="bottom"/>
          </w:tcPr>
          <w:p w14:paraId="21110402"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2064" w:type="dxa"/>
            <w:shd w:val="clear" w:color="auto" w:fill="D9E2F3"/>
            <w:vAlign w:val="bottom"/>
          </w:tcPr>
          <w:p w14:paraId="24D38CEE"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4,3%</w:t>
            </w:r>
          </w:p>
        </w:tc>
        <w:tc>
          <w:tcPr>
            <w:tcW w:w="2054" w:type="dxa"/>
            <w:shd w:val="clear" w:color="auto" w:fill="D9E2F3"/>
            <w:vAlign w:val="bottom"/>
          </w:tcPr>
          <w:p w14:paraId="62D255E2"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r>
      <w:tr w:rsidR="00652644" w14:paraId="5059AA4B" w14:textId="77777777">
        <w:trPr>
          <w:trHeight w:val="326"/>
        </w:trPr>
        <w:tc>
          <w:tcPr>
            <w:tcW w:w="3001" w:type="dxa"/>
            <w:tcBorders>
              <w:left w:val="single" w:sz="4" w:space="0" w:color="FFFFFF"/>
            </w:tcBorders>
            <w:shd w:val="clear" w:color="auto" w:fill="4472C4"/>
            <w:vAlign w:val="bottom"/>
          </w:tcPr>
          <w:p w14:paraId="38528388"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Centro</w:t>
            </w:r>
          </w:p>
        </w:tc>
        <w:tc>
          <w:tcPr>
            <w:tcW w:w="2251" w:type="dxa"/>
            <w:shd w:val="clear" w:color="auto" w:fill="B4C6E7"/>
            <w:vAlign w:val="bottom"/>
          </w:tcPr>
          <w:p w14:paraId="508CB8EB"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2064" w:type="dxa"/>
            <w:shd w:val="clear" w:color="auto" w:fill="B4C6E7"/>
            <w:vAlign w:val="bottom"/>
          </w:tcPr>
          <w:p w14:paraId="419EF845"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2054" w:type="dxa"/>
            <w:shd w:val="clear" w:color="auto" w:fill="B4C6E7"/>
            <w:vAlign w:val="bottom"/>
          </w:tcPr>
          <w:p w14:paraId="0AA7544C"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r>
      <w:tr w:rsidR="00652644" w14:paraId="763FBE60" w14:textId="77777777">
        <w:trPr>
          <w:trHeight w:val="310"/>
        </w:trPr>
        <w:tc>
          <w:tcPr>
            <w:tcW w:w="3001" w:type="dxa"/>
            <w:tcBorders>
              <w:left w:val="single" w:sz="4" w:space="0" w:color="FFFFFF"/>
            </w:tcBorders>
            <w:shd w:val="clear" w:color="auto" w:fill="4472C4"/>
            <w:vAlign w:val="bottom"/>
          </w:tcPr>
          <w:p w14:paraId="1AE6F26A"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Moncloa - Aravaca</w:t>
            </w:r>
          </w:p>
        </w:tc>
        <w:tc>
          <w:tcPr>
            <w:tcW w:w="2251" w:type="dxa"/>
            <w:shd w:val="clear" w:color="auto" w:fill="D9E2F3"/>
            <w:vAlign w:val="bottom"/>
          </w:tcPr>
          <w:p w14:paraId="28EE86F4"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4,6%</w:t>
            </w:r>
          </w:p>
        </w:tc>
        <w:tc>
          <w:tcPr>
            <w:tcW w:w="2064" w:type="dxa"/>
            <w:shd w:val="clear" w:color="auto" w:fill="D9E2F3"/>
            <w:vAlign w:val="bottom"/>
          </w:tcPr>
          <w:p w14:paraId="61BC0C31"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3,9%</w:t>
            </w:r>
          </w:p>
        </w:tc>
        <w:tc>
          <w:tcPr>
            <w:tcW w:w="2054" w:type="dxa"/>
            <w:shd w:val="clear" w:color="auto" w:fill="D9E2F3"/>
            <w:vAlign w:val="bottom"/>
          </w:tcPr>
          <w:p w14:paraId="062C8D92"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r>
      <w:tr w:rsidR="00652644" w14:paraId="44615D2F" w14:textId="77777777">
        <w:trPr>
          <w:trHeight w:val="310"/>
        </w:trPr>
        <w:tc>
          <w:tcPr>
            <w:tcW w:w="3001" w:type="dxa"/>
            <w:tcBorders>
              <w:left w:val="single" w:sz="4" w:space="0" w:color="FFFFFF"/>
            </w:tcBorders>
            <w:shd w:val="clear" w:color="auto" w:fill="4472C4"/>
            <w:vAlign w:val="bottom"/>
          </w:tcPr>
          <w:p w14:paraId="06776CC1"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Hortaleza</w:t>
            </w:r>
          </w:p>
        </w:tc>
        <w:tc>
          <w:tcPr>
            <w:tcW w:w="2251" w:type="dxa"/>
            <w:shd w:val="clear" w:color="auto" w:fill="B4C6E7"/>
            <w:vAlign w:val="bottom"/>
          </w:tcPr>
          <w:p w14:paraId="2E93CF9A"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2064" w:type="dxa"/>
            <w:shd w:val="clear" w:color="auto" w:fill="B4C6E7"/>
            <w:vAlign w:val="bottom"/>
          </w:tcPr>
          <w:p w14:paraId="77901637"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2054" w:type="dxa"/>
            <w:shd w:val="clear" w:color="auto" w:fill="B4C6E7"/>
            <w:vAlign w:val="bottom"/>
          </w:tcPr>
          <w:p w14:paraId="6DB142ED"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w:t>
            </w:r>
          </w:p>
        </w:tc>
      </w:tr>
      <w:tr w:rsidR="00652644" w14:paraId="2FC5C103" w14:textId="77777777">
        <w:trPr>
          <w:trHeight w:val="310"/>
        </w:trPr>
        <w:tc>
          <w:tcPr>
            <w:tcW w:w="3001" w:type="dxa"/>
            <w:tcBorders>
              <w:left w:val="single" w:sz="4" w:space="0" w:color="FFFFFF"/>
            </w:tcBorders>
            <w:shd w:val="clear" w:color="auto" w:fill="4472C4"/>
            <w:vAlign w:val="bottom"/>
          </w:tcPr>
          <w:p w14:paraId="66409AE1"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Retiro</w:t>
            </w:r>
          </w:p>
        </w:tc>
        <w:tc>
          <w:tcPr>
            <w:tcW w:w="2251" w:type="dxa"/>
            <w:shd w:val="clear" w:color="auto" w:fill="D9E2F3"/>
            <w:vAlign w:val="bottom"/>
          </w:tcPr>
          <w:p w14:paraId="57829C87"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2064" w:type="dxa"/>
            <w:shd w:val="clear" w:color="auto" w:fill="D9E2F3"/>
            <w:vAlign w:val="bottom"/>
          </w:tcPr>
          <w:p w14:paraId="48BBCB5F"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3,6%</w:t>
            </w:r>
          </w:p>
        </w:tc>
        <w:tc>
          <w:tcPr>
            <w:tcW w:w="2054" w:type="dxa"/>
            <w:shd w:val="clear" w:color="auto" w:fill="D9E2F3"/>
            <w:vAlign w:val="bottom"/>
          </w:tcPr>
          <w:p w14:paraId="6775DDAA"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3,8%</w:t>
            </w:r>
          </w:p>
        </w:tc>
      </w:tr>
      <w:tr w:rsidR="00652644" w14:paraId="716F4F2D" w14:textId="77777777">
        <w:trPr>
          <w:trHeight w:val="310"/>
        </w:trPr>
        <w:tc>
          <w:tcPr>
            <w:tcW w:w="3001" w:type="dxa"/>
            <w:tcBorders>
              <w:left w:val="single" w:sz="4" w:space="0" w:color="FFFFFF"/>
            </w:tcBorders>
            <w:shd w:val="clear" w:color="auto" w:fill="4472C4"/>
            <w:vAlign w:val="bottom"/>
          </w:tcPr>
          <w:p w14:paraId="508A6C67"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Chamberí</w:t>
            </w:r>
          </w:p>
        </w:tc>
        <w:tc>
          <w:tcPr>
            <w:tcW w:w="2251" w:type="dxa"/>
            <w:shd w:val="clear" w:color="auto" w:fill="B4C6E7"/>
            <w:vAlign w:val="bottom"/>
          </w:tcPr>
          <w:p w14:paraId="696D7CDD"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2064" w:type="dxa"/>
            <w:shd w:val="clear" w:color="auto" w:fill="B4C6E7"/>
            <w:vAlign w:val="bottom"/>
          </w:tcPr>
          <w:p w14:paraId="285C1522"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2054" w:type="dxa"/>
            <w:shd w:val="clear" w:color="auto" w:fill="B4C6E7"/>
            <w:vAlign w:val="bottom"/>
          </w:tcPr>
          <w:p w14:paraId="6FA393F0"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3,7%</w:t>
            </w:r>
          </w:p>
        </w:tc>
      </w:tr>
      <w:tr w:rsidR="00652644" w14:paraId="50F509DA" w14:textId="77777777">
        <w:trPr>
          <w:trHeight w:val="310"/>
        </w:trPr>
        <w:tc>
          <w:tcPr>
            <w:tcW w:w="3001" w:type="dxa"/>
            <w:tcBorders>
              <w:left w:val="single" w:sz="4" w:space="0" w:color="FFFFFF"/>
            </w:tcBorders>
            <w:shd w:val="clear" w:color="auto" w:fill="4472C4"/>
            <w:vAlign w:val="bottom"/>
          </w:tcPr>
          <w:p w14:paraId="563D6E41"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Chamartín</w:t>
            </w:r>
          </w:p>
        </w:tc>
        <w:tc>
          <w:tcPr>
            <w:tcW w:w="2251" w:type="dxa"/>
            <w:shd w:val="clear" w:color="auto" w:fill="D9E2F3"/>
            <w:vAlign w:val="bottom"/>
          </w:tcPr>
          <w:p w14:paraId="0DBB85AA"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2064" w:type="dxa"/>
            <w:shd w:val="clear" w:color="auto" w:fill="D9E2F3"/>
            <w:vAlign w:val="bottom"/>
          </w:tcPr>
          <w:p w14:paraId="6E037A43"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2054" w:type="dxa"/>
            <w:shd w:val="clear" w:color="auto" w:fill="D9E2F3"/>
            <w:vAlign w:val="bottom"/>
          </w:tcPr>
          <w:p w14:paraId="16763C53"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3,7%</w:t>
            </w:r>
          </w:p>
        </w:tc>
      </w:tr>
      <w:tr w:rsidR="00652644" w14:paraId="6C5B420C" w14:textId="77777777">
        <w:trPr>
          <w:trHeight w:val="326"/>
        </w:trPr>
        <w:tc>
          <w:tcPr>
            <w:tcW w:w="3001" w:type="dxa"/>
            <w:tcBorders>
              <w:left w:val="single" w:sz="4" w:space="0" w:color="FFFFFF"/>
            </w:tcBorders>
            <w:shd w:val="clear" w:color="auto" w:fill="4472C4"/>
            <w:vAlign w:val="bottom"/>
          </w:tcPr>
          <w:p w14:paraId="6387D7E5" w14:textId="77777777" w:rsidR="00652644" w:rsidRDefault="00000000">
            <w:pPr>
              <w:rPr>
                <w:rFonts w:ascii="Open Sans" w:eastAsia="Open Sans" w:hAnsi="Open Sans" w:cs="Open Sans"/>
                <w:color w:val="FFFFFF"/>
                <w:sz w:val="22"/>
                <w:szCs w:val="22"/>
              </w:rPr>
            </w:pPr>
            <w:r>
              <w:rPr>
                <w:rFonts w:ascii="Open Sans" w:eastAsia="Open Sans" w:hAnsi="Open Sans" w:cs="Open Sans"/>
                <w:color w:val="FFFFFF"/>
                <w:sz w:val="22"/>
                <w:szCs w:val="22"/>
              </w:rPr>
              <w:t>Barrio de Salamanca</w:t>
            </w:r>
          </w:p>
        </w:tc>
        <w:tc>
          <w:tcPr>
            <w:tcW w:w="2251" w:type="dxa"/>
            <w:shd w:val="clear" w:color="auto" w:fill="B4C6E7"/>
            <w:vAlign w:val="bottom"/>
          </w:tcPr>
          <w:p w14:paraId="6D725503"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4,4%</w:t>
            </w:r>
          </w:p>
        </w:tc>
        <w:tc>
          <w:tcPr>
            <w:tcW w:w="2064" w:type="dxa"/>
            <w:shd w:val="clear" w:color="auto" w:fill="B4C6E7"/>
            <w:vAlign w:val="bottom"/>
          </w:tcPr>
          <w:p w14:paraId="563458B6"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w:t>
            </w:r>
          </w:p>
        </w:tc>
        <w:tc>
          <w:tcPr>
            <w:tcW w:w="2054" w:type="dxa"/>
            <w:shd w:val="clear" w:color="auto" w:fill="B4C6E7"/>
            <w:vAlign w:val="bottom"/>
          </w:tcPr>
          <w:p w14:paraId="313C2B70"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3,3%</w:t>
            </w:r>
          </w:p>
        </w:tc>
      </w:tr>
    </w:tbl>
    <w:p w14:paraId="0401C8D0" w14:textId="77777777" w:rsidR="00652644" w:rsidRDefault="00652644">
      <w:pPr>
        <w:pBdr>
          <w:top w:val="nil"/>
          <w:left w:val="nil"/>
          <w:bottom w:val="nil"/>
          <w:right w:val="nil"/>
          <w:between w:val="nil"/>
        </w:pBdr>
        <w:shd w:val="clear" w:color="auto" w:fill="FFFFFF"/>
        <w:spacing w:before="280" w:after="280" w:line="276" w:lineRule="auto"/>
        <w:ind w:right="-574"/>
        <w:rPr>
          <w:rFonts w:ascii="Open Sans Light" w:eastAsia="Open Sans Light" w:hAnsi="Open Sans Light" w:cs="Open Sans Light"/>
          <w:b/>
          <w:color w:val="303AB2"/>
        </w:rPr>
      </w:pPr>
    </w:p>
    <w:p w14:paraId="5381902E" w14:textId="77777777" w:rsidR="00652644" w:rsidRDefault="00000000">
      <w:pPr>
        <w:pBdr>
          <w:top w:val="nil"/>
          <w:left w:val="nil"/>
          <w:bottom w:val="nil"/>
          <w:right w:val="nil"/>
          <w:between w:val="nil"/>
        </w:pBdr>
        <w:shd w:val="clear" w:color="auto" w:fill="FFFFFF"/>
        <w:spacing w:before="280" w:after="280" w:line="276" w:lineRule="auto"/>
        <w:ind w:left="-142" w:right="-574"/>
        <w:jc w:val="both"/>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rPr>
        <w:t>Tabla 5. Rentabilidad de la vivienda por distritos de Barcelona en junio de 2012, 2017, 2021 y 2022</w:t>
      </w:r>
    </w:p>
    <w:tbl>
      <w:tblPr>
        <w:tblStyle w:val="a3"/>
        <w:tblW w:w="9147"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830"/>
        <w:gridCol w:w="2127"/>
        <w:gridCol w:w="2218"/>
        <w:gridCol w:w="1972"/>
      </w:tblGrid>
      <w:tr w:rsidR="00652644" w14:paraId="6945EE51" w14:textId="77777777">
        <w:trPr>
          <w:trHeight w:val="559"/>
        </w:trPr>
        <w:tc>
          <w:tcPr>
            <w:tcW w:w="2830" w:type="dxa"/>
            <w:tcBorders>
              <w:top w:val="single" w:sz="4" w:space="0" w:color="FFFFFF"/>
              <w:left w:val="single" w:sz="4" w:space="0" w:color="FFFFFF"/>
              <w:right w:val="nil"/>
            </w:tcBorders>
            <w:shd w:val="clear" w:color="auto" w:fill="4472C4"/>
            <w:vAlign w:val="center"/>
          </w:tcPr>
          <w:p w14:paraId="2C850C87" w14:textId="77777777" w:rsidR="00652644" w:rsidRDefault="00000000">
            <w:pP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Distritos de Barcelona</w:t>
            </w:r>
          </w:p>
        </w:tc>
        <w:tc>
          <w:tcPr>
            <w:tcW w:w="2127" w:type="dxa"/>
            <w:tcBorders>
              <w:top w:val="single" w:sz="4" w:space="0" w:color="FFFFFF"/>
              <w:left w:val="nil"/>
              <w:right w:val="nil"/>
            </w:tcBorders>
            <w:shd w:val="clear" w:color="auto" w:fill="4472C4"/>
          </w:tcPr>
          <w:p w14:paraId="073E6C64" w14:textId="77777777" w:rsidR="00652644" w:rsidRDefault="00000000">
            <w:pPr>
              <w:pBdr>
                <w:top w:val="nil"/>
                <w:left w:val="nil"/>
                <w:bottom w:val="nil"/>
                <w:right w:val="nil"/>
                <w:between w:val="nil"/>
              </w:pBdr>
              <w:jc w:val="cente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 xml:space="preserve">Rentabilidad </w:t>
            </w:r>
          </w:p>
          <w:p w14:paraId="00D0E78A" w14:textId="77777777" w:rsidR="00652644" w:rsidRDefault="00000000">
            <w:pPr>
              <w:pBdr>
                <w:top w:val="nil"/>
                <w:left w:val="nil"/>
                <w:bottom w:val="nil"/>
                <w:right w:val="nil"/>
                <w:between w:val="nil"/>
              </w:pBdr>
              <w:jc w:val="cente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2017 (5 años)</w:t>
            </w:r>
          </w:p>
        </w:tc>
        <w:tc>
          <w:tcPr>
            <w:tcW w:w="2218" w:type="dxa"/>
            <w:tcBorders>
              <w:top w:val="single" w:sz="4" w:space="0" w:color="FFFFFF"/>
              <w:left w:val="nil"/>
              <w:right w:val="nil"/>
            </w:tcBorders>
            <w:shd w:val="clear" w:color="auto" w:fill="4472C4"/>
            <w:vAlign w:val="center"/>
          </w:tcPr>
          <w:p w14:paraId="694F36E1" w14:textId="77777777" w:rsidR="00652644" w:rsidRDefault="00000000">
            <w:pPr>
              <w:pBdr>
                <w:top w:val="nil"/>
                <w:left w:val="nil"/>
                <w:bottom w:val="nil"/>
                <w:right w:val="nil"/>
                <w:between w:val="nil"/>
              </w:pBdr>
              <w:jc w:val="cente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Rentabilidad</w:t>
            </w:r>
          </w:p>
          <w:p w14:paraId="1EF933DA" w14:textId="77777777" w:rsidR="00652644" w:rsidRDefault="00000000">
            <w:pPr>
              <w:pBdr>
                <w:top w:val="nil"/>
                <w:left w:val="nil"/>
                <w:bottom w:val="nil"/>
                <w:right w:val="nil"/>
                <w:between w:val="nil"/>
              </w:pBdr>
              <w:jc w:val="cente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2021 (1 año)</w:t>
            </w:r>
          </w:p>
        </w:tc>
        <w:tc>
          <w:tcPr>
            <w:tcW w:w="1972" w:type="dxa"/>
            <w:tcBorders>
              <w:top w:val="single" w:sz="4" w:space="0" w:color="FFFFFF"/>
              <w:left w:val="nil"/>
              <w:right w:val="single" w:sz="4" w:space="0" w:color="FFFFFF"/>
            </w:tcBorders>
            <w:shd w:val="clear" w:color="auto" w:fill="4472C4"/>
            <w:vAlign w:val="center"/>
          </w:tcPr>
          <w:p w14:paraId="5946F687" w14:textId="77777777" w:rsidR="00652644" w:rsidRDefault="00000000">
            <w:pPr>
              <w:pBdr>
                <w:top w:val="nil"/>
                <w:left w:val="nil"/>
                <w:bottom w:val="nil"/>
                <w:right w:val="nil"/>
                <w:between w:val="nil"/>
              </w:pBdr>
              <w:jc w:val="center"/>
              <w:rPr>
                <w:rFonts w:ascii="Open Sans Light" w:eastAsia="Open Sans Light" w:hAnsi="Open Sans Light" w:cs="Open Sans Light"/>
                <w:b/>
                <w:color w:val="FFFFFF"/>
                <w:sz w:val="22"/>
                <w:szCs w:val="22"/>
              </w:rPr>
            </w:pPr>
            <w:r>
              <w:rPr>
                <w:rFonts w:ascii="Open Sans Light" w:eastAsia="Open Sans Light" w:hAnsi="Open Sans Light" w:cs="Open Sans Light"/>
                <w:b/>
                <w:color w:val="FFFFFF"/>
                <w:sz w:val="22"/>
                <w:szCs w:val="22"/>
              </w:rPr>
              <w:t>Rentabilidad</w:t>
            </w:r>
          </w:p>
          <w:p w14:paraId="126C8C10" w14:textId="77777777" w:rsidR="00652644" w:rsidRDefault="00000000">
            <w:pPr>
              <w:pBdr>
                <w:top w:val="nil"/>
                <w:left w:val="nil"/>
                <w:bottom w:val="nil"/>
                <w:right w:val="nil"/>
                <w:between w:val="nil"/>
              </w:pBdr>
              <w:jc w:val="center"/>
              <w:rPr>
                <w:rFonts w:ascii="Open Sans Light" w:eastAsia="Open Sans Light" w:hAnsi="Open Sans Light" w:cs="Open Sans Light"/>
                <w:b/>
                <w:i/>
                <w:color w:val="FFFFFF"/>
                <w:sz w:val="22"/>
                <w:szCs w:val="22"/>
              </w:rPr>
            </w:pPr>
            <w:r>
              <w:rPr>
                <w:rFonts w:ascii="Open Sans Light" w:eastAsia="Open Sans Light" w:hAnsi="Open Sans Light" w:cs="Open Sans Light"/>
                <w:b/>
                <w:color w:val="FFFFFF"/>
                <w:sz w:val="22"/>
                <w:szCs w:val="22"/>
              </w:rPr>
              <w:t>2022</w:t>
            </w:r>
          </w:p>
        </w:tc>
      </w:tr>
      <w:tr w:rsidR="00652644" w14:paraId="6868145C" w14:textId="77777777">
        <w:trPr>
          <w:trHeight w:val="279"/>
        </w:trPr>
        <w:tc>
          <w:tcPr>
            <w:tcW w:w="2830" w:type="dxa"/>
            <w:tcBorders>
              <w:left w:val="single" w:sz="4" w:space="0" w:color="FFFFFF"/>
            </w:tcBorders>
            <w:shd w:val="clear" w:color="auto" w:fill="4472C4"/>
            <w:vAlign w:val="bottom"/>
          </w:tcPr>
          <w:p w14:paraId="3AD49595" w14:textId="77777777" w:rsidR="00652644" w:rsidRDefault="00000000">
            <w:pPr>
              <w:rPr>
                <w:rFonts w:ascii="Open Sans Light" w:eastAsia="Open Sans Light" w:hAnsi="Open Sans Light" w:cs="Open Sans Light"/>
                <w:color w:val="FFFFFF"/>
                <w:sz w:val="22"/>
                <w:szCs w:val="22"/>
              </w:rPr>
            </w:pPr>
            <w:r>
              <w:rPr>
                <w:rFonts w:ascii="Open Sans" w:eastAsia="Open Sans" w:hAnsi="Open Sans" w:cs="Open Sans"/>
                <w:color w:val="FFFFFF"/>
                <w:sz w:val="22"/>
                <w:szCs w:val="22"/>
              </w:rPr>
              <w:t xml:space="preserve">Nou </w:t>
            </w:r>
            <w:proofErr w:type="spellStart"/>
            <w:r>
              <w:rPr>
                <w:rFonts w:ascii="Open Sans" w:eastAsia="Open Sans" w:hAnsi="Open Sans" w:cs="Open Sans"/>
                <w:color w:val="FFFFFF"/>
                <w:sz w:val="22"/>
                <w:szCs w:val="22"/>
              </w:rPr>
              <w:t>Barris</w:t>
            </w:r>
            <w:proofErr w:type="spellEnd"/>
          </w:p>
        </w:tc>
        <w:tc>
          <w:tcPr>
            <w:tcW w:w="2127" w:type="dxa"/>
            <w:shd w:val="clear" w:color="auto" w:fill="B4C6E7"/>
            <w:vAlign w:val="bottom"/>
          </w:tcPr>
          <w:p w14:paraId="087B4E26"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6,8%</w:t>
            </w:r>
          </w:p>
        </w:tc>
        <w:tc>
          <w:tcPr>
            <w:tcW w:w="2218" w:type="dxa"/>
            <w:shd w:val="clear" w:color="auto" w:fill="B4C6E7"/>
            <w:vAlign w:val="bottom"/>
          </w:tcPr>
          <w:p w14:paraId="7D71B32F"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5,9%</w:t>
            </w:r>
          </w:p>
        </w:tc>
        <w:tc>
          <w:tcPr>
            <w:tcW w:w="1972" w:type="dxa"/>
            <w:shd w:val="clear" w:color="auto" w:fill="B4C6E7"/>
            <w:vAlign w:val="bottom"/>
          </w:tcPr>
          <w:p w14:paraId="0DF418CC"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6,6%</w:t>
            </w:r>
          </w:p>
        </w:tc>
      </w:tr>
      <w:tr w:rsidR="00652644" w14:paraId="3D85BE52" w14:textId="77777777">
        <w:trPr>
          <w:trHeight w:val="279"/>
        </w:trPr>
        <w:tc>
          <w:tcPr>
            <w:tcW w:w="2830" w:type="dxa"/>
            <w:tcBorders>
              <w:left w:val="single" w:sz="4" w:space="0" w:color="FFFFFF"/>
            </w:tcBorders>
            <w:shd w:val="clear" w:color="auto" w:fill="4472C4"/>
            <w:vAlign w:val="bottom"/>
          </w:tcPr>
          <w:p w14:paraId="7BE20DD8" w14:textId="77777777" w:rsidR="00652644" w:rsidRDefault="00000000">
            <w:pPr>
              <w:rPr>
                <w:rFonts w:ascii="Open Sans Light" w:eastAsia="Open Sans Light" w:hAnsi="Open Sans Light" w:cs="Open Sans Light"/>
                <w:color w:val="FFFFFF"/>
                <w:sz w:val="22"/>
                <w:szCs w:val="22"/>
              </w:rPr>
            </w:pPr>
            <w:r>
              <w:rPr>
                <w:rFonts w:ascii="Open Sans" w:eastAsia="Open Sans" w:hAnsi="Open Sans" w:cs="Open Sans"/>
                <w:color w:val="FFFFFF"/>
                <w:sz w:val="22"/>
                <w:szCs w:val="22"/>
              </w:rPr>
              <w:t>Sants - Montjuïc</w:t>
            </w:r>
          </w:p>
        </w:tc>
        <w:tc>
          <w:tcPr>
            <w:tcW w:w="2127" w:type="dxa"/>
            <w:shd w:val="clear" w:color="auto" w:fill="D9E2F3"/>
            <w:vAlign w:val="bottom"/>
          </w:tcPr>
          <w:p w14:paraId="2A3A2469"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5,2%</w:t>
            </w:r>
          </w:p>
        </w:tc>
        <w:tc>
          <w:tcPr>
            <w:tcW w:w="2218" w:type="dxa"/>
            <w:shd w:val="clear" w:color="auto" w:fill="D9E2F3"/>
            <w:vAlign w:val="bottom"/>
          </w:tcPr>
          <w:p w14:paraId="13939D40"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1972" w:type="dxa"/>
            <w:shd w:val="clear" w:color="auto" w:fill="D9E2F3"/>
            <w:vAlign w:val="bottom"/>
          </w:tcPr>
          <w:p w14:paraId="21045035"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6,3%</w:t>
            </w:r>
          </w:p>
        </w:tc>
      </w:tr>
      <w:tr w:rsidR="00652644" w14:paraId="08190E27" w14:textId="77777777">
        <w:trPr>
          <w:trHeight w:val="294"/>
        </w:trPr>
        <w:tc>
          <w:tcPr>
            <w:tcW w:w="2830" w:type="dxa"/>
            <w:tcBorders>
              <w:left w:val="single" w:sz="4" w:space="0" w:color="FFFFFF"/>
            </w:tcBorders>
            <w:shd w:val="clear" w:color="auto" w:fill="4472C4"/>
            <w:vAlign w:val="bottom"/>
          </w:tcPr>
          <w:p w14:paraId="4EE32B0D" w14:textId="77777777" w:rsidR="00652644" w:rsidRDefault="00000000">
            <w:pPr>
              <w:rPr>
                <w:rFonts w:ascii="Open Sans Light" w:eastAsia="Open Sans Light" w:hAnsi="Open Sans Light" w:cs="Open Sans Light"/>
                <w:color w:val="FFFFFF"/>
                <w:sz w:val="22"/>
                <w:szCs w:val="22"/>
              </w:rPr>
            </w:pPr>
            <w:r>
              <w:rPr>
                <w:rFonts w:ascii="Open Sans" w:eastAsia="Open Sans" w:hAnsi="Open Sans" w:cs="Open Sans"/>
                <w:color w:val="FFFFFF"/>
                <w:sz w:val="22"/>
                <w:szCs w:val="22"/>
              </w:rPr>
              <w:t>Horta - Guinardó</w:t>
            </w:r>
          </w:p>
        </w:tc>
        <w:tc>
          <w:tcPr>
            <w:tcW w:w="2127" w:type="dxa"/>
            <w:shd w:val="clear" w:color="auto" w:fill="B4C6E7"/>
            <w:vAlign w:val="bottom"/>
          </w:tcPr>
          <w:p w14:paraId="7BF774B3"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2218" w:type="dxa"/>
            <w:shd w:val="clear" w:color="auto" w:fill="B4C6E7"/>
            <w:vAlign w:val="bottom"/>
          </w:tcPr>
          <w:p w14:paraId="5F44F534"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4,9%</w:t>
            </w:r>
          </w:p>
        </w:tc>
        <w:tc>
          <w:tcPr>
            <w:tcW w:w="1972" w:type="dxa"/>
            <w:shd w:val="clear" w:color="auto" w:fill="B4C6E7"/>
            <w:vAlign w:val="bottom"/>
          </w:tcPr>
          <w:p w14:paraId="737FC798"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5,7%</w:t>
            </w:r>
          </w:p>
        </w:tc>
      </w:tr>
      <w:tr w:rsidR="00652644" w14:paraId="25FE279A" w14:textId="77777777">
        <w:trPr>
          <w:trHeight w:val="279"/>
        </w:trPr>
        <w:tc>
          <w:tcPr>
            <w:tcW w:w="2830" w:type="dxa"/>
            <w:tcBorders>
              <w:left w:val="single" w:sz="4" w:space="0" w:color="FFFFFF"/>
            </w:tcBorders>
            <w:shd w:val="clear" w:color="auto" w:fill="4472C4"/>
            <w:vAlign w:val="bottom"/>
          </w:tcPr>
          <w:p w14:paraId="4440B26D" w14:textId="77777777" w:rsidR="00652644" w:rsidRDefault="00000000">
            <w:pPr>
              <w:rPr>
                <w:rFonts w:ascii="Open Sans Light" w:eastAsia="Open Sans Light" w:hAnsi="Open Sans Light" w:cs="Open Sans Light"/>
                <w:color w:val="FFFFFF"/>
                <w:sz w:val="22"/>
                <w:szCs w:val="22"/>
              </w:rPr>
            </w:pPr>
            <w:r>
              <w:rPr>
                <w:rFonts w:ascii="Open Sans" w:eastAsia="Open Sans" w:hAnsi="Open Sans" w:cs="Open Sans"/>
                <w:color w:val="FFFFFF"/>
                <w:sz w:val="22"/>
                <w:szCs w:val="22"/>
              </w:rPr>
              <w:t>Sant Andreu</w:t>
            </w:r>
          </w:p>
        </w:tc>
        <w:tc>
          <w:tcPr>
            <w:tcW w:w="2127" w:type="dxa"/>
            <w:shd w:val="clear" w:color="auto" w:fill="D9E2F3"/>
            <w:vAlign w:val="bottom"/>
          </w:tcPr>
          <w:p w14:paraId="0109EBA6"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5,6%</w:t>
            </w:r>
          </w:p>
        </w:tc>
        <w:tc>
          <w:tcPr>
            <w:tcW w:w="2218" w:type="dxa"/>
            <w:shd w:val="clear" w:color="auto" w:fill="D9E2F3"/>
            <w:vAlign w:val="bottom"/>
          </w:tcPr>
          <w:p w14:paraId="74A1EFEE"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1972" w:type="dxa"/>
            <w:shd w:val="clear" w:color="auto" w:fill="D9E2F3"/>
            <w:vAlign w:val="bottom"/>
          </w:tcPr>
          <w:p w14:paraId="037E793F"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5,6%</w:t>
            </w:r>
          </w:p>
        </w:tc>
      </w:tr>
      <w:tr w:rsidR="00652644" w14:paraId="3A556454" w14:textId="77777777">
        <w:trPr>
          <w:trHeight w:val="279"/>
        </w:trPr>
        <w:tc>
          <w:tcPr>
            <w:tcW w:w="2830" w:type="dxa"/>
            <w:tcBorders>
              <w:left w:val="single" w:sz="4" w:space="0" w:color="FFFFFF"/>
            </w:tcBorders>
            <w:shd w:val="clear" w:color="auto" w:fill="4472C4"/>
            <w:vAlign w:val="bottom"/>
          </w:tcPr>
          <w:p w14:paraId="2241FDE3" w14:textId="77777777" w:rsidR="00652644" w:rsidRDefault="00000000">
            <w:pPr>
              <w:rPr>
                <w:rFonts w:ascii="Open Sans Light" w:eastAsia="Open Sans Light" w:hAnsi="Open Sans Light" w:cs="Open Sans Light"/>
                <w:color w:val="FFFFFF"/>
                <w:sz w:val="22"/>
                <w:szCs w:val="22"/>
              </w:rPr>
            </w:pPr>
            <w:r>
              <w:rPr>
                <w:rFonts w:ascii="Open Sans" w:eastAsia="Open Sans" w:hAnsi="Open Sans" w:cs="Open Sans"/>
                <w:color w:val="FFFFFF"/>
                <w:sz w:val="22"/>
                <w:szCs w:val="22"/>
              </w:rPr>
              <w:t>Sant Martí</w:t>
            </w:r>
          </w:p>
        </w:tc>
        <w:tc>
          <w:tcPr>
            <w:tcW w:w="2127" w:type="dxa"/>
            <w:shd w:val="clear" w:color="auto" w:fill="B4C6E7"/>
            <w:vAlign w:val="bottom"/>
          </w:tcPr>
          <w:p w14:paraId="58B5B71E"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5,0%</w:t>
            </w:r>
          </w:p>
        </w:tc>
        <w:tc>
          <w:tcPr>
            <w:tcW w:w="2218" w:type="dxa"/>
            <w:shd w:val="clear" w:color="auto" w:fill="B4C6E7"/>
            <w:vAlign w:val="bottom"/>
          </w:tcPr>
          <w:p w14:paraId="4E3EE8F1"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w:t>
            </w:r>
          </w:p>
        </w:tc>
        <w:tc>
          <w:tcPr>
            <w:tcW w:w="1972" w:type="dxa"/>
            <w:shd w:val="clear" w:color="auto" w:fill="B4C6E7"/>
            <w:vAlign w:val="bottom"/>
          </w:tcPr>
          <w:p w14:paraId="5E7B46BB"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5,4%</w:t>
            </w:r>
          </w:p>
        </w:tc>
      </w:tr>
      <w:tr w:rsidR="00652644" w14:paraId="22CFDBEE" w14:textId="77777777">
        <w:trPr>
          <w:trHeight w:val="279"/>
        </w:trPr>
        <w:tc>
          <w:tcPr>
            <w:tcW w:w="2830" w:type="dxa"/>
            <w:tcBorders>
              <w:left w:val="single" w:sz="4" w:space="0" w:color="FFFFFF"/>
            </w:tcBorders>
            <w:shd w:val="clear" w:color="auto" w:fill="4472C4"/>
            <w:vAlign w:val="bottom"/>
          </w:tcPr>
          <w:p w14:paraId="78F6AFAC" w14:textId="77777777" w:rsidR="00652644" w:rsidRDefault="00000000">
            <w:pPr>
              <w:rPr>
                <w:rFonts w:ascii="Open Sans Light" w:eastAsia="Open Sans Light" w:hAnsi="Open Sans Light" w:cs="Open Sans Light"/>
                <w:color w:val="FFFFFF"/>
                <w:sz w:val="22"/>
                <w:szCs w:val="22"/>
              </w:rPr>
            </w:pPr>
            <w:proofErr w:type="spellStart"/>
            <w:r>
              <w:rPr>
                <w:rFonts w:ascii="Open Sans" w:eastAsia="Open Sans" w:hAnsi="Open Sans" w:cs="Open Sans"/>
                <w:color w:val="FFFFFF"/>
                <w:sz w:val="22"/>
                <w:szCs w:val="22"/>
              </w:rPr>
              <w:t>Ciutat</w:t>
            </w:r>
            <w:proofErr w:type="spellEnd"/>
            <w:r>
              <w:rPr>
                <w:rFonts w:ascii="Open Sans" w:eastAsia="Open Sans" w:hAnsi="Open Sans" w:cs="Open Sans"/>
                <w:color w:val="FFFFFF"/>
                <w:sz w:val="22"/>
                <w:szCs w:val="22"/>
              </w:rPr>
              <w:t xml:space="preserve"> Vella</w:t>
            </w:r>
          </w:p>
        </w:tc>
        <w:tc>
          <w:tcPr>
            <w:tcW w:w="2127" w:type="dxa"/>
            <w:shd w:val="clear" w:color="auto" w:fill="D9E2F3"/>
            <w:vAlign w:val="bottom"/>
          </w:tcPr>
          <w:p w14:paraId="2ABE4C6D"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4,8%</w:t>
            </w:r>
          </w:p>
        </w:tc>
        <w:tc>
          <w:tcPr>
            <w:tcW w:w="2218" w:type="dxa"/>
            <w:shd w:val="clear" w:color="auto" w:fill="D9E2F3"/>
            <w:vAlign w:val="bottom"/>
          </w:tcPr>
          <w:p w14:paraId="6186BDA6"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1972" w:type="dxa"/>
            <w:shd w:val="clear" w:color="auto" w:fill="D9E2F3"/>
            <w:vAlign w:val="bottom"/>
          </w:tcPr>
          <w:p w14:paraId="09267129"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5,3%</w:t>
            </w:r>
          </w:p>
        </w:tc>
      </w:tr>
      <w:tr w:rsidR="00652644" w14:paraId="278223BE" w14:textId="77777777">
        <w:trPr>
          <w:trHeight w:val="279"/>
        </w:trPr>
        <w:tc>
          <w:tcPr>
            <w:tcW w:w="2830" w:type="dxa"/>
            <w:tcBorders>
              <w:left w:val="single" w:sz="4" w:space="0" w:color="FFFFFF"/>
            </w:tcBorders>
            <w:shd w:val="clear" w:color="auto" w:fill="4472C4"/>
            <w:vAlign w:val="bottom"/>
          </w:tcPr>
          <w:p w14:paraId="1B350F7B" w14:textId="77777777" w:rsidR="00652644" w:rsidRDefault="00000000">
            <w:pPr>
              <w:rPr>
                <w:rFonts w:ascii="Open Sans Light" w:eastAsia="Open Sans Light" w:hAnsi="Open Sans Light" w:cs="Open Sans Light"/>
                <w:color w:val="FFFFFF"/>
                <w:sz w:val="22"/>
                <w:szCs w:val="22"/>
              </w:rPr>
            </w:pPr>
            <w:r>
              <w:rPr>
                <w:rFonts w:ascii="Open Sans" w:eastAsia="Open Sans" w:hAnsi="Open Sans" w:cs="Open Sans"/>
                <w:color w:val="FFFFFF"/>
                <w:sz w:val="22"/>
                <w:szCs w:val="22"/>
              </w:rPr>
              <w:t>Gràcia</w:t>
            </w:r>
          </w:p>
        </w:tc>
        <w:tc>
          <w:tcPr>
            <w:tcW w:w="2127" w:type="dxa"/>
            <w:shd w:val="clear" w:color="auto" w:fill="B4C6E7"/>
            <w:vAlign w:val="bottom"/>
          </w:tcPr>
          <w:p w14:paraId="5D9FA93D"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4,7%</w:t>
            </w:r>
          </w:p>
        </w:tc>
        <w:tc>
          <w:tcPr>
            <w:tcW w:w="2218" w:type="dxa"/>
            <w:shd w:val="clear" w:color="auto" w:fill="B4C6E7"/>
            <w:vAlign w:val="bottom"/>
          </w:tcPr>
          <w:p w14:paraId="512C74E8"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4,0%</w:t>
            </w:r>
          </w:p>
        </w:tc>
        <w:tc>
          <w:tcPr>
            <w:tcW w:w="1972" w:type="dxa"/>
            <w:shd w:val="clear" w:color="auto" w:fill="B4C6E7"/>
            <w:vAlign w:val="bottom"/>
          </w:tcPr>
          <w:p w14:paraId="318DC9C4"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5,0%</w:t>
            </w:r>
          </w:p>
        </w:tc>
      </w:tr>
      <w:tr w:rsidR="00652644" w14:paraId="48C3BD07" w14:textId="77777777">
        <w:trPr>
          <w:trHeight w:val="279"/>
        </w:trPr>
        <w:tc>
          <w:tcPr>
            <w:tcW w:w="2830" w:type="dxa"/>
            <w:tcBorders>
              <w:left w:val="single" w:sz="4" w:space="0" w:color="FFFFFF"/>
            </w:tcBorders>
            <w:shd w:val="clear" w:color="auto" w:fill="4472C4"/>
            <w:vAlign w:val="bottom"/>
          </w:tcPr>
          <w:p w14:paraId="46A20B10" w14:textId="77777777" w:rsidR="00652644" w:rsidRDefault="00000000">
            <w:pPr>
              <w:rPr>
                <w:rFonts w:ascii="Open Sans Light" w:eastAsia="Open Sans Light" w:hAnsi="Open Sans Light" w:cs="Open Sans Light"/>
                <w:color w:val="FFFFFF"/>
                <w:sz w:val="22"/>
                <w:szCs w:val="22"/>
              </w:rPr>
            </w:pPr>
            <w:r>
              <w:rPr>
                <w:rFonts w:ascii="Open Sans" w:eastAsia="Open Sans" w:hAnsi="Open Sans" w:cs="Open Sans"/>
                <w:color w:val="FFFFFF"/>
                <w:sz w:val="22"/>
                <w:szCs w:val="22"/>
              </w:rPr>
              <w:t>Eixample</w:t>
            </w:r>
          </w:p>
        </w:tc>
        <w:tc>
          <w:tcPr>
            <w:tcW w:w="2127" w:type="dxa"/>
            <w:shd w:val="clear" w:color="auto" w:fill="D9E2F3"/>
            <w:vAlign w:val="bottom"/>
          </w:tcPr>
          <w:p w14:paraId="518F32E3"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w:t>
            </w:r>
          </w:p>
        </w:tc>
        <w:tc>
          <w:tcPr>
            <w:tcW w:w="2218" w:type="dxa"/>
            <w:shd w:val="clear" w:color="auto" w:fill="D9E2F3"/>
            <w:vAlign w:val="bottom"/>
          </w:tcPr>
          <w:p w14:paraId="7DA012A4"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3,5%</w:t>
            </w:r>
          </w:p>
        </w:tc>
        <w:tc>
          <w:tcPr>
            <w:tcW w:w="1972" w:type="dxa"/>
            <w:shd w:val="clear" w:color="auto" w:fill="D9E2F3"/>
            <w:vAlign w:val="bottom"/>
          </w:tcPr>
          <w:p w14:paraId="00F8182A"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4,3%</w:t>
            </w:r>
          </w:p>
        </w:tc>
      </w:tr>
      <w:tr w:rsidR="00652644" w14:paraId="1EB01438" w14:textId="77777777">
        <w:trPr>
          <w:trHeight w:val="294"/>
        </w:trPr>
        <w:tc>
          <w:tcPr>
            <w:tcW w:w="2830" w:type="dxa"/>
            <w:tcBorders>
              <w:left w:val="single" w:sz="4" w:space="0" w:color="FFFFFF"/>
            </w:tcBorders>
            <w:shd w:val="clear" w:color="auto" w:fill="4472C4"/>
            <w:vAlign w:val="bottom"/>
          </w:tcPr>
          <w:p w14:paraId="1837911C" w14:textId="77777777" w:rsidR="00652644" w:rsidRDefault="00000000">
            <w:pPr>
              <w:rPr>
                <w:rFonts w:ascii="Open Sans Light" w:eastAsia="Open Sans Light" w:hAnsi="Open Sans Light" w:cs="Open Sans Light"/>
                <w:color w:val="FFFFFF"/>
                <w:sz w:val="22"/>
                <w:szCs w:val="22"/>
              </w:rPr>
            </w:pPr>
            <w:r>
              <w:rPr>
                <w:rFonts w:ascii="Open Sans" w:eastAsia="Open Sans" w:hAnsi="Open Sans" w:cs="Open Sans"/>
                <w:color w:val="FFFFFF"/>
                <w:sz w:val="22"/>
                <w:szCs w:val="22"/>
              </w:rPr>
              <w:t>Les Corts</w:t>
            </w:r>
          </w:p>
        </w:tc>
        <w:tc>
          <w:tcPr>
            <w:tcW w:w="2127" w:type="dxa"/>
            <w:shd w:val="clear" w:color="auto" w:fill="B4C6E7"/>
            <w:vAlign w:val="bottom"/>
          </w:tcPr>
          <w:p w14:paraId="26C69CC4"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3,8%</w:t>
            </w:r>
          </w:p>
        </w:tc>
        <w:tc>
          <w:tcPr>
            <w:tcW w:w="2218" w:type="dxa"/>
            <w:shd w:val="clear" w:color="auto" w:fill="B4C6E7"/>
            <w:vAlign w:val="bottom"/>
          </w:tcPr>
          <w:p w14:paraId="2C78CA85"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1972" w:type="dxa"/>
            <w:shd w:val="clear" w:color="auto" w:fill="B4C6E7"/>
            <w:vAlign w:val="bottom"/>
          </w:tcPr>
          <w:p w14:paraId="30FE1673"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4,0%</w:t>
            </w:r>
          </w:p>
        </w:tc>
      </w:tr>
      <w:tr w:rsidR="00652644" w14:paraId="4B5C3D87" w14:textId="77777777">
        <w:trPr>
          <w:trHeight w:val="279"/>
        </w:trPr>
        <w:tc>
          <w:tcPr>
            <w:tcW w:w="2830" w:type="dxa"/>
            <w:tcBorders>
              <w:left w:val="single" w:sz="4" w:space="0" w:color="FFFFFF"/>
              <w:bottom w:val="single" w:sz="4" w:space="0" w:color="FFFFFF"/>
            </w:tcBorders>
            <w:shd w:val="clear" w:color="auto" w:fill="4472C4"/>
            <w:vAlign w:val="bottom"/>
          </w:tcPr>
          <w:p w14:paraId="64046509" w14:textId="77777777" w:rsidR="00652644" w:rsidRDefault="00000000">
            <w:pPr>
              <w:rPr>
                <w:rFonts w:ascii="Open Sans Light" w:eastAsia="Open Sans Light" w:hAnsi="Open Sans Light" w:cs="Open Sans Light"/>
                <w:color w:val="FFFFFF"/>
                <w:sz w:val="22"/>
                <w:szCs w:val="22"/>
              </w:rPr>
            </w:pPr>
            <w:r>
              <w:rPr>
                <w:rFonts w:ascii="Open Sans" w:eastAsia="Open Sans" w:hAnsi="Open Sans" w:cs="Open Sans"/>
                <w:color w:val="FFFFFF"/>
                <w:sz w:val="22"/>
                <w:szCs w:val="22"/>
              </w:rPr>
              <w:t>Sarrià - Sant Gervasi</w:t>
            </w:r>
          </w:p>
        </w:tc>
        <w:tc>
          <w:tcPr>
            <w:tcW w:w="2127" w:type="dxa"/>
            <w:shd w:val="clear" w:color="auto" w:fill="D9E2F3"/>
            <w:vAlign w:val="bottom"/>
          </w:tcPr>
          <w:p w14:paraId="17A4E90E"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4,1%</w:t>
            </w:r>
          </w:p>
        </w:tc>
        <w:tc>
          <w:tcPr>
            <w:tcW w:w="2218" w:type="dxa"/>
            <w:shd w:val="clear" w:color="auto" w:fill="D9E2F3"/>
            <w:vAlign w:val="bottom"/>
          </w:tcPr>
          <w:p w14:paraId="2C8D8F4F" w14:textId="77777777" w:rsidR="00652644" w:rsidRDefault="00000000">
            <w:pPr>
              <w:jc w:val="center"/>
              <w:rPr>
                <w:rFonts w:ascii="Open Sans" w:eastAsia="Open Sans" w:hAnsi="Open Sans" w:cs="Open Sans"/>
                <w:color w:val="000000"/>
                <w:sz w:val="22"/>
                <w:szCs w:val="22"/>
              </w:rPr>
            </w:pPr>
            <w:r>
              <w:rPr>
                <w:rFonts w:ascii="Open Sans" w:eastAsia="Open Sans" w:hAnsi="Open Sans" w:cs="Open Sans"/>
                <w:color w:val="000000"/>
                <w:sz w:val="22"/>
                <w:szCs w:val="22"/>
              </w:rPr>
              <w:t>3,4%</w:t>
            </w:r>
          </w:p>
        </w:tc>
        <w:tc>
          <w:tcPr>
            <w:tcW w:w="1972" w:type="dxa"/>
            <w:shd w:val="clear" w:color="auto" w:fill="D9E2F3"/>
            <w:vAlign w:val="bottom"/>
          </w:tcPr>
          <w:p w14:paraId="4DBF9FA4" w14:textId="77777777" w:rsidR="00652644" w:rsidRDefault="00000000">
            <w:pPr>
              <w:jc w:val="center"/>
              <w:rPr>
                <w:rFonts w:ascii="Open Sans" w:eastAsia="Open Sans" w:hAnsi="Open Sans" w:cs="Open Sans"/>
                <w:b/>
                <w:color w:val="000000"/>
                <w:sz w:val="22"/>
                <w:szCs w:val="22"/>
              </w:rPr>
            </w:pPr>
            <w:r>
              <w:rPr>
                <w:rFonts w:ascii="Open Sans" w:eastAsia="Open Sans" w:hAnsi="Open Sans" w:cs="Open Sans"/>
                <w:color w:val="000000"/>
                <w:sz w:val="22"/>
                <w:szCs w:val="22"/>
              </w:rPr>
              <w:t>3,7%</w:t>
            </w:r>
          </w:p>
        </w:tc>
      </w:tr>
    </w:tbl>
    <w:p w14:paraId="1D0892C2" w14:textId="77777777" w:rsidR="00C26FD9" w:rsidRDefault="00C26FD9">
      <w:pPr>
        <w:spacing w:line="276" w:lineRule="auto"/>
        <w:ind w:right="-716"/>
        <w:jc w:val="right"/>
        <w:rPr>
          <w:rFonts w:ascii="Open Sans" w:eastAsia="Open Sans" w:hAnsi="Open Sans" w:cs="Open Sans"/>
          <w:b/>
          <w:color w:val="303AB2"/>
        </w:rPr>
      </w:pPr>
    </w:p>
    <w:p w14:paraId="2CB153EA" w14:textId="5A30CBD5" w:rsidR="00652644" w:rsidRDefault="00000000">
      <w:pPr>
        <w:spacing w:line="276" w:lineRule="auto"/>
        <w:ind w:right="-716"/>
        <w:jc w:val="right"/>
        <w:rPr>
          <w:rFonts w:ascii="Open Sans" w:eastAsia="Open Sans" w:hAnsi="Open Sans" w:cs="Open Sans"/>
          <w:b/>
          <w:color w:val="303AB2"/>
        </w:rPr>
      </w:pPr>
      <w:r>
        <w:rPr>
          <w:rFonts w:ascii="Open Sans" w:eastAsia="Open Sans" w:hAnsi="Open Sans" w:cs="Open Sans"/>
          <w:b/>
          <w:color w:val="303AB2"/>
        </w:rPr>
        <w:t>Sobre Fotocasa</w:t>
      </w:r>
    </w:p>
    <w:p w14:paraId="29ECF2C1" w14:textId="77777777" w:rsidR="00652644"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9">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0229992E" w14:textId="77777777" w:rsidR="00652644" w:rsidRDefault="00000000">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30">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4" w:name="_heading=h.2et92p0" w:colFirst="0" w:colLast="0"/>
    <w:bookmarkEnd w:id="4"/>
    <w:p w14:paraId="10E61CA1" w14:textId="77777777" w:rsidR="00652644"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66E518B1" w14:textId="77777777" w:rsidR="00652644" w:rsidRDefault="00000000">
      <w:pPr>
        <w:spacing w:line="276" w:lineRule="auto"/>
        <w:ind w:right="-716"/>
        <w:rPr>
          <w:rFonts w:ascii="Open Sans" w:eastAsia="Open Sans" w:hAnsi="Open Sans" w:cs="Open Sans"/>
          <w:color w:val="000000"/>
          <w:sz w:val="22"/>
          <w:szCs w:val="22"/>
        </w:rPr>
      </w:pPr>
      <w:hyperlink r:id="rId31">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DF124B9" w14:textId="77777777" w:rsidR="00652644"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271AD906" w14:textId="77777777" w:rsidR="00652644"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32">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33">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34">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35">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36">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4C0492EC" w14:textId="77777777" w:rsidR="00652644"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6685361B" w14:textId="77777777" w:rsidR="00652644" w:rsidRDefault="00000000">
      <w:pPr>
        <w:spacing w:after="16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1F79A9DD" w14:textId="77777777" w:rsidR="00652644" w:rsidRDefault="00000000">
      <w:pPr>
        <w:spacing w:after="160"/>
        <w:ind w:right="-716"/>
        <w:jc w:val="both"/>
        <w:rPr>
          <w:rFonts w:ascii="Open Sans" w:eastAsia="Open Sans" w:hAnsi="Open Sans" w:cs="Open Sans"/>
        </w:rPr>
      </w:pPr>
      <w:r>
        <w:rPr>
          <w:rFonts w:ascii="Open Sans" w:eastAsia="Open Sans" w:hAnsi="Open Sans" w:cs="Open Sans"/>
          <w:sz w:val="22"/>
          <w:szCs w:val="22"/>
        </w:rPr>
        <w:t xml:space="preserve">Más información en </w:t>
      </w:r>
      <w:hyperlink r:id="rId37">
        <w:r>
          <w:rPr>
            <w:rFonts w:ascii="Open Sans" w:eastAsia="Open Sans" w:hAnsi="Open Sans" w:cs="Open Sans"/>
            <w:color w:val="1155CC"/>
            <w:sz w:val="22"/>
            <w:szCs w:val="22"/>
            <w:u w:val="single"/>
          </w:rPr>
          <w:t>adevinta.es</w:t>
        </w:r>
      </w:hyperlink>
    </w:p>
    <w:p w14:paraId="19764706" w14:textId="77777777" w:rsidR="00652644" w:rsidRDefault="00652644">
      <w:pPr>
        <w:spacing w:after="160"/>
        <w:ind w:right="-716"/>
        <w:jc w:val="both"/>
        <w:rPr>
          <w:rFonts w:ascii="Open Sans" w:eastAsia="Open Sans" w:hAnsi="Open Sans" w:cs="Open Sans"/>
        </w:rPr>
      </w:pPr>
    </w:p>
    <w:p w14:paraId="698F6C72" w14:textId="77777777" w:rsidR="00652644" w:rsidRDefault="00000000">
      <w:pPr>
        <w:spacing w:after="160"/>
        <w:ind w:right="-716"/>
        <w:jc w:val="both"/>
        <w:rPr>
          <w:rFonts w:ascii="Open Sans" w:eastAsia="Open Sans" w:hAnsi="Open Sans" w:cs="Open Sans"/>
        </w:rPr>
      </w:pPr>
      <w:r>
        <w:rPr>
          <w:rFonts w:ascii="Open Sans" w:eastAsia="Open Sans" w:hAnsi="Open Sans" w:cs="Open Sans"/>
          <w:b/>
          <w:color w:val="303AB2"/>
          <w:sz w:val="22"/>
          <w:szCs w:val="22"/>
        </w:rPr>
        <w:t xml:space="preserve">Llorente y Cuenca    </w:t>
      </w:r>
      <w:r>
        <w:rPr>
          <w:rFonts w:ascii="Open Sans" w:eastAsia="Open Sans" w:hAnsi="Open Sans" w:cs="Open Sans"/>
          <w:b/>
          <w:color w:val="303AB2"/>
          <w:sz w:val="22"/>
          <w:szCs w:val="22"/>
        </w:rPr>
        <w:tab/>
      </w:r>
      <w:r>
        <w:rPr>
          <w:rFonts w:ascii="Open Sans" w:eastAsia="Open Sans" w:hAnsi="Open Sans" w:cs="Open Sans"/>
          <w:b/>
          <w:color w:val="303AB2"/>
          <w:sz w:val="22"/>
          <w:szCs w:val="22"/>
        </w:rPr>
        <w:tab/>
        <w:t xml:space="preserve">                  Departamento Comunicación Fotocasa</w:t>
      </w:r>
    </w:p>
    <w:p w14:paraId="3E404541" w14:textId="77777777" w:rsidR="00652644" w:rsidRDefault="00000000">
      <w:pPr>
        <w:shd w:val="clear" w:color="auto" w:fill="FFFFFF"/>
        <w:spacing w:line="276" w:lineRule="auto"/>
        <w:ind w:right="-574"/>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Ramon Torné                                                                                                           Anaïs López </w:t>
      </w:r>
    </w:p>
    <w:p w14:paraId="42ADA169" w14:textId="77777777" w:rsidR="00652644" w:rsidRDefault="00000000">
      <w:pPr>
        <w:shd w:val="clear" w:color="auto" w:fill="FFFFFF"/>
        <w:spacing w:line="276" w:lineRule="auto"/>
        <w:ind w:right="-574"/>
        <w:rPr>
          <w:rFonts w:ascii="Open Sans" w:eastAsia="Open Sans" w:hAnsi="Open Sans" w:cs="Open Sans"/>
          <w:color w:val="0000FF"/>
          <w:sz w:val="22"/>
          <w:szCs w:val="22"/>
          <w:u w:val="single"/>
        </w:rPr>
      </w:pPr>
      <w:hyperlink r:id="rId38">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39">
        <w:r>
          <w:rPr>
            <w:rFonts w:ascii="Open Sans" w:eastAsia="Open Sans" w:hAnsi="Open Sans" w:cs="Open Sans"/>
            <w:color w:val="0000FF"/>
            <w:sz w:val="22"/>
            <w:szCs w:val="22"/>
            <w:u w:val="single"/>
          </w:rPr>
          <w:t>comunicacion@fotocasa.es</w:t>
        </w:r>
      </w:hyperlink>
    </w:p>
    <w:p w14:paraId="1A1607F9" w14:textId="77777777" w:rsidR="00652644" w:rsidRDefault="00000000">
      <w:pPr>
        <w:shd w:val="clear" w:color="auto" w:fill="FFFFFF"/>
        <w:spacing w:line="276" w:lineRule="auto"/>
        <w:ind w:right="-574"/>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 </w:t>
      </w:r>
    </w:p>
    <w:p w14:paraId="5A3C923A" w14:textId="77777777" w:rsidR="00652644" w:rsidRDefault="00000000">
      <w:pPr>
        <w:shd w:val="clear" w:color="auto" w:fill="FFFFFF"/>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60C2B2CE" w14:textId="77777777" w:rsidR="00652644" w:rsidRDefault="00000000">
      <w:pPr>
        <w:shd w:val="clear" w:color="auto" w:fill="FFFFFF"/>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28526CB8" w14:textId="77777777" w:rsidR="00652644" w:rsidRDefault="00000000">
      <w:pPr>
        <w:shd w:val="clear" w:color="auto" w:fill="FFFFFF"/>
        <w:rPr>
          <w:rFonts w:ascii="Open Sans" w:eastAsia="Open Sans" w:hAnsi="Open Sans" w:cs="Open Sans"/>
          <w:b/>
          <w:color w:val="000000"/>
          <w:sz w:val="22"/>
          <w:szCs w:val="22"/>
        </w:rPr>
      </w:pPr>
      <w:hyperlink r:id="rId40">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7D218730" w14:textId="77777777" w:rsidR="00652644"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0A4C2D0F" w14:textId="77777777" w:rsidR="00652644" w:rsidRDefault="00652644">
      <w:pPr>
        <w:shd w:val="clear" w:color="auto" w:fill="FFFFFF"/>
        <w:rPr>
          <w:rFonts w:ascii="Open Sans" w:eastAsia="Open Sans" w:hAnsi="Open Sans" w:cs="Open Sans"/>
          <w:color w:val="000000"/>
          <w:sz w:val="22"/>
          <w:szCs w:val="22"/>
        </w:rPr>
      </w:pPr>
    </w:p>
    <w:p w14:paraId="27694C3A" w14:textId="77777777" w:rsidR="00652644" w:rsidRDefault="00000000">
      <w:pPr>
        <w:shd w:val="clear" w:color="auto" w:fill="FFFFFF"/>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0D9E1441" w14:textId="77777777" w:rsidR="00652644" w:rsidRDefault="00000000">
      <w:pPr>
        <w:shd w:val="clear" w:color="auto" w:fill="FFFFFF"/>
        <w:rPr>
          <w:rFonts w:ascii="Open Sans" w:eastAsia="Open Sans" w:hAnsi="Open Sans" w:cs="Open Sans"/>
          <w:b/>
          <w:color w:val="000000"/>
          <w:sz w:val="22"/>
          <w:szCs w:val="22"/>
        </w:rPr>
      </w:pPr>
      <w:hyperlink r:id="rId41">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047BCA86" w14:textId="77777777" w:rsidR="00652644" w:rsidRDefault="00000000">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1C15200B" w14:textId="77777777" w:rsidR="00652644" w:rsidRDefault="00652644">
      <w:pPr>
        <w:spacing w:line="276" w:lineRule="auto"/>
        <w:ind w:right="-574"/>
        <w:jc w:val="right"/>
        <w:rPr>
          <w:rFonts w:ascii="Open Sans" w:eastAsia="Open Sans" w:hAnsi="Open Sans" w:cs="Open Sans"/>
          <w:color w:val="000000"/>
          <w:sz w:val="21"/>
          <w:szCs w:val="21"/>
        </w:rPr>
      </w:pPr>
    </w:p>
    <w:sectPr w:rsidR="00652644">
      <w:footerReference w:type="default" r:id="rId42"/>
      <w:pgSz w:w="11900"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842A" w14:textId="77777777" w:rsidR="00F15E38" w:rsidRDefault="00F15E38">
      <w:r>
        <w:separator/>
      </w:r>
    </w:p>
  </w:endnote>
  <w:endnote w:type="continuationSeparator" w:id="0">
    <w:p w14:paraId="1D8AFA98" w14:textId="77777777" w:rsidR="00F15E38" w:rsidRDefault="00F1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F38E" w14:textId="77777777" w:rsidR="00652644" w:rsidRDefault="00000000">
    <w:pPr>
      <w:pBdr>
        <w:top w:val="nil"/>
        <w:left w:val="nil"/>
        <w:bottom w:val="nil"/>
        <w:right w:val="nil"/>
        <w:between w:val="nil"/>
      </w:pBdr>
      <w:tabs>
        <w:tab w:val="center" w:pos="4252"/>
        <w:tab w:val="right" w:pos="8504"/>
      </w:tabs>
      <w:jc w:val="right"/>
      <w:rPr>
        <w:color w:val="000000"/>
      </w:rPr>
    </w:pPr>
    <w:r>
      <w:rPr>
        <w:color w:val="4472C4"/>
        <w:sz w:val="20"/>
        <w:szCs w:val="20"/>
      </w:rPr>
      <w:t xml:space="preserve">pág. </w:t>
    </w:r>
    <w:r>
      <w:rPr>
        <w:color w:val="4472C4"/>
        <w:sz w:val="20"/>
        <w:szCs w:val="20"/>
      </w:rPr>
      <w:fldChar w:fldCharType="begin"/>
    </w:r>
    <w:r>
      <w:rPr>
        <w:color w:val="4472C4"/>
        <w:sz w:val="20"/>
        <w:szCs w:val="20"/>
      </w:rPr>
      <w:instrText>PAGE</w:instrText>
    </w:r>
    <w:r>
      <w:rPr>
        <w:color w:val="4472C4"/>
        <w:sz w:val="20"/>
        <w:szCs w:val="20"/>
      </w:rPr>
      <w:fldChar w:fldCharType="separate"/>
    </w:r>
    <w:r w:rsidR="00234404">
      <w:rPr>
        <w:noProof/>
        <w:color w:val="4472C4"/>
        <w:sz w:val="20"/>
        <w:szCs w:val="20"/>
      </w:rPr>
      <w:t>1</w:t>
    </w:r>
    <w:r>
      <w:rPr>
        <w:color w:val="4472C4"/>
        <w:sz w:val="20"/>
        <w:szCs w:val="20"/>
      </w:rPr>
      <w:fldChar w:fldCharType="end"/>
    </w:r>
  </w:p>
  <w:p w14:paraId="0FC58640" w14:textId="77777777" w:rsidR="00652644" w:rsidRDefault="0065264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D867" w14:textId="77777777" w:rsidR="00F15E38" w:rsidRDefault="00F15E38">
      <w:r>
        <w:separator/>
      </w:r>
    </w:p>
  </w:footnote>
  <w:footnote w:type="continuationSeparator" w:id="0">
    <w:p w14:paraId="02779CCC" w14:textId="77777777" w:rsidR="00F15E38" w:rsidRDefault="00F15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0624D"/>
    <w:multiLevelType w:val="multilevel"/>
    <w:tmpl w:val="E4040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7145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644"/>
    <w:rsid w:val="00234404"/>
    <w:rsid w:val="00652644"/>
    <w:rsid w:val="00C26FD9"/>
    <w:rsid w:val="00F15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8FD3"/>
  <w15:docId w15:val="{4F72666D-F526-40DA-A2B7-05F815EE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989"/>
    <w:rPr>
      <w:lang w:val="es-ES_tradnl"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Refdecomentario">
    <w:name w:val="annotation reference"/>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link w:val="Textocomentario"/>
    <w:uiPriority w:val="99"/>
    <w:semiHidden/>
    <w:rsid w:val="00964BED"/>
    <w:rPr>
      <w:sz w:val="20"/>
      <w:szCs w:val="20"/>
    </w:rPr>
  </w:style>
  <w:style w:type="character" w:styleId="Mencinsinresolver">
    <w:name w:val="Unresolved Mention"/>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u w:color="000000"/>
      <w:lang w:val="en-US" w:eastAsia="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Texto">
    <w:name w:val="Texto"/>
    <w:basedOn w:val="Normal"/>
    <w:uiPriority w:val="99"/>
    <w:rsid w:val="0014415E"/>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lang w:val="es-ES" w:eastAsia="es-ES"/>
    </w:rPr>
  </w:style>
  <w:style w:type="character" w:styleId="nfasis">
    <w:name w:val="Emphasis"/>
    <w:qFormat/>
    <w:rsid w:val="0014415E"/>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hyperlink" Target="mailto:comunicacion@fotocasa.es" TargetMode="External"/><Relationship Id="rId21" Type="http://schemas.openxmlformats.org/officeDocument/2006/relationships/image" Target="media/image8.png"/><Relationship Id="rId34" Type="http://schemas.openxmlformats.org/officeDocument/2006/relationships/hyperlink" Target="https://www.infojobs.net/"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www.fotocasa.es/indice/" TargetMode="External"/><Relationship Id="rId41" Type="http://schemas.openxmlformats.org/officeDocument/2006/relationships/hyperlink" Target="mailto:piglesias@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0.png"/><Relationship Id="rId32" Type="http://schemas.openxmlformats.org/officeDocument/2006/relationships/hyperlink" Target="https://www.fotocasa.es/es/" TargetMode="External"/><Relationship Id="rId37" Type="http://schemas.openxmlformats.org/officeDocument/2006/relationships/hyperlink" Target="http://adevinta.es" TargetMode="External"/><Relationship Id="rId40"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fotocasa.es" TargetMode="External"/><Relationship Id="rId28" Type="http://schemas.openxmlformats.org/officeDocument/2006/relationships/hyperlink" Target="http://www.fotocasa.es" TargetMode="External"/><Relationship Id="rId36" Type="http://schemas.openxmlformats.org/officeDocument/2006/relationships/hyperlink" Target="https://motos.coches.net/"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hyperlink" Target="https://www.fotocasa.es/es/quienes-somo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_m3odc1ngCo" TargetMode="External"/><Relationship Id="rId14" Type="http://schemas.openxmlformats.org/officeDocument/2006/relationships/chart" Target="charts/chart2.xm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hyperlink" Target="https://prensa.fotocasa.es/ibai-llanos-y-fotocasa-premian-las-mejores-notas-de-la-selectividad-con-un-fotocasoplon/" TargetMode="External"/><Relationship Id="rId35" Type="http://schemas.openxmlformats.org/officeDocument/2006/relationships/hyperlink" Target="https://www.coches.net/"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fotocasa.es/es/" TargetMode="Externa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hyperlink" Target="https://www.habitaclia.com/" TargetMode="External"/><Relationship Id="rId38" Type="http://schemas.openxmlformats.org/officeDocument/2006/relationships/hyperlink" Target="mailto:rtorne@llorenteycuenca.co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H:\Mi%20unidad\01-SCHIBSTED\04-ESTUDIO%20NdP\RENTABILIDAD\NOTAS%20DE%20PRENSA\2022\JUNIO\Prensa%20Rentabilidad%20JUNIO%20202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H:\Mi%20unidad\01-SCHIBSTED\04-ESTUDIO%20NdP\RENTABILIDAD\NOTAS%20DE%20PRENSA\2022\JUNIO\Prensa%20Rentabilidad%20JUNIO%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spPr>
          <a:solidFill>
            <a:srgbClr val="5B9BD5">
              <a:lumMod val="75000"/>
            </a:srgb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5B9BD5">
              <a:lumMod val="75000"/>
            </a:srgbClr>
          </a:solidFill>
          <a:ln>
            <a:noFill/>
          </a:ln>
          <a:effectLst/>
        </c:spPr>
      </c:pivotFmt>
      <c:pivotFmt>
        <c:idx val="2"/>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pivotFmt>
    </c:pivotFmts>
    <c:plotArea>
      <c:layout>
        <c:manualLayout>
          <c:layoutTarget val="inner"/>
          <c:xMode val="edge"/>
          <c:yMode val="edge"/>
          <c:x val="4.2807779326799314E-2"/>
          <c:y val="7.085882684632272E-2"/>
          <c:w val="0.93482775611606472"/>
          <c:h val="0.7406623258101025"/>
        </c:manualLayout>
      </c:layout>
      <c:barChart>
        <c:barDir val="col"/>
        <c:grouping val="clustered"/>
        <c:varyColors val="0"/>
        <c:ser>
          <c:idx val="0"/>
          <c:order val="0"/>
          <c:tx>
            <c:strRef>
              <c:f>Hoja1!$F$2</c:f>
              <c:strCache>
                <c:ptCount val="1"/>
                <c:pt idx="0">
                  <c:v>España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Hoja1!$E$4:$E$14</c:f>
              <c:strCache>
                <c:ptCount val="11"/>
                <c:pt idx="0">
                  <c:v>1S - 2012    (10 AÑOS)</c:v>
                </c:pt>
                <c:pt idx="1">
                  <c:v>1S - 2013 </c:v>
                </c:pt>
                <c:pt idx="2">
                  <c:v>1S - 2014</c:v>
                </c:pt>
                <c:pt idx="3">
                  <c:v>1S - 2015</c:v>
                </c:pt>
                <c:pt idx="4">
                  <c:v>1S - 2016         </c:v>
                </c:pt>
                <c:pt idx="5">
                  <c:v>1S - 2017         (5 AÑOS)</c:v>
                </c:pt>
                <c:pt idx="6">
                  <c:v>1S - 2018   </c:v>
                </c:pt>
                <c:pt idx="7">
                  <c:v>1S - 2019</c:v>
                </c:pt>
                <c:pt idx="8">
                  <c:v>1S - 2020       </c:v>
                </c:pt>
                <c:pt idx="9">
                  <c:v>1S - 2021      (1 AÑO)</c:v>
                </c:pt>
                <c:pt idx="10">
                  <c:v>1S - 2022</c:v>
                </c:pt>
              </c:strCache>
            </c:strRef>
          </c:cat>
          <c:val>
            <c:numRef>
              <c:f>Hoja1!$F$4:$F$14</c:f>
              <c:numCache>
                <c:formatCode>0.0%</c:formatCode>
                <c:ptCount val="11"/>
                <c:pt idx="0">
                  <c:v>4.5001101584082673E-2</c:v>
                </c:pt>
                <c:pt idx="1">
                  <c:v>4.852953579948583E-2</c:v>
                </c:pt>
                <c:pt idx="2">
                  <c:v>5.0616132498609724E-2</c:v>
                </c:pt>
                <c:pt idx="3">
                  <c:v>5.232948788660427E-2</c:v>
                </c:pt>
                <c:pt idx="4">
                  <c:v>5.4780999383096857E-2</c:v>
                </c:pt>
                <c:pt idx="5">
                  <c:v>5.8585922152391522E-2</c:v>
                </c:pt>
                <c:pt idx="6">
                  <c:v>6.347753886614492E-2</c:v>
                </c:pt>
                <c:pt idx="7">
                  <c:v>6.233138219630574E-2</c:v>
                </c:pt>
                <c:pt idx="8">
                  <c:v>6.9297154781791881E-2</c:v>
                </c:pt>
                <c:pt idx="9">
                  <c:v>6.6520471717649063E-2</c:v>
                </c:pt>
                <c:pt idx="10">
                  <c:v>6.8860079541346E-2</c:v>
                </c:pt>
              </c:numCache>
            </c:numRef>
          </c:val>
          <c:extLst>
            <c:ext xmlns:c16="http://schemas.microsoft.com/office/drawing/2014/chart" uri="{C3380CC4-5D6E-409C-BE32-E72D297353CC}">
              <c16:uniqueId val="{00000000-187B-468A-A340-CE58A5B12B16}"/>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crossAx val="663677872"/>
        <c:crosses val="autoZero"/>
        <c:auto val="1"/>
        <c:lblAlgn val="ctr"/>
        <c:lblOffset val="100"/>
        <c:noMultiLvlLbl val="0"/>
      </c:catAx>
      <c:valAx>
        <c:axId val="663677872"/>
        <c:scaling>
          <c:orientation val="minMax"/>
        </c:scaling>
        <c:delete val="1"/>
        <c:axPos val="l"/>
        <c:numFmt formatCode="0.0%" sourceLinked="1"/>
        <c:majorTickMark val="none"/>
        <c:minorTickMark val="none"/>
        <c:tickLblPos val="nextTo"/>
        <c:crossAx val="158793635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spPr>
          <a:solidFill>
            <a:srgbClr val="5B9BD5">
              <a:lumMod val="75000"/>
            </a:srgb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5B9BD5">
              <a:lumMod val="75000"/>
            </a:srgbClr>
          </a:solidFill>
          <a:ln>
            <a:noFill/>
          </a:ln>
          <a:effectLst/>
        </c:spPr>
      </c:pivotFmt>
      <c:pivotFmt>
        <c:idx val="2"/>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pivotFmt>
    </c:pivotFmts>
    <c:plotArea>
      <c:layout>
        <c:manualLayout>
          <c:layoutTarget val="inner"/>
          <c:xMode val="edge"/>
          <c:yMode val="edge"/>
          <c:x val="7.7577433196924811E-2"/>
          <c:y val="3.9327280767025852E-2"/>
          <c:w val="0.90438639478947735"/>
          <c:h val="0.57262173347505152"/>
        </c:manualLayout>
      </c:layout>
      <c:barChart>
        <c:barDir val="col"/>
        <c:grouping val="clustered"/>
        <c:varyColors val="0"/>
        <c:ser>
          <c:idx val="0"/>
          <c:order val="0"/>
          <c:tx>
            <c:strRef>
              <c:f>Hoja1!$B$36</c:f>
              <c:strCache>
                <c:ptCount val="1"/>
                <c:pt idx="0">
                  <c:v>01/06/2022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Hoja1!$A$37:$A$54</c:f>
              <c:strCache>
                <c:ptCount val="18"/>
                <c:pt idx="0">
                  <c:v>Región de Murcia</c:v>
                </c:pt>
                <c:pt idx="1">
                  <c:v>Comunitat Valenciana</c:v>
                </c:pt>
                <c:pt idx="2">
                  <c:v>Cantabria</c:v>
                </c:pt>
                <c:pt idx="3">
                  <c:v>Navarra</c:v>
                </c:pt>
                <c:pt idx="4">
                  <c:v>Canarias</c:v>
                </c:pt>
                <c:pt idx="5">
                  <c:v>La Rioja</c:v>
                </c:pt>
                <c:pt idx="6">
                  <c:v>Castilla-La Mancha</c:v>
                </c:pt>
                <c:pt idx="7">
                  <c:v>España</c:v>
                </c:pt>
                <c:pt idx="8">
                  <c:v>Cataluña</c:v>
                </c:pt>
                <c:pt idx="9">
                  <c:v>Castilla y León</c:v>
                </c:pt>
                <c:pt idx="10">
                  <c:v>Aragón</c:v>
                </c:pt>
                <c:pt idx="11">
                  <c:v>Asturias</c:v>
                </c:pt>
                <c:pt idx="12">
                  <c:v>Extremadura</c:v>
                </c:pt>
                <c:pt idx="13">
                  <c:v>Andalucía</c:v>
                </c:pt>
                <c:pt idx="14">
                  <c:v>Galicia</c:v>
                </c:pt>
                <c:pt idx="15">
                  <c:v>País Vasco</c:v>
                </c:pt>
                <c:pt idx="16">
                  <c:v>Madrid</c:v>
                </c:pt>
                <c:pt idx="17">
                  <c:v>Baleares</c:v>
                </c:pt>
              </c:strCache>
            </c:strRef>
          </c:cat>
          <c:val>
            <c:numRef>
              <c:f>Hoja1!$B$37:$B$54</c:f>
              <c:numCache>
                <c:formatCode>0.0%</c:formatCode>
                <c:ptCount val="18"/>
                <c:pt idx="0">
                  <c:v>8.8408026288191277E-2</c:v>
                </c:pt>
                <c:pt idx="1">
                  <c:v>8.1514540156100337E-2</c:v>
                </c:pt>
                <c:pt idx="2">
                  <c:v>7.3253833049403749E-2</c:v>
                </c:pt>
                <c:pt idx="3">
                  <c:v>7.3043726371353174E-2</c:v>
                </c:pt>
                <c:pt idx="4">
                  <c:v>7.1735724524150793E-2</c:v>
                </c:pt>
                <c:pt idx="5">
                  <c:v>7.0156878575704004E-2</c:v>
                </c:pt>
                <c:pt idx="6">
                  <c:v>6.9746263593021801E-2</c:v>
                </c:pt>
                <c:pt idx="7">
                  <c:v>6.8860079541346E-2</c:v>
                </c:pt>
                <c:pt idx="8">
                  <c:v>6.8749589811100784E-2</c:v>
                </c:pt>
                <c:pt idx="9">
                  <c:v>6.7081908599480711E-2</c:v>
                </c:pt>
                <c:pt idx="10">
                  <c:v>6.4745253380685694E-2</c:v>
                </c:pt>
                <c:pt idx="11">
                  <c:v>6.4507580776438062E-2</c:v>
                </c:pt>
                <c:pt idx="12">
                  <c:v>6.3952070779198178E-2</c:v>
                </c:pt>
                <c:pt idx="13">
                  <c:v>6.1766136316264854E-2</c:v>
                </c:pt>
                <c:pt idx="14">
                  <c:v>5.9375840563482475E-2</c:v>
                </c:pt>
                <c:pt idx="15">
                  <c:v>5.5466821547843756E-2</c:v>
                </c:pt>
                <c:pt idx="16">
                  <c:v>5.5385120569661633E-2</c:v>
                </c:pt>
                <c:pt idx="17">
                  <c:v>5.0270867198519753E-2</c:v>
                </c:pt>
              </c:numCache>
            </c:numRef>
          </c:val>
          <c:extLst>
            <c:ext xmlns:c16="http://schemas.microsoft.com/office/drawing/2014/chart" uri="{C3380CC4-5D6E-409C-BE32-E72D297353CC}">
              <c16:uniqueId val="{00000000-DCF8-42AB-98AC-769EEC984D79}"/>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crossAx val="663677872"/>
        <c:crosses val="autoZero"/>
        <c:auto val="1"/>
        <c:lblAlgn val="ctr"/>
        <c:lblOffset val="100"/>
        <c:noMultiLvlLbl val="0"/>
      </c:catAx>
      <c:valAx>
        <c:axId val="663677872"/>
        <c:scaling>
          <c:orientation val="minMax"/>
        </c:scaling>
        <c:delete val="1"/>
        <c:axPos val="l"/>
        <c:numFmt formatCode="0.0%" sourceLinked="1"/>
        <c:majorTickMark val="none"/>
        <c:minorTickMark val="none"/>
        <c:tickLblPos val="nextTo"/>
        <c:crossAx val="158793635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h6qNEdGPfIt/eNYZ3urvc7v3lQ==">AMUW2mWX9vwMp3vxLrFRqwHIjQjlt1CKbYX8Jf/CX0TaC1yVljTbBKotpI9r2uNF1TEstY5YtUGyQASMTo6B1intePp3WqU+PxLBf2MmMmMAFJukKEPr88QDxFDkmNSaVyXIqN173Zax3L3iUPKbOQC+7WxexyqhBDYgcCsCEID6k6Gd7ZoS8A+XtV1or1b+MBBVRhUHjSqK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2488</Words>
  <Characters>13686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2021-01-12T19:15:00Z</dcterms:created>
  <dcterms:modified xsi:type="dcterms:W3CDTF">2022-07-26T11:48:00Z</dcterms:modified>
</cp:coreProperties>
</file>