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3AF3" w14:textId="77777777" w:rsidR="007B1ECE" w:rsidRDefault="001139DF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3A092B" wp14:editId="667EAAAF">
            <wp:simplePos x="0" y="0"/>
            <wp:positionH relativeFrom="column">
              <wp:posOffset>-1078863</wp:posOffset>
            </wp:positionH>
            <wp:positionV relativeFrom="paragraph">
              <wp:posOffset>-350451</wp:posOffset>
            </wp:positionV>
            <wp:extent cx="7581265" cy="1019175"/>
            <wp:effectExtent l="0" t="0" r="0" b="0"/>
            <wp:wrapNone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82C75" w14:textId="77777777" w:rsidR="007B1ECE" w:rsidRDefault="007B1ECE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D9E567A" w14:textId="77777777" w:rsidR="007B1ECE" w:rsidRDefault="007B1ECE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E685539" w14:textId="77777777" w:rsidR="007B1ECE" w:rsidRDefault="007B1ECE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739A2972" w14:textId="77777777" w:rsidR="007B1ECE" w:rsidRDefault="001139DF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4"/>
          <w:szCs w:val="34"/>
        </w:rPr>
      </w:pPr>
      <w:r>
        <w:rPr>
          <w:rFonts w:ascii="National" w:eastAsia="National" w:hAnsi="National" w:cs="National"/>
          <w:b/>
          <w:color w:val="1DBDC5"/>
          <w:sz w:val="34"/>
          <w:szCs w:val="34"/>
        </w:rPr>
        <w:t>PERFIL DEL COMPRADOR DE SEGUNDA RESIDENCIA</w:t>
      </w:r>
    </w:p>
    <w:p w14:paraId="159C66E0" w14:textId="61F2959D" w:rsidR="007B1ECE" w:rsidRPr="00917498" w:rsidRDefault="00C57F5E" w:rsidP="00917498">
      <w:pPr>
        <w:ind w:right="-574"/>
        <w:jc w:val="center"/>
        <w:rPr>
          <w:rFonts w:ascii="National" w:eastAsia="National" w:hAnsi="National" w:cs="National"/>
          <w:b/>
          <w:color w:val="303AB2"/>
          <w:sz w:val="54"/>
          <w:szCs w:val="54"/>
        </w:rPr>
      </w:pPr>
      <w:r>
        <w:rPr>
          <w:rFonts w:ascii="National" w:eastAsia="National" w:hAnsi="National" w:cs="National"/>
          <w:b/>
          <w:color w:val="303AB2"/>
          <w:sz w:val="54"/>
          <w:szCs w:val="54"/>
        </w:rPr>
        <w:t>C</w:t>
      </w:r>
      <w:r w:rsidR="005D5D55" w:rsidRPr="005D5D55">
        <w:rPr>
          <w:rFonts w:ascii="National" w:eastAsia="National" w:hAnsi="National" w:cs="National"/>
          <w:b/>
          <w:color w:val="303AB2"/>
          <w:sz w:val="54"/>
          <w:szCs w:val="54"/>
        </w:rPr>
        <w:t>ambio de tendencia en la</w:t>
      </w:r>
      <w:r>
        <w:rPr>
          <w:rFonts w:ascii="National" w:eastAsia="National" w:hAnsi="National" w:cs="National"/>
          <w:b/>
          <w:color w:val="303AB2"/>
          <w:sz w:val="54"/>
          <w:szCs w:val="54"/>
        </w:rPr>
        <w:t xml:space="preserve"> demanda de</w:t>
      </w:r>
      <w:r w:rsidR="005D5D55" w:rsidRPr="005D5D55">
        <w:rPr>
          <w:rFonts w:ascii="National" w:eastAsia="National" w:hAnsi="National" w:cs="National"/>
          <w:b/>
          <w:color w:val="303AB2"/>
          <w:sz w:val="54"/>
          <w:szCs w:val="54"/>
        </w:rPr>
        <w:t xml:space="preserve"> </w:t>
      </w:r>
      <w:r w:rsidR="00D264CA">
        <w:rPr>
          <w:rFonts w:ascii="National" w:eastAsia="National" w:hAnsi="National" w:cs="National"/>
          <w:b/>
          <w:color w:val="303AB2"/>
          <w:sz w:val="54"/>
          <w:szCs w:val="54"/>
        </w:rPr>
        <w:t xml:space="preserve">vivienda como </w:t>
      </w:r>
      <w:r w:rsidR="005D5D55" w:rsidRPr="005D5D55">
        <w:rPr>
          <w:rFonts w:ascii="National" w:eastAsia="National" w:hAnsi="National" w:cs="National"/>
          <w:b/>
          <w:color w:val="303AB2"/>
          <w:sz w:val="54"/>
          <w:szCs w:val="54"/>
        </w:rPr>
        <w:t>segunda residencia: el 65% compra frente al 35% que alquila</w:t>
      </w:r>
    </w:p>
    <w:p w14:paraId="5D48196C" w14:textId="77777777" w:rsidR="00917498" w:rsidRDefault="00917498" w:rsidP="00917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9F68F3" w14:textId="17A29ABE" w:rsidR="00C57F5E" w:rsidRDefault="00C57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La demanda de compra de segunda residencia se incrementa 9 puntos respecto a hace un año. </w:t>
      </w:r>
    </w:p>
    <w:p w14:paraId="2C235B3F" w14:textId="5E4AD3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2020</w:t>
      </w:r>
      <w:r>
        <w:rPr>
          <w:rFonts w:ascii="Open Sans" w:eastAsia="Open Sans" w:hAnsi="Open Sans" w:cs="Open Sans"/>
          <w:sz w:val="22"/>
          <w:szCs w:val="22"/>
        </w:rPr>
        <w:t xml:space="preserve"> l</w:t>
      </w:r>
      <w:r>
        <w:rPr>
          <w:rFonts w:ascii="Open Sans" w:eastAsia="Open Sans" w:hAnsi="Open Sans" w:cs="Open Sans"/>
          <w:color w:val="000000"/>
          <w:sz w:val="22"/>
          <w:szCs w:val="22"/>
        </w:rPr>
        <w:t>a demanda</w:t>
      </w:r>
      <w:r>
        <w:rPr>
          <w:rFonts w:ascii="Open Sans" w:eastAsia="Open Sans" w:hAnsi="Open Sans" w:cs="Open Sans"/>
          <w:sz w:val="22"/>
          <w:szCs w:val="22"/>
        </w:rPr>
        <w:t xml:space="preserve"> de compra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segundas viviendas era del 9%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 2021 se incrementa al 11% y en 2022 crece hasta el 13% </w:t>
      </w:r>
    </w:p>
    <w:p w14:paraId="632FDFCA" w14:textId="777777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principales motivos para adquirir una segunda residencia son la inversión a largo plazo (45%) y la oportunidad de incrementar el patrimonio (39%) </w:t>
      </w:r>
    </w:p>
    <w:p w14:paraId="3EA94091" w14:textId="777777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demanda de compra de segundas viviendas se concentra en Andaluc</w:t>
      </w:r>
      <w:r>
        <w:rPr>
          <w:rFonts w:ascii="Open Sans" w:eastAsia="Open Sans" w:hAnsi="Open Sans" w:cs="Open Sans"/>
          <w:sz w:val="22"/>
          <w:szCs w:val="22"/>
        </w:rPr>
        <w:t>ía (22%), seguida de Madrid (19%) o la Comunidad Valenciana (11%)</w:t>
      </w:r>
    </w:p>
    <w:p w14:paraId="7E1EE200" w14:textId="3E8F093F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interés de vivienda de obra nueva como segunda residencia aumenta 17 puntos porcentuales en tan solo un año</w:t>
      </w:r>
    </w:p>
    <w:p w14:paraId="10627B6D" w14:textId="249DF20B" w:rsidR="00107A47" w:rsidRPr="00107A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b/>
          <w:bCs/>
          <w:sz w:val="22"/>
          <w:szCs w:val="22"/>
        </w:rPr>
      </w:pPr>
      <w:hyperlink r:id="rId9" w:history="1">
        <w:r w:rsidR="00107A47" w:rsidRPr="00107A47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 xml:space="preserve">Aquí se puede ver un vídeo </w:t>
        </w:r>
        <w:r w:rsidR="00107A47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 xml:space="preserve">con la </w:t>
        </w:r>
        <w:r w:rsidR="00107A47" w:rsidRPr="00107A47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>valoración de la directora de Estudios</w:t>
        </w:r>
      </w:hyperlink>
    </w:p>
    <w:p w14:paraId="01D1065A" w14:textId="77777777" w:rsidR="007B1ECE" w:rsidRDefault="007B1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ED50FC" w14:textId="48650099" w:rsidR="007B1ECE" w:rsidRDefault="001139DF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917498">
        <w:rPr>
          <w:rFonts w:ascii="Open Sans Light" w:eastAsia="Open Sans Light" w:hAnsi="Open Sans Light" w:cs="Open Sans Light"/>
          <w:b/>
          <w:color w:val="303AB2"/>
        </w:rPr>
        <w:t>16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</w:t>
      </w:r>
      <w:r w:rsidR="00917498">
        <w:rPr>
          <w:rFonts w:ascii="Open Sans Light" w:eastAsia="Open Sans Light" w:hAnsi="Open Sans Light" w:cs="Open Sans Light"/>
          <w:b/>
          <w:color w:val="303AB2"/>
        </w:rPr>
        <w:t xml:space="preserve">agosto </w:t>
      </w:r>
      <w:r>
        <w:rPr>
          <w:rFonts w:ascii="Open Sans Light" w:eastAsia="Open Sans Light" w:hAnsi="Open Sans Light" w:cs="Open Sans Light"/>
          <w:b/>
          <w:color w:val="303AB2"/>
        </w:rPr>
        <w:t>de 2022</w:t>
      </w:r>
    </w:p>
    <w:p w14:paraId="0D48A66C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La demanda de compra de vivienda de segunda residencia contin</w:t>
      </w:r>
      <w:r>
        <w:rPr>
          <w:rFonts w:ascii="Open Sans" w:eastAsia="Open Sans" w:hAnsi="Open Sans" w:cs="Open Sans"/>
          <w:sz w:val="22"/>
          <w:szCs w:val="22"/>
        </w:rPr>
        <w:t>úa la tendencia alcista iniciada en 2021 y se incrementa en 2 puntos porcentuales en 2022. Antes del estallido de la pandemia en 2020, la demanda por adquirir una segunda vivienda se situaba en el 9% continuando con la inclinación decreciente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venía manteniendo desde 201</w:t>
      </w:r>
      <w:r>
        <w:rPr>
          <w:rFonts w:ascii="Open Sans" w:eastAsia="Open Sans" w:hAnsi="Open Sans" w:cs="Open Sans"/>
          <w:sz w:val="22"/>
          <w:szCs w:val="22"/>
        </w:rPr>
        <w:t>8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En 2021, </w:t>
      </w:r>
      <w:r>
        <w:rPr>
          <w:rFonts w:ascii="Open Sans" w:eastAsia="Open Sans" w:hAnsi="Open Sans" w:cs="Open Sans"/>
          <w:sz w:val="22"/>
          <w:szCs w:val="22"/>
        </w:rPr>
        <w:t xml:space="preserve">se rompió ese comportamiento alcanzado un 11% de demanda de compra de segunda residencia, y tras dos años de pandemia, </w:t>
      </w:r>
      <w:r>
        <w:rPr>
          <w:rFonts w:ascii="Open Sans" w:eastAsia="Open Sans" w:hAnsi="Open Sans" w:cs="Open Sans"/>
          <w:b/>
          <w:sz w:val="22"/>
          <w:szCs w:val="22"/>
        </w:rPr>
        <w:t>la búsqueda de segundas viviendas sigue en auge y representa el 13% del total de la demanda para comprar vivienda en estos momentos y se sitúa en los niveles máximos alcanzados desde 20172017</w:t>
      </w:r>
      <w:r>
        <w:rPr>
          <w:rFonts w:ascii="Open Sans" w:eastAsia="Open Sans" w:hAnsi="Open Sans" w:cs="Open Sans"/>
          <w:sz w:val="22"/>
          <w:szCs w:val="22"/>
        </w:rPr>
        <w:t xml:space="preserve">. Se produce, por lo tanto, </w:t>
      </w:r>
      <w:r>
        <w:rPr>
          <w:rFonts w:ascii="Open Sans" w:eastAsia="Open Sans" w:hAnsi="Open Sans" w:cs="Open Sans"/>
          <w:b/>
          <w:sz w:val="22"/>
          <w:szCs w:val="22"/>
        </w:rPr>
        <w:t>un aumento de la demanda de compra del 44% desde el inicio de la pandemia</w:t>
      </w:r>
      <w:r>
        <w:rPr>
          <w:rFonts w:ascii="Open Sans" w:eastAsia="Open Sans" w:hAnsi="Open Sans" w:cs="Open Sans"/>
          <w:sz w:val="22"/>
          <w:szCs w:val="22"/>
        </w:rPr>
        <w:t xml:space="preserve"> (al pasar de representar el 9% de la demanda al 13%). Es una de las principales conclusiones que se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desprenden del análisis </w:t>
      </w:r>
      <w:r>
        <w:rPr>
          <w:rFonts w:ascii="Open Sans" w:eastAsia="Open Sans" w:hAnsi="Open Sans" w:cs="Open Sans"/>
          <w:sz w:val="22"/>
          <w:szCs w:val="22"/>
        </w:rPr>
        <w:t>a partir de los datos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“</w:t>
      </w: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Perfil del comprador de segunda residencia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elaborado por el portal inmobiliario 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a.</w:t>
      </w:r>
    </w:p>
    <w:p w14:paraId="372543AB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 xml:space="preserve">Estos demandantes de segunda residencia buscan </w:t>
      </w:r>
      <w:r>
        <w:rPr>
          <w:rFonts w:ascii="Open Sans" w:eastAsia="Open Sans" w:hAnsi="Open Sans" w:cs="Open Sans"/>
          <w:b/>
          <w:sz w:val="22"/>
          <w:szCs w:val="22"/>
        </w:rPr>
        <w:t>un 65% comprar segunda residencia y un 35% para alquilar</w:t>
      </w:r>
      <w:r>
        <w:rPr>
          <w:rFonts w:ascii="Open Sans" w:eastAsia="Open Sans" w:hAnsi="Open Sans" w:cs="Open Sans"/>
          <w:sz w:val="22"/>
          <w:szCs w:val="22"/>
        </w:rPr>
        <w:t xml:space="preserve">. Se produce por tanto un gran cambio de rumbo y la demanda de compra crece en 9 puntos en detrimento del alquiler, tal y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cómo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 sucedido con la </w:t>
      </w:r>
      <w:hyperlink r:id="rId1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demanda de primera residencia</w:t>
        </w:r>
      </w:hyperlink>
      <w:r>
        <w:rPr>
          <w:rFonts w:ascii="Open Sans" w:eastAsia="Open Sans" w:hAnsi="Open Sans" w:cs="Open Sans"/>
          <w:sz w:val="22"/>
          <w:szCs w:val="22"/>
        </w:rPr>
        <w:t>. En 2020 la tendencia de la demanda era un 40% compra vs. 60% alquiler, pero en 2021 en medio de la transformación del mercado, ya comenzó a perder peso el alquiler con un 56% frente al 44% de la compra.</w:t>
      </w:r>
    </w:p>
    <w:p w14:paraId="2BA1C712" w14:textId="22CDAD9B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“No es de extrañar que la demanda de segunda residencia siga acentu</w:t>
      </w:r>
      <w:r>
        <w:rPr>
          <w:rFonts w:ascii="Open Sans" w:eastAsia="Open Sans" w:hAnsi="Open Sans" w:cs="Open Sans"/>
          <w:sz w:val="22"/>
          <w:szCs w:val="22"/>
        </w:rPr>
        <w:t xml:space="preserve">ándose en este 2022, tras el boom por comprar vivienda de 2021. Ya notamos que las preferencias y necesidades habitacionales de los ciudadanos se habían modificado impulsadas por la búsqueda de la mejora de sus condiciones de vida a través de la compra de una vivienda. Sin embargo, se han producido fuertes variaciones territoriales como las caídas en comunidades que lideraban históricamente la </w:t>
      </w:r>
      <w:r w:rsidR="00CA2527">
        <w:rPr>
          <w:rFonts w:ascii="Open Sans" w:eastAsia="Open Sans" w:hAnsi="Open Sans" w:cs="Open Sans"/>
          <w:sz w:val="22"/>
          <w:szCs w:val="22"/>
        </w:rPr>
        <w:t>demanda -</w:t>
      </w:r>
      <w:r>
        <w:rPr>
          <w:rFonts w:ascii="Open Sans" w:eastAsia="Open Sans" w:hAnsi="Open Sans" w:cs="Open Sans"/>
          <w:sz w:val="22"/>
          <w:szCs w:val="22"/>
        </w:rPr>
        <w:t xml:space="preserve">Cataluña o Madrid- y crecen las comunidades andaluza y valenciana. </w:t>
      </w:r>
      <w:r w:rsidR="00CA2527">
        <w:rPr>
          <w:rFonts w:ascii="Open Sans" w:eastAsia="Open Sans" w:hAnsi="Open Sans" w:cs="Open Sans"/>
          <w:sz w:val="22"/>
          <w:szCs w:val="22"/>
        </w:rPr>
        <w:t>Aun</w:t>
      </w:r>
      <w:r>
        <w:rPr>
          <w:rFonts w:ascii="Open Sans" w:eastAsia="Open Sans" w:hAnsi="Open Sans" w:cs="Open Sans"/>
          <w:sz w:val="22"/>
          <w:szCs w:val="22"/>
        </w:rPr>
        <w:t xml:space="preserve"> así, a nivel del conjunto nacional hay que destacar que la reducción del porcentaje de teletrabajo no es algo que haya frenado la demanda latente, los ciudadanos siguen buscando segundas residencias y tienen los motivos muy claros: la inversión como valor refugio frente a un momento de incertidumbre económica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”, explica María Matos, directora de Estudios y Portavoz de 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780E73A0" w14:textId="77777777" w:rsidR="004C3FAF" w:rsidRDefault="004C3FAF" w:rsidP="004C3F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789C5A9" w14:textId="7E8CBBD2" w:rsidR="004C3FAF" w:rsidRPr="004C3FAF" w:rsidRDefault="00000000" w:rsidP="004C3F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center"/>
        <w:rPr>
          <w:rFonts w:ascii="Open Sans" w:eastAsia="Open Sans" w:hAnsi="Open Sans" w:cs="Open Sans"/>
          <w:b/>
          <w:bCs/>
        </w:rPr>
      </w:pPr>
      <w:hyperlink r:id="rId14" w:history="1">
        <w:r w:rsidR="004C3FAF" w:rsidRPr="004C3FAF">
          <w:rPr>
            <w:rStyle w:val="Hipervnculo"/>
            <w:rFonts w:ascii="Open Sans" w:eastAsia="Open Sans" w:hAnsi="Open Sans" w:cs="Open Sans"/>
            <w:b/>
            <w:bCs/>
          </w:rPr>
          <w:t>Valoración en vídeo de la directora de Estudios de Fotocasa, María Matos</w:t>
        </w:r>
      </w:hyperlink>
    </w:p>
    <w:p w14:paraId="7D85649B" w14:textId="32807717" w:rsidR="00107A47" w:rsidRDefault="00107A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7E4798C1" wp14:editId="6CA4F085">
            <wp:extent cx="5785321" cy="3238500"/>
            <wp:effectExtent l="0" t="0" r="6350" b="0"/>
            <wp:docPr id="1" name="Imagen 1" descr="Interfaz de usuario gráfica, Aplicación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50" cy="32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F9D1" w14:textId="77777777" w:rsidR="00150C8B" w:rsidRDefault="00150C8B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85ED01B" w14:textId="55C2A864" w:rsidR="007B1ECE" w:rsidRDefault="001139DF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En cuanto a la distribución territorial, </w:t>
      </w:r>
      <w:r w:rsidRPr="00917498">
        <w:rPr>
          <w:rFonts w:ascii="Open Sans" w:eastAsia="Open Sans" w:hAnsi="Open Sans" w:cs="Open Sans"/>
          <w:b/>
          <w:bCs/>
          <w:sz w:val="22"/>
          <w:szCs w:val="22"/>
        </w:rPr>
        <w:t xml:space="preserve">los andaluces son los que más demandan vivienda como segunda residencia ya que representan el 22% </w:t>
      </w:r>
      <w:r>
        <w:rPr>
          <w:rFonts w:ascii="Open Sans" w:eastAsia="Open Sans" w:hAnsi="Open Sans" w:cs="Open Sans"/>
          <w:sz w:val="22"/>
          <w:szCs w:val="22"/>
        </w:rPr>
        <w:t xml:space="preserve">del total, después de crecer dos puntos desde el 2021. También es relevante el ascenso de 4 puntos de la demanda de segunda vivienda en la Comunidad Valenciana que pasa del 7% en 2021 al 11% en 2022. El mayor cambio se produce </w:t>
      </w:r>
      <w:r>
        <w:rPr>
          <w:rFonts w:ascii="Open Sans" w:eastAsia="Open Sans" w:hAnsi="Open Sans" w:cs="Open Sans"/>
          <w:b/>
          <w:sz w:val="22"/>
          <w:szCs w:val="22"/>
        </w:rPr>
        <w:t>en Cataluña donde la demanda cae en 12 puntos porcentuales hasta el 6%</w:t>
      </w:r>
      <w:r>
        <w:rPr>
          <w:rFonts w:ascii="Open Sans" w:eastAsia="Open Sans" w:hAnsi="Open Sans" w:cs="Open Sans"/>
          <w:sz w:val="22"/>
          <w:szCs w:val="22"/>
        </w:rPr>
        <w:t>, presentando niveles incluso por debajo de los de 2020 (9%). Los madrileños también pierden apetito de compra de segunda residencia, ya desde el inicio de la pandemia (21% en 2020) que ha ido decreciendo paulatinamente hasta el 19% este año.</w:t>
      </w:r>
    </w:p>
    <w:p w14:paraId="6862A274" w14:textId="77777777" w:rsidR="007B1ECE" w:rsidRDefault="001139DF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2466E35A" wp14:editId="1A2CBD21">
            <wp:extent cx="5706428" cy="3191225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t="27455" r="39929" b="12468"/>
                    <a:stretch>
                      <a:fillRect/>
                    </a:stretch>
                  </pic:blipFill>
                  <pic:spPr>
                    <a:xfrm>
                      <a:off x="0" y="0"/>
                      <a:ext cx="5706428" cy="31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FF25B7" w14:textId="77777777" w:rsidR="007B1ECE" w:rsidRDefault="001139DF">
      <w:pPr>
        <w:spacing w:line="276" w:lineRule="auto"/>
        <w:ind w:right="-574"/>
        <w:rPr>
          <w:rFonts w:ascii="Open Sans" w:eastAsia="Open Sans" w:hAnsi="Open Sans" w:cs="Open Sans"/>
          <w:color w:val="000000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¿Cómo es el demandante que quiere comprar una segunda residencia?</w:t>
      </w:r>
    </w:p>
    <w:p w14:paraId="1956B4B3" w14:textId="0248461F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 principal diferencia con respecto al año anterior sobre el perfil del comprador es que </w:t>
      </w:r>
      <w:r>
        <w:rPr>
          <w:rFonts w:ascii="Open Sans" w:eastAsia="Open Sans" w:hAnsi="Open Sans" w:cs="Open Sans"/>
          <w:b/>
          <w:sz w:val="22"/>
          <w:szCs w:val="22"/>
        </w:rPr>
        <w:t>se produce un descenso de 15 puntos porcentuales en el grupo de las mujeres pasando de un 52% en 2021 al 37% en 2022</w:t>
      </w:r>
      <w:r>
        <w:rPr>
          <w:rFonts w:ascii="Open Sans" w:eastAsia="Open Sans" w:hAnsi="Open Sans" w:cs="Open Sans"/>
          <w:sz w:val="22"/>
          <w:szCs w:val="22"/>
        </w:rPr>
        <w:t>. Por lo tanto, el comprador de segunda residencia es mayoritariamente un hombre (62%). La media de edad se mantiene con tendencia de subida hasta los 41 años.</w:t>
      </w:r>
    </w:p>
    <w:p w14:paraId="7B2D10B8" w14:textId="7DF69991" w:rsidR="00107A47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Al analizar la situación socioeconómica del comprador, se evidencia un aumento en la representación de perfiles con nivel socioeconómico más bajo y se duplican quienes viven solos (del 5% en 2021 al 10% en 2022), y crece 2 puntos la tipología de quienes viven con sus padres (7%). Aunque la mayoría de </w:t>
      </w:r>
      <w:r w:rsidR="00CA2527">
        <w:rPr>
          <w:rFonts w:ascii="Open Sans" w:eastAsia="Open Sans" w:hAnsi="Open Sans" w:cs="Open Sans"/>
          <w:sz w:val="22"/>
          <w:szCs w:val="22"/>
        </w:rPr>
        <w:t>los demandantes</w:t>
      </w:r>
      <w:r>
        <w:rPr>
          <w:rFonts w:ascii="Open Sans" w:eastAsia="Open Sans" w:hAnsi="Open Sans" w:cs="Open Sans"/>
          <w:sz w:val="22"/>
          <w:szCs w:val="22"/>
        </w:rPr>
        <w:t xml:space="preserve"> de segunda residencia para comprar conviven con su pareja e hijos (51%). Por otro lado, el 91% de los demandantes tienen ya una primera residencia en propiedad. Tan sólo el 9% de los que buscan comprar vivienda para destinarla a segunda residencia vive en una vivienda alquilada que la </w:t>
      </w:r>
      <w:r>
        <w:rPr>
          <w:rFonts w:ascii="Open Sans" w:eastAsia="Open Sans" w:hAnsi="Open Sans" w:cs="Open Sans"/>
          <w:sz w:val="22"/>
          <w:szCs w:val="22"/>
        </w:rPr>
        <w:lastRenderedPageBreak/>
        <w:t xml:space="preserve">destina a primera residencia. En el caso de la localización de esa vivienda, en la mayoría de los casos (35%) buscan en una localidad diferente a donde </w:t>
      </w:r>
      <w:r w:rsidR="00CA2527">
        <w:rPr>
          <w:rFonts w:ascii="Open Sans" w:eastAsia="Open Sans" w:hAnsi="Open Sans" w:cs="Open Sans"/>
          <w:sz w:val="22"/>
          <w:szCs w:val="22"/>
        </w:rPr>
        <w:t>residen,</w:t>
      </w:r>
      <w:r>
        <w:rPr>
          <w:rFonts w:ascii="Open Sans" w:eastAsia="Open Sans" w:hAnsi="Open Sans" w:cs="Open Sans"/>
          <w:sz w:val="22"/>
          <w:szCs w:val="22"/>
        </w:rPr>
        <w:t xml:space="preserve"> pero cercana, ya que se encontraría en la misma provincia donde vive el demandante.</w:t>
      </w:r>
    </w:p>
    <w:p w14:paraId="0CCF8C16" w14:textId="3DBD15C6" w:rsidR="007B1ECE" w:rsidRDefault="001139DF">
      <w:pPr>
        <w:spacing w:line="276" w:lineRule="auto"/>
        <w:ind w:right="-574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¿Qué impulsa a los compradores de segundas residencias?</w:t>
      </w:r>
    </w:p>
    <w:p w14:paraId="113DE91C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La inversión es </w:t>
      </w:r>
      <w:r>
        <w:rPr>
          <w:rFonts w:ascii="Open Sans" w:eastAsia="Open Sans" w:hAnsi="Open Sans" w:cs="Open Sans"/>
          <w:sz w:val="22"/>
          <w:szCs w:val="22"/>
        </w:rPr>
        <w:t>el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principal motivo que lleva a este grupo a querer comprar una segunda residencia. Así, para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el 4</w:t>
      </w:r>
      <w:r>
        <w:rPr>
          <w:rFonts w:ascii="Open Sans" w:eastAsia="Open Sans" w:hAnsi="Open Sans" w:cs="Open Sans"/>
          <w:b/>
          <w:sz w:val="22"/>
          <w:szCs w:val="22"/>
        </w:rPr>
        <w:t>5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% es una inversión a largo plazo y otro 3</w:t>
      </w:r>
      <w:r>
        <w:rPr>
          <w:rFonts w:ascii="Open Sans" w:eastAsia="Open Sans" w:hAnsi="Open Sans" w:cs="Open Sans"/>
          <w:b/>
          <w:sz w:val="22"/>
          <w:szCs w:val="22"/>
        </w:rPr>
        <w:t>9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% opina que es una forma de hacer patrimonio</w:t>
      </w:r>
      <w:r>
        <w:rPr>
          <w:rFonts w:ascii="Open Sans" w:eastAsia="Open Sans" w:hAnsi="Open Sans" w:cs="Open Sans"/>
          <w:color w:val="000000"/>
          <w:sz w:val="22"/>
          <w:szCs w:val="22"/>
        </w:rPr>
        <w:t>. Además, un 2</w:t>
      </w:r>
      <w:r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% considera que es un buen </w:t>
      </w:r>
      <w:r>
        <w:rPr>
          <w:rFonts w:ascii="Open Sans" w:eastAsia="Open Sans" w:hAnsi="Open Sans" w:cs="Open Sans"/>
          <w:sz w:val="22"/>
          <w:szCs w:val="22"/>
        </w:rPr>
        <w:t>seguro para el futuro coincidiendo con el momento de inflación y subida de tipos de interés en el mercado de la vivienda.</w:t>
      </w:r>
    </w:p>
    <w:p w14:paraId="0F2484BB" w14:textId="774E446E" w:rsidR="007B1ECE" w:rsidRDefault="001139D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Sin embargo, a la hora de comprar, para los demandantes de segunda residencia, lo más importante sigue siendo que el precio de la vivienda encaje en su presupuesto (58%). Que tenga aspectos como terraza y una buena orientación (40%) son los requisitos más demandados, además de la búsqueda de vivienda de nueva construcción (37%). Sin embargo, las características que adquieren especial relevancia con respecto al año anterior son: </w:t>
      </w:r>
      <w:r>
        <w:rPr>
          <w:rFonts w:ascii="Open Sans" w:eastAsia="Open Sans" w:hAnsi="Open Sans" w:cs="Open Sans"/>
          <w:b/>
          <w:sz w:val="22"/>
          <w:szCs w:val="22"/>
        </w:rPr>
        <w:t>la demanda vivienda de obra nueva como segunda residencia que aumenta 17 puntos porcentuales</w:t>
      </w:r>
      <w:r>
        <w:rPr>
          <w:rFonts w:ascii="Open Sans" w:eastAsia="Open Sans" w:hAnsi="Open Sans" w:cs="Open Sans"/>
          <w:sz w:val="22"/>
          <w:szCs w:val="22"/>
        </w:rPr>
        <w:t xml:space="preserve">, el hecho de que tenga elementos como piscina y jardín en zonas comunes crece en 13 puntos y un buen acceso por carretera ha aumentado 11 puntos desde hace un año. </w:t>
      </w:r>
    </w:p>
    <w:p w14:paraId="10A42F6B" w14:textId="77777777" w:rsidR="00CA2527" w:rsidRDefault="00CA252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704BE32" w14:textId="77777777" w:rsidR="007B1ECE" w:rsidRDefault="001139DF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41604EC4" wp14:editId="26BA7C63">
            <wp:extent cx="5525453" cy="204781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t="26450" r="19647" b="20522"/>
                    <a:stretch>
                      <a:fillRect/>
                    </a:stretch>
                  </pic:blipFill>
                  <pic:spPr>
                    <a:xfrm>
                      <a:off x="0" y="0"/>
                      <a:ext cx="5525453" cy="2047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4FE43" w14:textId="77777777" w:rsidR="00CA2527" w:rsidRDefault="00CA25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387AE0D3" w14:textId="75727EBD" w:rsidR="007B1ECE" w:rsidRDefault="001139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¿Cuáles son los frenos que se encuentran a la hora de comprar?</w:t>
      </w:r>
    </w:p>
    <w:p w14:paraId="5D0FD412" w14:textId="77777777" w:rsidR="007B1ECE" w:rsidRDefault="007B1ECE">
      <w:pPr>
        <w:spacing w:line="276" w:lineRule="auto"/>
        <w:ind w:right="-574"/>
        <w:rPr>
          <w:rFonts w:ascii="Open Sans" w:eastAsia="Open Sans" w:hAnsi="Open Sans" w:cs="Open Sans"/>
          <w:sz w:val="22"/>
          <w:szCs w:val="22"/>
        </w:rPr>
      </w:pPr>
    </w:p>
    <w:p w14:paraId="43479313" w14:textId="77777777" w:rsidR="007B1ECE" w:rsidRDefault="001139D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este aspecto, los motivos responsables de que los compradores no lleguen a finalizar la compra de segunda residencia continúan siendo, además del precio (68%) muy especialmente que </w:t>
      </w:r>
      <w:r>
        <w:rPr>
          <w:rFonts w:ascii="Open Sans" w:eastAsia="Open Sans" w:hAnsi="Open Sans" w:cs="Open Sans"/>
          <w:b/>
          <w:sz w:val="22"/>
          <w:szCs w:val="22"/>
        </w:rPr>
        <w:t>la vivienda no cumple con las preferencias o expectativas del comprador (49%) debido a la antigüedad del inmueble (32%)</w:t>
      </w:r>
      <w:r>
        <w:rPr>
          <w:rFonts w:ascii="Open Sans" w:eastAsia="Open Sans" w:hAnsi="Open Sans" w:cs="Open Sans"/>
          <w:sz w:val="22"/>
          <w:szCs w:val="22"/>
        </w:rPr>
        <w:t>. Se detecta también un aumento considerable del desajuste entre las necesidades del comprador y la oferta (27%).</w:t>
      </w:r>
    </w:p>
    <w:p w14:paraId="2BE22642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lastRenderedPageBreak/>
        <w:drawing>
          <wp:inline distT="114300" distB="114300" distL="114300" distR="114300" wp14:anchorId="5B42AADE" wp14:editId="27A1FCBD">
            <wp:extent cx="5876925" cy="3264599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l="3977" t="9087" r="397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26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A14D9E" w14:textId="786E5D4A" w:rsidR="00107A47" w:rsidRDefault="00107A47" w:rsidP="00150C8B">
      <w:pPr>
        <w:spacing w:line="276" w:lineRule="auto"/>
        <w:ind w:right="-716"/>
        <w:jc w:val="center"/>
        <w:rPr>
          <w:rFonts w:ascii="Open Sans Light" w:eastAsia="Open Sans Light" w:hAnsi="Open Sans Light" w:cs="Open Sans Light"/>
          <w:b/>
          <w:color w:val="303AB2"/>
        </w:rPr>
      </w:pPr>
    </w:p>
    <w:p w14:paraId="3CFDC569" w14:textId="6E8B2BC7" w:rsidR="00150C8B" w:rsidRDefault="00150C8B" w:rsidP="00150C8B">
      <w:pPr>
        <w:spacing w:line="276" w:lineRule="auto"/>
        <w:ind w:right="-716"/>
        <w:jc w:val="center"/>
        <w:rPr>
          <w:rFonts w:ascii="Open Sans Light" w:eastAsia="Open Sans Light" w:hAnsi="Open Sans Light" w:cs="Open Sans Light"/>
          <w:b/>
          <w:color w:val="303AB2"/>
        </w:rPr>
      </w:pPr>
    </w:p>
    <w:p w14:paraId="6C1B5AF1" w14:textId="77777777" w:rsidR="00150C8B" w:rsidRDefault="00150C8B" w:rsidP="00150C8B">
      <w:pPr>
        <w:spacing w:line="276" w:lineRule="auto"/>
        <w:ind w:right="-716"/>
        <w:jc w:val="center"/>
        <w:rPr>
          <w:rFonts w:ascii="Open Sans Light" w:eastAsia="Open Sans Light" w:hAnsi="Open Sans Light" w:cs="Open Sans Light"/>
          <w:b/>
          <w:color w:val="303AB2"/>
        </w:rPr>
      </w:pPr>
    </w:p>
    <w:p w14:paraId="1DE26A1A" w14:textId="54AB4C77" w:rsidR="007B1ECE" w:rsidRDefault="001139DF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120D1CCC" w14:textId="77777777" w:rsidR="007B1ECE" w:rsidRDefault="001139DF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p w14:paraId="1C167E2D" w14:textId="77777777" w:rsidR="007B1ECE" w:rsidRDefault="001139DF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bookmarkStart w:id="0" w:name="_heading=h.30j0zll" w:colFirst="0" w:colLast="0"/>
    <w:bookmarkEnd w:id="0"/>
    <w:p w14:paraId="25F34370" w14:textId="77777777" w:rsidR="007B1ECE" w:rsidRDefault="001139DF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” del sector a nivel mundial. </w:t>
      </w:r>
    </w:p>
    <w:p w14:paraId="006EF748" w14:textId="77777777" w:rsidR="007B1ECE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hyperlink r:id="rId21">
        <w:r w:rsidR="001139DF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1139DF"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3C114598" w14:textId="77777777" w:rsidR="007B1ECE" w:rsidRDefault="001139DF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7DA7BA26" w14:textId="77777777" w:rsidR="007B1ECE" w:rsidRDefault="001139DF">
      <w:pPr>
        <w:spacing w:before="143" w:after="20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269D389F" w14:textId="77777777" w:rsidR="007B1ECE" w:rsidRDefault="001139DF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7891E621" w14:textId="77777777" w:rsidR="007B1ECE" w:rsidRDefault="001139DF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3.000 millones de visitas cada mes. </w:t>
      </w:r>
    </w:p>
    <w:p w14:paraId="10366CF0" w14:textId="77777777" w:rsidR="007B1ECE" w:rsidRDefault="001139DF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2FDEADD" w14:textId="77777777" w:rsidR="007B1ECE" w:rsidRDefault="007B1ECE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3227D230" w14:textId="1F37E3A2" w:rsidR="007B1ECE" w:rsidRDefault="001139DF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</w:r>
      <w:r w:rsidR="00CA2527">
        <w:rPr>
          <w:rFonts w:ascii="Open Sans Light" w:eastAsia="Open Sans Light" w:hAnsi="Open Sans Light" w:cs="Open Sans Light"/>
          <w:b/>
          <w:color w:val="303AB2"/>
        </w:rPr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Departamento Comunicación Fotocasa</w:t>
      </w:r>
    </w:p>
    <w:p w14:paraId="3CB7543A" w14:textId="292B7ED1" w:rsidR="007B1ECE" w:rsidRDefault="001139DF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Ramon Torné</w:t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  <w:t xml:space="preserve">                    Anaïs López </w:t>
      </w:r>
    </w:p>
    <w:p w14:paraId="60271846" w14:textId="5AF24723" w:rsidR="007B1ECE" w:rsidRDefault="00000000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hyperlink r:id="rId28">
        <w:r w:rsidR="001139DF"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rtorne@llorenteycuenca.com</w:t>
        </w:r>
      </w:hyperlink>
      <w:r w:rsidR="001139DF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1139DF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1139DF">
        <w:rPr>
          <w:rFonts w:ascii="Open Sans" w:eastAsia="Open Sans" w:hAnsi="Open Sans" w:cs="Open Sans"/>
          <w:color w:val="0000FF"/>
          <w:sz w:val="21"/>
          <w:szCs w:val="21"/>
        </w:rPr>
        <w:tab/>
        <w:t xml:space="preserve">                               </w:t>
      </w:r>
      <w:r w:rsidR="00CA2527">
        <w:rPr>
          <w:rFonts w:ascii="Open Sans" w:eastAsia="Open Sans" w:hAnsi="Open Sans" w:cs="Open Sans"/>
          <w:color w:val="0000FF"/>
          <w:sz w:val="21"/>
          <w:szCs w:val="21"/>
        </w:rPr>
        <w:t xml:space="preserve">  </w:t>
      </w:r>
      <w:r w:rsidR="001139DF">
        <w:rPr>
          <w:rFonts w:ascii="Open Sans" w:eastAsia="Open Sans" w:hAnsi="Open Sans" w:cs="Open Sans"/>
          <w:color w:val="0000FF"/>
          <w:sz w:val="21"/>
          <w:szCs w:val="21"/>
        </w:rPr>
        <w:t xml:space="preserve"> </w:t>
      </w:r>
      <w:r w:rsidR="00107A47">
        <w:rPr>
          <w:rFonts w:ascii="Open Sans" w:eastAsia="Open Sans" w:hAnsi="Open Sans" w:cs="Open Sans"/>
          <w:color w:val="0000FF"/>
          <w:sz w:val="21"/>
          <w:szCs w:val="21"/>
        </w:rPr>
        <w:t xml:space="preserve"> </w:t>
      </w:r>
      <w:hyperlink r:id="rId29" w:history="1">
        <w:r w:rsidR="00107A47" w:rsidRPr="00B469FC">
          <w:rPr>
            <w:rStyle w:val="Hipervnculo"/>
            <w:rFonts w:ascii="Open Sans" w:eastAsia="Open Sans" w:hAnsi="Open Sans" w:cs="Open Sans"/>
            <w:sz w:val="21"/>
            <w:szCs w:val="21"/>
          </w:rPr>
          <w:t>comunicacion@fotocasa.es</w:t>
        </w:r>
      </w:hyperlink>
    </w:p>
    <w:p w14:paraId="56DB2226" w14:textId="77777777" w:rsidR="007B1ECE" w:rsidRDefault="001139DF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638 68 19 85      </w:t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  <w:t xml:space="preserve">         620 66 29 26</w:t>
      </w:r>
    </w:p>
    <w:p w14:paraId="2FB9FB26" w14:textId="77777777" w:rsidR="007B1ECE" w:rsidRDefault="001139DF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          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</w:t>
      </w:r>
    </w:p>
    <w:p w14:paraId="0CE4B780" w14:textId="77777777" w:rsidR="007B1ECE" w:rsidRDefault="001139DF">
      <w:pPr>
        <w:shd w:val="clear" w:color="auto" w:fill="FFFFFF"/>
        <w:ind w:right="-433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Fanny Merino</w:t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  <w:t xml:space="preserve">                                                </w:t>
      </w:r>
    </w:p>
    <w:p w14:paraId="3D60630C" w14:textId="77777777" w:rsidR="007B1ECE" w:rsidRDefault="00000000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</w:rPr>
      </w:pPr>
      <w:hyperlink r:id="rId30">
        <w:r w:rsidR="001139DF">
          <w:rPr>
            <w:rFonts w:ascii="Open Sans" w:eastAsia="Open Sans" w:hAnsi="Open Sans" w:cs="Open Sans"/>
            <w:color w:val="0000FF"/>
            <w:sz w:val="21"/>
            <w:szCs w:val="21"/>
          </w:rPr>
          <w:t>emerino@llorenteycuenca.com</w:t>
        </w:r>
      </w:hyperlink>
      <w:r w:rsidR="001139DF">
        <w:rPr>
          <w:rFonts w:ascii="Open Sans" w:eastAsia="Open Sans" w:hAnsi="Open Sans" w:cs="Open Sans"/>
          <w:color w:val="0000FF"/>
          <w:sz w:val="21"/>
          <w:szCs w:val="21"/>
        </w:rPr>
        <w:t xml:space="preserve"> </w:t>
      </w:r>
    </w:p>
    <w:p w14:paraId="35C48A05" w14:textId="77777777" w:rsidR="007B1ECE" w:rsidRDefault="001139DF">
      <w:p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663 35 69 75 </w:t>
      </w:r>
    </w:p>
    <w:p w14:paraId="4FEFA04E" w14:textId="77777777" w:rsidR="007B1ECE" w:rsidRDefault="007B1ECE">
      <w:p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</w:p>
    <w:p w14:paraId="36E5BCE8" w14:textId="77777777" w:rsidR="007B1ECE" w:rsidRDefault="001139DF">
      <w:pPr>
        <w:shd w:val="clear" w:color="auto" w:fill="FFFFFF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Paula Iglesias</w:t>
      </w:r>
    </w:p>
    <w:p w14:paraId="268CF1B1" w14:textId="77777777" w:rsidR="007B1ECE" w:rsidRDefault="00000000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</w:rPr>
      </w:pPr>
      <w:hyperlink r:id="rId31">
        <w:r w:rsidR="001139DF"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piglesias@llorenteycuenca.com</w:t>
        </w:r>
      </w:hyperlink>
    </w:p>
    <w:p w14:paraId="0820CBE0" w14:textId="77777777" w:rsidR="007B1ECE" w:rsidRDefault="001139DF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662 450 236</w:t>
      </w:r>
    </w:p>
    <w:sectPr w:rsidR="007B1ECE">
      <w:footerReference w:type="default" r:id="rId3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20D6" w14:textId="77777777" w:rsidR="00863475" w:rsidRDefault="00863475">
      <w:r>
        <w:separator/>
      </w:r>
    </w:p>
  </w:endnote>
  <w:endnote w:type="continuationSeparator" w:id="0">
    <w:p w14:paraId="5776F8C6" w14:textId="77777777" w:rsidR="00863475" w:rsidRDefault="008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48F1" w14:textId="77777777" w:rsidR="007B1ECE" w:rsidRDefault="00113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9C4F872" wp14:editId="747C25E5">
          <wp:simplePos x="0" y="0"/>
          <wp:positionH relativeFrom="column">
            <wp:posOffset>-1068068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F7E7" w14:textId="77777777" w:rsidR="00863475" w:rsidRDefault="00863475">
      <w:r>
        <w:separator/>
      </w:r>
    </w:p>
  </w:footnote>
  <w:footnote w:type="continuationSeparator" w:id="0">
    <w:p w14:paraId="6FDED0E1" w14:textId="77777777" w:rsidR="00863475" w:rsidRDefault="0086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5417"/>
    <w:multiLevelType w:val="multilevel"/>
    <w:tmpl w:val="89B2DB6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127640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CE"/>
    <w:rsid w:val="000830B5"/>
    <w:rsid w:val="00107A47"/>
    <w:rsid w:val="001139DF"/>
    <w:rsid w:val="00150C8B"/>
    <w:rsid w:val="004C3FAF"/>
    <w:rsid w:val="005D5D55"/>
    <w:rsid w:val="00773EAA"/>
    <w:rsid w:val="007B1ECE"/>
    <w:rsid w:val="00863475"/>
    <w:rsid w:val="00917498"/>
    <w:rsid w:val="00C57F5E"/>
    <w:rsid w:val="00CA00C5"/>
    <w:rsid w:val="00CA2527"/>
    <w:rsid w:val="00D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944"/>
  <w15:docId w15:val="{8890D8F3-47A6-4B73-BEFC-F60A60D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2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F2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casa.e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ocasa.es/es/quienes-somo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ensa.fotocasa.es/crece-el-desequilibrio-entre-la-oferta-y-la-demanda-en-compraventa-un-77-quiere-comprar-frente-al-16-que-vende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coches.ne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prensa.fotocasa.es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s://www.infojobs.net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habitaclia.com/" TargetMode="External"/><Relationship Id="rId28" Type="http://schemas.openxmlformats.org/officeDocument/2006/relationships/hyperlink" Target="mailto:rtorne@llorenteycuenca.com" TargetMode="External"/><Relationship Id="rId10" Type="http://schemas.openxmlformats.org/officeDocument/2006/relationships/hyperlink" Target="https://research.fotocasa.es/" TargetMode="External"/><Relationship Id="rId19" Type="http://schemas.openxmlformats.org/officeDocument/2006/relationships/hyperlink" Target="https://www.fotocasa.es/indice/" TargetMode="External"/><Relationship Id="rId31" Type="http://schemas.openxmlformats.org/officeDocument/2006/relationships/hyperlink" Target="mailto:piglesias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LxU9Qndf_I" TargetMode="External"/><Relationship Id="rId14" Type="http://schemas.openxmlformats.org/officeDocument/2006/relationships/hyperlink" Target="https://youtu.be/JLxU9Qndf_I" TargetMode="External"/><Relationship Id="rId22" Type="http://schemas.openxmlformats.org/officeDocument/2006/relationships/hyperlink" Target="https://www.fotocasa.es/es/" TargetMode="External"/><Relationship Id="rId27" Type="http://schemas.openxmlformats.org/officeDocument/2006/relationships/hyperlink" Target="http://adevinta.es" TargetMode="External"/><Relationship Id="rId30" Type="http://schemas.openxmlformats.org/officeDocument/2006/relationships/hyperlink" Target="mailto:emerino@llorenteycuenca.com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WVfK6xjsbGreR1F/l6qsiffcw==">AMUW2mUNu6x9yAr2BSqbkN42j+TBt30mCJ+9Mted6UXqBQIGA7v7S2JJ5M9qzd83CaT2Nrm3+NPunMk3pE0o37phj8gcXggbG6WDUFR7fUhMD47W1onnCx9ncDeewkqeC5W4siTZxDNg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8</cp:revision>
  <cp:lastPrinted>2022-07-19T10:01:00Z</cp:lastPrinted>
  <dcterms:created xsi:type="dcterms:W3CDTF">2020-03-04T13:12:00Z</dcterms:created>
  <dcterms:modified xsi:type="dcterms:W3CDTF">2022-08-01T06:56:00Z</dcterms:modified>
</cp:coreProperties>
</file>