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4249" w14:textId="77777777" w:rsidR="000F7AE4"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1F43BFEB" wp14:editId="052664A1">
            <wp:simplePos x="0" y="0"/>
            <wp:positionH relativeFrom="column">
              <wp:posOffset>-1056053</wp:posOffset>
            </wp:positionH>
            <wp:positionV relativeFrom="paragraph">
              <wp:posOffset>-346322</wp:posOffset>
            </wp:positionV>
            <wp:extent cx="7711147" cy="1037167"/>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44E9A231" w14:textId="77777777" w:rsidR="000F7AE4" w:rsidRDefault="000F7AE4">
      <w:pPr>
        <w:spacing w:line="240" w:lineRule="auto"/>
        <w:jc w:val="right"/>
        <w:rPr>
          <w:rFonts w:ascii="National" w:eastAsia="National" w:hAnsi="National" w:cs="National"/>
          <w:color w:val="303AB2"/>
          <w:sz w:val="36"/>
          <w:szCs w:val="36"/>
        </w:rPr>
      </w:pPr>
    </w:p>
    <w:p w14:paraId="52000A11" w14:textId="77777777" w:rsidR="000F7AE4" w:rsidRPr="00243003" w:rsidRDefault="00000000">
      <w:pPr>
        <w:ind w:left="284" w:right="-43"/>
        <w:jc w:val="center"/>
        <w:rPr>
          <w:rFonts w:ascii="National" w:eastAsia="National" w:hAnsi="National" w:cs="National"/>
          <w:b/>
          <w:color w:val="303AB2"/>
          <w:sz w:val="56"/>
          <w:szCs w:val="56"/>
        </w:rPr>
      </w:pPr>
      <w:r w:rsidRPr="00243003">
        <w:rPr>
          <w:rFonts w:ascii="National" w:eastAsia="National" w:hAnsi="National" w:cs="National"/>
          <w:b/>
          <w:color w:val="303AB2"/>
          <w:sz w:val="56"/>
          <w:szCs w:val="56"/>
        </w:rPr>
        <w:t>“La firma de hipotecas fijas comienza a descender por el cambio en la subida de tipos”</w:t>
      </w:r>
    </w:p>
    <w:p w14:paraId="668F06F7" w14:textId="77777777" w:rsidR="000F7AE4" w:rsidRDefault="000F7AE4">
      <w:pPr>
        <w:ind w:right="-574"/>
        <w:jc w:val="both"/>
        <w:rPr>
          <w:rFonts w:ascii="National" w:eastAsia="National" w:hAnsi="National" w:cs="National"/>
          <w:b/>
          <w:color w:val="303AB2"/>
          <w:sz w:val="44"/>
          <w:szCs w:val="44"/>
        </w:rPr>
      </w:pPr>
    </w:p>
    <w:p w14:paraId="180B14F0" w14:textId="77777777" w:rsidR="000F7AE4" w:rsidRDefault="000F7AE4">
      <w:pPr>
        <w:ind w:right="-574"/>
        <w:jc w:val="both"/>
        <w:rPr>
          <w:rFonts w:ascii="Open Sans" w:eastAsia="Open Sans" w:hAnsi="Open Sans" w:cs="Open Sans"/>
        </w:rPr>
      </w:pPr>
    </w:p>
    <w:p w14:paraId="7C2F018B" w14:textId="77777777" w:rsidR="000F7AE4" w:rsidRDefault="00000000">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Madrid, 26 de octubre de 2022</w:t>
      </w:r>
    </w:p>
    <w:p w14:paraId="325B20D7" w14:textId="77777777" w:rsidR="000F7AE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Los datos de Hipotecas correspondientes al pasado mes de agosto dados a conocer hoy por el INE, reflejan un aumento mensual del </w:t>
      </w:r>
      <w:r>
        <w:rPr>
          <w:rFonts w:ascii="Open Sans" w:eastAsia="Open Sans" w:hAnsi="Open Sans" w:cs="Open Sans"/>
          <w:b/>
          <w:sz w:val="21"/>
          <w:szCs w:val="21"/>
        </w:rPr>
        <w:t>2,2%</w:t>
      </w:r>
      <w:r>
        <w:rPr>
          <w:rFonts w:ascii="Open Sans" w:eastAsia="Open Sans" w:hAnsi="Open Sans" w:cs="Open Sans"/>
          <w:sz w:val="21"/>
          <w:szCs w:val="21"/>
        </w:rPr>
        <w:t xml:space="preserve">, y una subida interanual del </w:t>
      </w:r>
      <w:r>
        <w:rPr>
          <w:rFonts w:ascii="Open Sans" w:eastAsia="Open Sans" w:hAnsi="Open Sans" w:cs="Open Sans"/>
          <w:b/>
          <w:sz w:val="21"/>
          <w:szCs w:val="21"/>
        </w:rPr>
        <w:t>10,5%</w:t>
      </w:r>
      <w:r>
        <w:rPr>
          <w:rFonts w:ascii="Open Sans" w:eastAsia="Open Sans" w:hAnsi="Open Sans" w:cs="Open Sans"/>
          <w:sz w:val="21"/>
          <w:szCs w:val="21"/>
        </w:rPr>
        <w:t xml:space="preserve">, encadenando dieciocho meses de incrementos interanuales consecutivos superando las 30.000 hipotecas firmadas. </w:t>
      </w:r>
    </w:p>
    <w:p w14:paraId="6D07AEF2" w14:textId="77777777" w:rsidR="000F7AE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El pasado mes de agosto se firmaron 36.721 hipotecas, es el mejor agosto desde hace 12 años. Sin embargo, no es una cifra tan alta como vimos en los meses de mayo o junio. “Aún así, este dato indica que las entidades bancarias han realizado un esfuerzo durante la temporada estival -ya que históricamente siempre es un mes en el que las vacaciones retrasan las firmas- y </w:t>
      </w:r>
      <w:r>
        <w:rPr>
          <w:rFonts w:ascii="Open Sans" w:eastAsia="Open Sans" w:hAnsi="Open Sans" w:cs="Open Sans"/>
          <w:b/>
          <w:sz w:val="21"/>
          <w:szCs w:val="21"/>
        </w:rPr>
        <w:t>han cerrado las operaciones a tiempo debido a la premura con la que el Euríbor se ha ido elevando este año</w:t>
      </w:r>
      <w:r>
        <w:rPr>
          <w:rFonts w:ascii="Open Sans" w:eastAsia="Open Sans" w:hAnsi="Open Sans" w:cs="Open Sans"/>
          <w:sz w:val="21"/>
          <w:szCs w:val="21"/>
        </w:rPr>
        <w:t xml:space="preserve">”, explica María Matos, directora de Estudios de </w:t>
      </w:r>
      <w:hyperlink r:id="rId8">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w:t>
      </w:r>
    </w:p>
    <w:p w14:paraId="5ACF67C2" w14:textId="77777777" w:rsidR="000F7AE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Agosto es el primer mes tras la primera subida de tipos de interés ejecutada por el BCE en el mes de julio. “Sin embargo,</w:t>
      </w:r>
      <w:r>
        <w:rPr>
          <w:rFonts w:ascii="Open Sans" w:eastAsia="Open Sans" w:hAnsi="Open Sans" w:cs="Open Sans"/>
          <w:b/>
          <w:sz w:val="21"/>
          <w:szCs w:val="21"/>
        </w:rPr>
        <w:t xml:space="preserve"> en vez de una ralentización, se detecta una dinamización  por parte de los ciudadanos de cerrar las operaciones. </w:t>
      </w:r>
      <w:r>
        <w:rPr>
          <w:rFonts w:ascii="Open Sans" w:eastAsia="Open Sans" w:hAnsi="Open Sans" w:cs="Open Sans"/>
          <w:sz w:val="21"/>
          <w:szCs w:val="21"/>
        </w:rPr>
        <w:t>De hecho, los elevados datos de los últimos meses seguramente muestran la prisa de los ciudadanos por cerrar sus créditos hipotecarios para intentar sortear el endurecimiento de los requisitos bancarios. Hay que tener en cuenta que las operaciones cerradas en agosto se inician con al menos un mes de antelación, por lo que todavía es pronto para ver un descenso en las concesiones de hipotecas”, comenta la portavoz.</w:t>
      </w:r>
    </w:p>
    <w:p w14:paraId="61CC6267" w14:textId="77777777" w:rsidR="000F7AE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 xml:space="preserve">“Donde sí vemos un cambio de ciclo muy claro es en que </w:t>
      </w:r>
      <w:r>
        <w:rPr>
          <w:rFonts w:ascii="Open Sans" w:eastAsia="Open Sans" w:hAnsi="Open Sans" w:cs="Open Sans"/>
          <w:b/>
          <w:sz w:val="21"/>
          <w:szCs w:val="21"/>
        </w:rPr>
        <w:t>el 69%</w:t>
      </w:r>
      <w:r>
        <w:rPr>
          <w:rFonts w:ascii="Open Sans" w:eastAsia="Open Sans" w:hAnsi="Open Sans" w:cs="Open Sans"/>
          <w:sz w:val="21"/>
          <w:szCs w:val="21"/>
        </w:rPr>
        <w:t xml:space="preserve"> </w:t>
      </w:r>
      <w:r>
        <w:rPr>
          <w:rFonts w:ascii="Open Sans" w:eastAsia="Open Sans" w:hAnsi="Open Sans" w:cs="Open Sans"/>
          <w:b/>
          <w:sz w:val="21"/>
          <w:szCs w:val="21"/>
        </w:rPr>
        <w:t>de las hipotecas sobre vivienda se constituyeron a tipo fijo. Desde abril que alcanzó el 75%, esta cifra ha ido descendiendo paulatinamente debido al cambio en las condiciones bancarias</w:t>
      </w:r>
      <w:r>
        <w:rPr>
          <w:rFonts w:ascii="Open Sans" w:eastAsia="Open Sans" w:hAnsi="Open Sans" w:cs="Open Sans"/>
          <w:sz w:val="21"/>
          <w:szCs w:val="21"/>
        </w:rPr>
        <w:t xml:space="preserve">. En un escenario en que el Euríbor aumenta diariamente no es de extrañar que la mayoría de las hipotecas se firmen a tipo fijo. Muchas familias prefieren cerrar una hipoteca a tipo fijo que enfrentarse a un posible encarecimiento de la cuota en un futuro. Sin embargo, parece que la estrategia de las entidades financieras de abaratar las hipotecas variables y endurecer las fijas, ya está teniendo resultados. </w:t>
      </w:r>
      <w:r>
        <w:rPr>
          <w:rFonts w:ascii="Open Sans" w:eastAsia="Open Sans" w:hAnsi="Open Sans" w:cs="Open Sans"/>
          <w:b/>
          <w:sz w:val="21"/>
          <w:szCs w:val="21"/>
        </w:rPr>
        <w:t>Los de estos meses serán prácticamente los últimos créditos que se firmen a tipo fijo y se espera que haya un cambio en la tendencia todavía más acusado</w:t>
      </w:r>
      <w:r>
        <w:rPr>
          <w:rFonts w:ascii="Open Sans" w:eastAsia="Open Sans" w:hAnsi="Open Sans" w:cs="Open Sans"/>
          <w:sz w:val="21"/>
          <w:szCs w:val="21"/>
        </w:rPr>
        <w:t>”, asegura la directora de Estudios.</w:t>
      </w:r>
    </w:p>
    <w:p w14:paraId="78E7FCF4" w14:textId="77777777" w:rsidR="000F7AE4"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w:t>
      </w:r>
      <w:r>
        <w:rPr>
          <w:rFonts w:ascii="Open Sans" w:eastAsia="Open Sans" w:hAnsi="Open Sans" w:cs="Open Sans"/>
          <w:b/>
          <w:sz w:val="21"/>
          <w:szCs w:val="21"/>
        </w:rPr>
        <w:t>Los primeros meses del 2022 están superando los datos históricos recogidos en 2021 en un 12% más, y éste será uno de los mejores años hipotecarios desde hace más de 10 años.</w:t>
      </w:r>
      <w:r>
        <w:rPr>
          <w:rFonts w:ascii="Open Sans" w:eastAsia="Open Sans" w:hAnsi="Open Sans" w:cs="Open Sans"/>
          <w:sz w:val="21"/>
          <w:szCs w:val="21"/>
        </w:rPr>
        <w:t xml:space="preserve"> </w:t>
      </w:r>
      <w:r>
        <w:rPr>
          <w:rFonts w:ascii="Open Sans" w:eastAsia="Open Sans" w:hAnsi="Open Sans" w:cs="Open Sans"/>
          <w:b/>
          <w:sz w:val="21"/>
          <w:szCs w:val="21"/>
        </w:rPr>
        <w:t>España ya supera las 300.000 hipotecas firmadas en los primeros 8 meses del año</w:t>
      </w:r>
      <w:r>
        <w:rPr>
          <w:rFonts w:ascii="Open Sans" w:eastAsia="Open Sans" w:hAnsi="Open Sans" w:cs="Open Sans"/>
          <w:sz w:val="21"/>
          <w:szCs w:val="21"/>
        </w:rPr>
        <w:t xml:space="preserve">. No obstante, la reciente subida de tipos de interés hará que muchos ciudadanos paralicen su deseo de comprar vivienda, por el encarecimiento de las hipotecas, lo que moderará la compraventa de viviendas hacia finales de año”, concluye la directora de Estudios. </w:t>
      </w:r>
    </w:p>
    <w:p w14:paraId="76E02049" w14:textId="77777777" w:rsidR="000F7AE4" w:rsidRDefault="000F7AE4">
      <w:pPr>
        <w:shd w:val="clear" w:color="auto" w:fill="FFFFFF"/>
        <w:spacing w:before="280" w:after="280"/>
        <w:ind w:right="-7"/>
        <w:jc w:val="both"/>
        <w:rPr>
          <w:rFonts w:ascii="Open Sans" w:eastAsia="Open Sans" w:hAnsi="Open Sans" w:cs="Open Sans"/>
          <w:sz w:val="21"/>
          <w:szCs w:val="21"/>
        </w:rPr>
      </w:pPr>
    </w:p>
    <w:p w14:paraId="0F439645" w14:textId="77777777" w:rsidR="000F7AE4"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2EE89163" w14:textId="77777777" w:rsidR="000F7AE4"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2B1E3EE9" w14:textId="15EA2078" w:rsidR="000F7AE4"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 xml:space="preserve">Móvil: </w:t>
      </w:r>
      <w:r w:rsidR="00E735F4">
        <w:rPr>
          <w:rFonts w:ascii="Open Sans" w:eastAsia="Open Sans" w:hAnsi="Open Sans" w:cs="Open Sans"/>
          <w:sz w:val="21"/>
          <w:szCs w:val="21"/>
        </w:rPr>
        <w:t>620</w:t>
      </w:r>
      <w:r w:rsidR="007C52FA">
        <w:rPr>
          <w:rFonts w:ascii="Open Sans" w:eastAsia="Open Sans" w:hAnsi="Open Sans" w:cs="Open Sans"/>
          <w:sz w:val="21"/>
          <w:szCs w:val="21"/>
        </w:rPr>
        <w:t xml:space="preserve"> </w:t>
      </w:r>
      <w:r w:rsidR="00E735F4">
        <w:rPr>
          <w:rFonts w:ascii="Open Sans" w:eastAsia="Open Sans" w:hAnsi="Open Sans" w:cs="Open Sans"/>
          <w:sz w:val="21"/>
          <w:szCs w:val="21"/>
        </w:rPr>
        <w:t>66</w:t>
      </w:r>
      <w:r w:rsidR="007C52FA">
        <w:rPr>
          <w:rFonts w:ascii="Open Sans" w:eastAsia="Open Sans" w:hAnsi="Open Sans" w:cs="Open Sans"/>
          <w:sz w:val="21"/>
          <w:szCs w:val="21"/>
        </w:rPr>
        <w:t xml:space="preserve"> </w:t>
      </w:r>
      <w:r w:rsidR="00E735F4">
        <w:rPr>
          <w:rFonts w:ascii="Open Sans" w:eastAsia="Open Sans" w:hAnsi="Open Sans" w:cs="Open Sans"/>
          <w:sz w:val="21"/>
          <w:szCs w:val="21"/>
        </w:rPr>
        <w:t>29</w:t>
      </w:r>
      <w:r w:rsidR="007C52FA">
        <w:rPr>
          <w:rFonts w:ascii="Open Sans" w:eastAsia="Open Sans" w:hAnsi="Open Sans" w:cs="Open Sans"/>
          <w:sz w:val="21"/>
          <w:szCs w:val="21"/>
        </w:rPr>
        <w:t xml:space="preserve"> </w:t>
      </w:r>
      <w:r w:rsidR="00E735F4">
        <w:rPr>
          <w:rFonts w:ascii="Open Sans" w:eastAsia="Open Sans" w:hAnsi="Open Sans" w:cs="Open Sans"/>
          <w:sz w:val="21"/>
          <w:szCs w:val="21"/>
        </w:rPr>
        <w:t>26</w:t>
      </w:r>
    </w:p>
    <w:p w14:paraId="4260301C" w14:textId="77777777" w:rsidR="000F7AE4" w:rsidRDefault="00000000">
      <w:pPr>
        <w:shd w:val="clear" w:color="auto" w:fill="FFFFFF"/>
        <w:ind w:right="-7"/>
        <w:jc w:val="right"/>
        <w:rPr>
          <w:rFonts w:ascii="Open Sans" w:eastAsia="Open Sans" w:hAnsi="Open Sans" w:cs="Open Sans"/>
          <w:sz w:val="21"/>
          <w:szCs w:val="21"/>
        </w:rPr>
      </w:pPr>
      <w:hyperlink r:id="rId9">
        <w:r>
          <w:rPr>
            <w:rFonts w:ascii="Open Sans" w:eastAsia="Open Sans" w:hAnsi="Open Sans" w:cs="Open Sans"/>
            <w:color w:val="0563C1"/>
            <w:sz w:val="21"/>
            <w:szCs w:val="21"/>
            <w:u w:val="single"/>
          </w:rPr>
          <w:t>comunicacion@fotocasa.es</w:t>
        </w:r>
      </w:hyperlink>
    </w:p>
    <w:p w14:paraId="7F22763D" w14:textId="77777777" w:rsidR="000F7AE4" w:rsidRDefault="00000000">
      <w:pPr>
        <w:shd w:val="clear" w:color="auto" w:fill="FFFFFF"/>
        <w:ind w:right="-7"/>
        <w:jc w:val="right"/>
        <w:rPr>
          <w:rFonts w:ascii="Open Sans" w:eastAsia="Open Sans" w:hAnsi="Open Sans" w:cs="Open Sans"/>
          <w:sz w:val="21"/>
          <w:szCs w:val="21"/>
        </w:rPr>
      </w:pPr>
      <w:hyperlink r:id="rId10">
        <w:r>
          <w:rPr>
            <w:rFonts w:ascii="Open Sans" w:eastAsia="Open Sans" w:hAnsi="Open Sans" w:cs="Open Sans"/>
            <w:color w:val="0563C1"/>
            <w:sz w:val="21"/>
            <w:szCs w:val="21"/>
            <w:u w:val="single"/>
          </w:rPr>
          <w:t>http://prensa.fotocasa.es</w:t>
        </w:r>
      </w:hyperlink>
    </w:p>
    <w:p w14:paraId="681EFAB8" w14:textId="77777777" w:rsidR="000F7AE4"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twitter: @fotocasa</w:t>
      </w:r>
    </w:p>
    <w:p w14:paraId="078548BA" w14:textId="77777777" w:rsidR="000F7AE4" w:rsidRDefault="000F7AE4"/>
    <w:sectPr w:rsidR="000F7AE4">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AD39" w14:textId="77777777" w:rsidR="00E74402" w:rsidRDefault="00E74402">
      <w:pPr>
        <w:spacing w:line="240" w:lineRule="auto"/>
      </w:pPr>
      <w:r>
        <w:separator/>
      </w:r>
    </w:p>
  </w:endnote>
  <w:endnote w:type="continuationSeparator" w:id="0">
    <w:p w14:paraId="2E882960" w14:textId="77777777" w:rsidR="00E74402" w:rsidRDefault="00E74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0029" w14:textId="77777777" w:rsidR="000F7AE4" w:rsidRDefault="00000000">
    <w:r>
      <w:rPr>
        <w:noProof/>
      </w:rPr>
      <w:drawing>
        <wp:anchor distT="0" distB="0" distL="0" distR="0" simplePos="0" relativeHeight="251658240" behindDoc="0" locked="0" layoutInCell="1" hidden="0" allowOverlap="1" wp14:anchorId="15DA3301" wp14:editId="6EE3718C">
          <wp:simplePos x="0" y="0"/>
          <wp:positionH relativeFrom="column">
            <wp:posOffset>-1939341</wp:posOffset>
          </wp:positionH>
          <wp:positionV relativeFrom="paragraph">
            <wp:posOffset>0</wp:posOffset>
          </wp:positionV>
          <wp:extent cx="8620125" cy="44767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CC64" w14:textId="77777777" w:rsidR="00E74402" w:rsidRDefault="00E74402">
      <w:pPr>
        <w:spacing w:line="240" w:lineRule="auto"/>
      </w:pPr>
      <w:r>
        <w:separator/>
      </w:r>
    </w:p>
  </w:footnote>
  <w:footnote w:type="continuationSeparator" w:id="0">
    <w:p w14:paraId="09E5EE13" w14:textId="77777777" w:rsidR="00E74402" w:rsidRDefault="00E744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E4"/>
    <w:rsid w:val="000F7AE4"/>
    <w:rsid w:val="00243003"/>
    <w:rsid w:val="007C52FA"/>
    <w:rsid w:val="00E735F4"/>
    <w:rsid w:val="00E74402"/>
    <w:rsid w:val="00F60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8E60"/>
  <w15:docId w15:val="{AA7ABE5D-791B-4E0A-8EBC-419BDC40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b1tSni/NLScO34gcVmTtspgvA==">AMUW2mVPlmg9BY9RccbMvYxNhuu3eHar35Eq/gcqlbEfEvoRBZNb6LQj77G8MY/KQLTU5u5/b1bJdbXZOygj5+rLQnvQHH1eP6I7W0ezj6rGzSqVJdGKnKw=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2741</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dcterms:created xsi:type="dcterms:W3CDTF">2022-05-27T10:04:00Z</dcterms:created>
  <dcterms:modified xsi:type="dcterms:W3CDTF">2022-10-26T08:19:00Z</dcterms:modified>
</cp:coreProperties>
</file>