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AC4B" w14:textId="77777777" w:rsidR="00AE2F7E"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RADIOGRAFÍA DEL MERCADO DE LA VIVIENDA: SEGUNDO SEMESTRE 2022</w:t>
      </w:r>
    </w:p>
    <w:p w14:paraId="33FA8BD1" w14:textId="5BA5B0FC" w:rsidR="00AE2F7E" w:rsidRDefault="0032462A">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El 52% de los españoles cree que estamos próximos a una nueva burbuja inmobiliaria</w:t>
      </w:r>
    </w:p>
    <w:p w14:paraId="2DD2B136" w14:textId="77777777" w:rsidR="00AE2F7E" w:rsidRDefault="00AE2F7E">
      <w:pPr>
        <w:spacing w:line="276" w:lineRule="auto"/>
        <w:ind w:right="-574"/>
        <w:rPr>
          <w:rFonts w:ascii="Open Sans" w:eastAsia="Open Sans" w:hAnsi="Open Sans" w:cs="Open Sans"/>
          <w:sz w:val="22"/>
          <w:szCs w:val="22"/>
        </w:rPr>
      </w:pPr>
    </w:p>
    <w:p w14:paraId="68422AC4" w14:textId="6A59B725" w:rsidR="0032462A" w:rsidRPr="0032462A" w:rsidRDefault="0032462A">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32462A">
        <w:rPr>
          <w:rFonts w:ascii="Open Sans" w:eastAsia="Open Sans" w:hAnsi="Open Sans" w:cs="Open Sans"/>
          <w:color w:val="000000"/>
          <w:sz w:val="22"/>
          <w:szCs w:val="22"/>
        </w:rPr>
        <w:t>Aumenta 14 puntos la percepción de proximidad a una nueva burbuja inmobiliaria</w:t>
      </w:r>
      <w:r>
        <w:rPr>
          <w:rFonts w:ascii="Open Sans" w:eastAsia="Open Sans" w:hAnsi="Open Sans" w:cs="Open Sans"/>
          <w:color w:val="000000"/>
          <w:sz w:val="22"/>
          <w:szCs w:val="22"/>
        </w:rPr>
        <w:t>: mientras en 2021 lo pensaba un 38% en 2022 lo cree un 52%</w:t>
      </w:r>
    </w:p>
    <w:p w14:paraId="2032E75D" w14:textId="77777777" w:rsidR="00AE2F7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Los ciudadanos opinan que los bancos están restringiendo las medidas para conceder créditos hipotecarios</w:t>
      </w:r>
    </w:p>
    <w:p w14:paraId="5BE2A2DD" w14:textId="77777777" w:rsidR="00AE2F7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​​Se mantiene una valoración de 7,3 puntos sobre diez, respecto a la idea de que con el precio actual de los alquileres compensa más pagar una hipoteca</w:t>
      </w:r>
    </w:p>
    <w:p w14:paraId="208EEE73" w14:textId="77777777" w:rsidR="00AE2F7E"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Desciende la percepción de que la normativa de control del alquiler favorecerá el equilibrio del mercado</w:t>
      </w:r>
    </w:p>
    <w:p w14:paraId="265E766A" w14:textId="77777777" w:rsidR="00AE2F7E" w:rsidRDefault="00AE2F7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0F182AC" w14:textId="77777777" w:rsidR="00AE2F7E"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11 de octubre de 2022</w:t>
      </w:r>
    </w:p>
    <w:p w14:paraId="1C2EC2E0" w14:textId="77777777" w:rsidR="00AE2F7E" w:rsidRDefault="00AE2F7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8F6BC4E" w14:textId="77777777" w:rsidR="00AE2F7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Sigue creciendo la sensación de proximidad a una nueva burbuja inmobiliaria entre los ciudadanos y en los últimos seis meses se acelera esta percepción en 14 puntos porcentuales. Uno de cada dos particulares (52 %) está de acuerdo con esta cuestión. Una cifra que viene creciendo progresivamente desde febrero de 2021, cuando eran un 38 % los que tenían esta opinión. Es una de las principales conclusiones que refleja el informe de </w:t>
      </w:r>
      <w:hyperlink r:id="rId8">
        <w:r>
          <w:rPr>
            <w:rFonts w:ascii="Open Sans" w:eastAsia="Open Sans" w:hAnsi="Open Sans" w:cs="Open Sans"/>
            <w:color w:val="1155CC"/>
            <w:sz w:val="22"/>
            <w:szCs w:val="22"/>
            <w:u w:val="single"/>
          </w:rPr>
          <w:t xml:space="preserve">Fotocasa </w:t>
        </w:r>
        <w:proofErr w:type="spellStart"/>
        <w:r>
          <w:rPr>
            <w:rFonts w:ascii="Open Sans" w:eastAsia="Open Sans" w:hAnsi="Open Sans" w:cs="Open Sans"/>
            <w:color w:val="1155CC"/>
            <w:sz w:val="22"/>
            <w:szCs w:val="22"/>
            <w:u w:val="single"/>
          </w:rPr>
          <w:t>Research</w:t>
        </w:r>
        <w:proofErr w:type="spellEnd"/>
      </w:hyperlink>
      <w:r>
        <w:rPr>
          <w:rFonts w:ascii="Open Sans" w:eastAsia="Open Sans" w:hAnsi="Open Sans" w:cs="Open Sans"/>
          <w:sz w:val="22"/>
          <w:szCs w:val="22"/>
        </w:rPr>
        <w:t xml:space="preserve"> titulado “</w:t>
      </w:r>
      <w:hyperlink r:id="rId9">
        <w:r>
          <w:rPr>
            <w:rFonts w:ascii="Open Sans" w:eastAsia="Open Sans" w:hAnsi="Open Sans" w:cs="Open Sans"/>
            <w:b/>
            <w:i/>
            <w:color w:val="1155CC"/>
            <w:sz w:val="22"/>
            <w:szCs w:val="22"/>
            <w:u w:val="single"/>
          </w:rPr>
          <w:t>Radiografía del mercado de la vivienda: segundo semestre de 2022</w:t>
        </w:r>
      </w:hyperlink>
      <w:r>
        <w:rPr>
          <w:rFonts w:ascii="Open Sans" w:eastAsia="Open Sans" w:hAnsi="Open Sans" w:cs="Open Sans"/>
          <w:sz w:val="22"/>
          <w:szCs w:val="22"/>
        </w:rPr>
        <w:t>”.</w:t>
      </w:r>
    </w:p>
    <w:p w14:paraId="3CA2C744" w14:textId="77777777" w:rsidR="00AE2F7E" w:rsidRDefault="00AE2F7E">
      <w:pPr>
        <w:spacing w:line="276" w:lineRule="auto"/>
        <w:ind w:right="-574"/>
        <w:jc w:val="both"/>
        <w:rPr>
          <w:rFonts w:ascii="Open Sans" w:eastAsia="Open Sans" w:hAnsi="Open Sans" w:cs="Open Sans"/>
          <w:sz w:val="22"/>
          <w:szCs w:val="22"/>
        </w:rPr>
      </w:pPr>
    </w:p>
    <w:p w14:paraId="4BC347C1" w14:textId="77777777" w:rsidR="00AE2F7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Se produce una gran escalada en cuanto a la cercanía a la formación de una burbuja en el mercado</w:t>
      </w:r>
      <w:r>
        <w:rPr>
          <w:rFonts w:ascii="Open Sans" w:eastAsia="Open Sans" w:hAnsi="Open Sans" w:cs="Open Sans"/>
          <w:sz w:val="22"/>
          <w:szCs w:val="22"/>
        </w:rPr>
        <w:t xml:space="preserve"> inmobiliario español, y se muestra en la puntuación media que ha ido aumentando paulatinamente desde entonces: en febrero de 2021 se situaba en 5,7 puntos y actualmente está en 6,5 puntos sobre 10. </w:t>
      </w:r>
    </w:p>
    <w:p w14:paraId="1DA49EF7" w14:textId="77777777" w:rsidR="00AE2F7E" w:rsidRDefault="00AE2F7E">
      <w:pPr>
        <w:spacing w:line="276" w:lineRule="auto"/>
        <w:ind w:right="-574"/>
        <w:jc w:val="both"/>
        <w:rPr>
          <w:rFonts w:ascii="Open Sans" w:eastAsia="Open Sans" w:hAnsi="Open Sans" w:cs="Open Sans"/>
          <w:sz w:val="22"/>
          <w:szCs w:val="22"/>
        </w:rPr>
      </w:pPr>
    </w:p>
    <w:p w14:paraId="4F733A21" w14:textId="77777777" w:rsidR="00AE2F7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pandemia, la guerra de Ucrania, la escalada de la inflación, los intereses hipotecarios... cualquier cambio en el entorno repercute en el mercado de la vivienda, en las acciones que se realizan en él y en la percepción que tienen quienes se mueven a través de él. Por ello, es interesante tomarle el pulso de manera regular a la opinión de los particulares sobre el mercado.</w:t>
      </w:r>
    </w:p>
    <w:p w14:paraId="1289DA02" w14:textId="77777777" w:rsidR="00AE2F7E" w:rsidRDefault="00AE2F7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D7D4648" w14:textId="549D4065" w:rsidR="00AE2F7E"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“Entra dentro de la normalidad que los ciudadanos perciban riesgo frente a una burbuja. Sin embargo, en tan solo 6 meses se ha producido un gran acelerón en esa percepción. El mercado se está calentando debido a que hay una gran demanda por comprar y poco stock disponible. Venimos de una gran actividad inmobiliaria en 2021 que ha sido frenética. España ha batido récord de compraventas y ha alcanzado el mejor año hipotecario de la última década. Sin embargo, las cifras están muy alejadas de los excesos del 2007 para que nos encontrásemos cercanos a una burbuja. Según el </w:t>
      </w:r>
      <w:hyperlink r:id="rId10">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xml:space="preserve"> todavía estamos un 32% por debajo de los precios máximos que alcanzamos en el periodo del boom. </w:t>
      </w:r>
      <w:r w:rsidR="008D505E">
        <w:rPr>
          <w:rFonts w:ascii="Open Sans" w:eastAsia="Open Sans" w:hAnsi="Open Sans" w:cs="Open Sans"/>
          <w:sz w:val="22"/>
          <w:szCs w:val="22"/>
        </w:rPr>
        <w:t>Además,</w:t>
      </w:r>
      <w:r>
        <w:rPr>
          <w:rFonts w:ascii="Open Sans" w:eastAsia="Open Sans" w:hAnsi="Open Sans" w:cs="Open Sans"/>
          <w:sz w:val="22"/>
          <w:szCs w:val="22"/>
        </w:rPr>
        <w:t xml:space="preserve"> las subidas de tipos ya están frenando la demanda de compra, por lo que probablemente la subida de precios tenderá hacia la estabilización y la corrección”,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9FE23E7" w14:textId="77777777" w:rsidR="00AE2F7E" w:rsidRDefault="00AE2F7E">
      <w:pPr>
        <w:spacing w:line="276" w:lineRule="auto"/>
        <w:ind w:right="-574"/>
        <w:jc w:val="both"/>
        <w:rPr>
          <w:rFonts w:ascii="Open Sans" w:eastAsia="Open Sans" w:hAnsi="Open Sans" w:cs="Open Sans"/>
          <w:sz w:val="22"/>
          <w:szCs w:val="22"/>
        </w:rPr>
      </w:pPr>
    </w:p>
    <w:p w14:paraId="05B43667" w14:textId="77777777" w:rsidR="00AE2F7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plena lógica con la dinámica que ha seguido la financiación en los últimos meses, tras las subidas efectivas de tipos de interés, </w:t>
      </w:r>
      <w:r>
        <w:rPr>
          <w:rFonts w:ascii="Open Sans" w:eastAsia="Open Sans" w:hAnsi="Open Sans" w:cs="Open Sans"/>
          <w:b/>
          <w:sz w:val="22"/>
          <w:szCs w:val="22"/>
        </w:rPr>
        <w:t xml:space="preserve">pierde fuerza la idea de que los bancos vuelven a conceder créditos hipotecarios </w:t>
      </w:r>
      <w:r>
        <w:rPr>
          <w:rFonts w:ascii="Open Sans" w:eastAsia="Open Sans" w:hAnsi="Open Sans" w:cs="Open Sans"/>
          <w:sz w:val="22"/>
          <w:szCs w:val="22"/>
        </w:rPr>
        <w:t xml:space="preserve">y esto supone un retroceso para la compra de vivienda. De hecho, el volumen de particulares que se muestran a favor ha decrecido considerablemente: ahora son un 34 % mientras que en febrero de este mismo año eran el 41 %. </w:t>
      </w:r>
    </w:p>
    <w:p w14:paraId="6D97CCF4" w14:textId="77777777" w:rsidR="00AE2F7E" w:rsidRDefault="00AE2F7E">
      <w:pPr>
        <w:spacing w:line="276" w:lineRule="auto"/>
        <w:ind w:right="-574"/>
        <w:jc w:val="both"/>
        <w:rPr>
          <w:rFonts w:ascii="Open Sans" w:eastAsia="Open Sans" w:hAnsi="Open Sans" w:cs="Open Sans"/>
          <w:sz w:val="22"/>
          <w:szCs w:val="22"/>
        </w:rPr>
      </w:pPr>
    </w:p>
    <w:p w14:paraId="739EAE0A" w14:textId="77777777" w:rsidR="00AE2F7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También desciende la percepción de que la nueva normativa de control de precios de alquiler de vivienda favorecerá el equilibrio entre oferta y demanda. Del 5,1 en febrero de 2022, pasa al 4,9 de puntuación seis meses después.</w:t>
      </w:r>
    </w:p>
    <w:p w14:paraId="2987AA26" w14:textId="77777777" w:rsidR="00AE2F7E" w:rsidRDefault="00AE2F7E">
      <w:pPr>
        <w:spacing w:line="276" w:lineRule="auto"/>
        <w:ind w:right="-574"/>
        <w:jc w:val="both"/>
        <w:rPr>
          <w:rFonts w:ascii="Open Sans" w:eastAsia="Open Sans" w:hAnsi="Open Sans" w:cs="Open Sans"/>
          <w:sz w:val="22"/>
          <w:szCs w:val="22"/>
        </w:rPr>
      </w:pPr>
    </w:p>
    <w:p w14:paraId="549738AA" w14:textId="77777777" w:rsidR="00AE2F7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Pero no todo son cambios. Hay algunas afirmaciones que, pese a todo, permanecen arraigadas y estables. Es el caso de todas aquellas cuestiones que se muestran favorables a la compra en detrimento del alquiler. Por ejemplo, con respecto a febrero, no ha variado la puntuación media que los particulares otorgan a la idea de que </w:t>
      </w:r>
      <w:r>
        <w:rPr>
          <w:rFonts w:ascii="Open Sans" w:eastAsia="Open Sans" w:hAnsi="Open Sans" w:cs="Open Sans"/>
          <w:b/>
          <w:sz w:val="22"/>
          <w:szCs w:val="22"/>
        </w:rPr>
        <w:t>el precio actual del alquiler hace que compense más pagar una hipoteca</w:t>
      </w:r>
      <w:r>
        <w:rPr>
          <w:rFonts w:ascii="Open Sans" w:eastAsia="Open Sans" w:hAnsi="Open Sans" w:cs="Open Sans"/>
          <w:sz w:val="22"/>
          <w:szCs w:val="22"/>
        </w:rPr>
        <w:t xml:space="preserve"> que un alquiler (7,3) o que comprar una vivienda es una buena inversión (7). Otras afirmaciones como que </w:t>
      </w:r>
      <w:r>
        <w:rPr>
          <w:rFonts w:ascii="Open Sans" w:eastAsia="Open Sans" w:hAnsi="Open Sans" w:cs="Open Sans"/>
          <w:b/>
          <w:sz w:val="22"/>
          <w:szCs w:val="22"/>
        </w:rPr>
        <w:t>vivir de alquiler es tirar el dinero muestran un ligero crecimiento</w:t>
      </w:r>
      <w:r>
        <w:rPr>
          <w:rFonts w:ascii="Open Sans" w:eastAsia="Open Sans" w:hAnsi="Open Sans" w:cs="Open Sans"/>
          <w:sz w:val="22"/>
          <w:szCs w:val="22"/>
        </w:rPr>
        <w:t>: actualmente recibe 6,1 puntos sobre diez y en febrero recibía 6.</w:t>
      </w:r>
    </w:p>
    <w:p w14:paraId="4865A8D3" w14:textId="77777777" w:rsidR="00AE2F7E" w:rsidRDefault="00000000">
      <w:pPr>
        <w:pBdr>
          <w:top w:val="nil"/>
          <w:left w:val="nil"/>
          <w:bottom w:val="nil"/>
          <w:right w:val="nil"/>
          <w:between w:val="nil"/>
        </w:pBdr>
        <w:spacing w:line="276" w:lineRule="auto"/>
        <w:ind w:right="-574"/>
        <w:rPr>
          <w:rFonts w:ascii="Open Sans" w:eastAsia="Open Sans" w:hAnsi="Open Sans" w:cs="Open Sans"/>
          <w:sz w:val="22"/>
          <w:szCs w:val="22"/>
        </w:rPr>
      </w:pPr>
      <w:r>
        <w:rPr>
          <w:rFonts w:ascii="Open Sans" w:eastAsia="Open Sans" w:hAnsi="Open Sans" w:cs="Open Sans"/>
          <w:noProof/>
          <w:sz w:val="22"/>
          <w:szCs w:val="22"/>
        </w:rPr>
        <w:lastRenderedPageBreak/>
        <w:drawing>
          <wp:inline distT="114300" distB="114300" distL="114300" distR="114300" wp14:anchorId="1E38CF1B" wp14:editId="118A9C5D">
            <wp:extent cx="5844540" cy="4853940"/>
            <wp:effectExtent l="0" t="0" r="3810" b="381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844701" cy="4854074"/>
                    </a:xfrm>
                    <a:prstGeom prst="rect">
                      <a:avLst/>
                    </a:prstGeom>
                    <a:ln/>
                  </pic:spPr>
                </pic:pic>
              </a:graphicData>
            </a:graphic>
          </wp:inline>
        </w:drawing>
      </w:r>
    </w:p>
    <w:p w14:paraId="7F0A8309" w14:textId="77777777" w:rsidR="00AE2F7E" w:rsidRDefault="00AE2F7E">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151EF0C" w14:textId="77777777" w:rsidR="00AE2F7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Informe “Radiografía del mercado de la vivienda en el segundo semestre de 2022”</w:t>
      </w:r>
    </w:p>
    <w:p w14:paraId="4F4C8616" w14:textId="77777777" w:rsidR="00AE2F7E" w:rsidRDefault="00AE2F7E">
      <w:pPr>
        <w:spacing w:line="276" w:lineRule="auto"/>
        <w:ind w:right="-716"/>
        <w:jc w:val="right"/>
        <w:rPr>
          <w:rFonts w:ascii="Open Sans Light" w:eastAsia="Open Sans Light" w:hAnsi="Open Sans Light" w:cs="Open Sans Light"/>
          <w:b/>
          <w:color w:val="303AB2"/>
        </w:rPr>
      </w:pPr>
    </w:p>
    <w:p w14:paraId="45C0D4F5" w14:textId="77777777" w:rsidR="00AE2F7E"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3">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ha realizado el informe “</w:t>
      </w:r>
      <w:hyperlink r:id="rId14">
        <w:r>
          <w:rPr>
            <w:rFonts w:ascii="Open Sans" w:eastAsia="Open Sans" w:hAnsi="Open Sans" w:cs="Open Sans"/>
            <w:b/>
            <w:i/>
            <w:color w:val="0000FF"/>
            <w:sz w:val="22"/>
            <w:szCs w:val="22"/>
            <w:u w:val="single"/>
          </w:rPr>
          <w:t>Radiografía del mercado de la vivienda en el semestre de 2022</w:t>
        </w:r>
      </w:hyperlink>
      <w:r>
        <w:rPr>
          <w:rFonts w:ascii="Open Sans" w:eastAsia="Open Sans" w:hAnsi="Open Sans" w:cs="Open Sans"/>
          <w:sz w:val="22"/>
          <w:szCs w:val="22"/>
        </w:rPr>
        <w:t xml:space="preserve">”, en base a un exhaustivo análisis del equipo de Business </w:t>
      </w:r>
      <w:proofErr w:type="spellStart"/>
      <w:r>
        <w:rPr>
          <w:rFonts w:ascii="Open Sans" w:eastAsia="Open Sans" w:hAnsi="Open Sans" w:cs="Open Sans"/>
          <w:sz w:val="22"/>
          <w:szCs w:val="22"/>
        </w:rPr>
        <w:t>Analytics</w:t>
      </w:r>
      <w:proofErr w:type="spellEnd"/>
      <w:r>
        <w:rPr>
          <w:rFonts w:ascii="Open Sans" w:eastAsia="Open Sans" w:hAnsi="Open Sans" w:cs="Open Sans"/>
          <w:sz w:val="22"/>
          <w:szCs w:val="22"/>
        </w:rPr>
        <w:t xml:space="preserve"> de Fotocasa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Analysis</w:t>
      </w:r>
      <w:proofErr w:type="spellEnd"/>
      <w:r>
        <w:rPr>
          <w:rFonts w:ascii="Open Sans" w:eastAsia="Open Sans" w:hAnsi="Open Sans" w:cs="Open Sans"/>
          <w:sz w:val="22"/>
          <w:szCs w:val="22"/>
        </w:rPr>
        <w:t>.</w:t>
      </w:r>
    </w:p>
    <w:p w14:paraId="11B6821D" w14:textId="77777777" w:rsidR="00AE2F7E" w:rsidRDefault="00AE2F7E">
      <w:pPr>
        <w:spacing w:line="276" w:lineRule="auto"/>
        <w:ind w:right="-716"/>
        <w:jc w:val="both"/>
        <w:rPr>
          <w:rFonts w:ascii="Open Sans" w:eastAsia="Open Sans" w:hAnsi="Open Sans" w:cs="Open Sans"/>
          <w:sz w:val="22"/>
          <w:szCs w:val="22"/>
        </w:rPr>
      </w:pPr>
    </w:p>
    <w:p w14:paraId="21AA5479" w14:textId="77777777" w:rsidR="00AE2F7E" w:rsidRDefault="00000000">
      <w:pPr>
        <w:spacing w:line="276" w:lineRule="auto"/>
        <w:ind w:right="-716"/>
        <w:jc w:val="both"/>
        <w:rPr>
          <w:rFonts w:ascii="Open Sans Light" w:eastAsia="Open Sans Light" w:hAnsi="Open Sans Light" w:cs="Open Sans Light"/>
          <w:b/>
          <w:color w:val="303AB2"/>
        </w:rPr>
      </w:pPr>
      <w:r>
        <w:rPr>
          <w:rFonts w:ascii="Open Sans" w:eastAsia="Open Sans" w:hAnsi="Open Sans" w:cs="Open Sans"/>
          <w:sz w:val="22"/>
          <w:szCs w:val="22"/>
        </w:rPr>
        <w:t>El estudio pretende dar continuidad a los informes presentados en 2021, 2019, 2018 y 2017. Al igual que los anteriores estudios, se ha realizado sobre un panel independiente con una muestra de 5.002 personas representativas de la sociedad española y que tienen entre 18 y 75 años, a través de encuestas online que se efectuaron entre el 16 de agosto y el 4 de septiembre de 2022. Error muestral: +-1,4%.</w:t>
      </w:r>
    </w:p>
    <w:p w14:paraId="1E7779CE" w14:textId="77777777" w:rsidR="00AE2F7E" w:rsidRDefault="00AE2F7E">
      <w:pPr>
        <w:spacing w:line="276" w:lineRule="auto"/>
        <w:ind w:right="-716"/>
        <w:jc w:val="right"/>
        <w:rPr>
          <w:rFonts w:ascii="Open Sans Light" w:eastAsia="Open Sans Light" w:hAnsi="Open Sans Light" w:cs="Open Sans Light"/>
          <w:b/>
          <w:color w:val="303AB2"/>
        </w:rPr>
      </w:pPr>
    </w:p>
    <w:p w14:paraId="68889120" w14:textId="77777777" w:rsidR="00AE2F7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A3468CB" w14:textId="77777777" w:rsidR="00AE2F7E"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27A50A5D" w14:textId="77777777" w:rsidR="00AE2F7E"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018B6ABB" w14:textId="77777777" w:rsidR="00AE2F7E"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C8A2C59" w14:textId="77777777" w:rsidR="00AE2F7E"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BD436D0" w14:textId="77777777" w:rsidR="00AE2F7E" w:rsidRDefault="00AE2F7E">
      <w:pPr>
        <w:spacing w:line="276" w:lineRule="auto"/>
        <w:ind w:right="-716"/>
        <w:jc w:val="right"/>
        <w:rPr>
          <w:rFonts w:ascii="Open Sans Light" w:eastAsia="Open Sans Light" w:hAnsi="Open Sans Light" w:cs="Open Sans Light"/>
          <w:b/>
          <w:color w:val="303AB2"/>
        </w:rPr>
      </w:pPr>
    </w:p>
    <w:p w14:paraId="57479EC1" w14:textId="77777777" w:rsidR="00AE2F7E"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1A2401B" w14:textId="77777777" w:rsidR="00AE2F7E"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78823E85" w14:textId="77777777" w:rsidR="00AE2F7E" w:rsidRDefault="00AE2F7E">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37A5781E" w14:textId="77777777" w:rsidR="00AE2F7E"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61FDDDDB" w14:textId="77777777" w:rsidR="00AE2F7E"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6334F4EC" w14:textId="77777777" w:rsidR="00AE2F7E"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01A4DDD3" w14:textId="10952D61" w:rsidR="00AE2F7E" w:rsidRDefault="00AE2F7E">
      <w:pPr>
        <w:spacing w:line="276" w:lineRule="auto"/>
        <w:ind w:right="-716"/>
        <w:rPr>
          <w:rFonts w:ascii="Open Sans Light" w:eastAsia="Open Sans Light" w:hAnsi="Open Sans Light" w:cs="Open Sans Light"/>
          <w:b/>
          <w:color w:val="303AB2"/>
          <w:sz w:val="22"/>
          <w:szCs w:val="22"/>
        </w:rPr>
      </w:pPr>
    </w:p>
    <w:p w14:paraId="45FA89CD" w14:textId="378553B7" w:rsidR="008D505E" w:rsidRDefault="008D505E">
      <w:pPr>
        <w:spacing w:line="276" w:lineRule="auto"/>
        <w:ind w:right="-716"/>
        <w:rPr>
          <w:rFonts w:ascii="Open Sans Light" w:eastAsia="Open Sans Light" w:hAnsi="Open Sans Light" w:cs="Open Sans Light"/>
          <w:b/>
          <w:color w:val="303AB2"/>
          <w:sz w:val="22"/>
          <w:szCs w:val="22"/>
        </w:rPr>
      </w:pPr>
    </w:p>
    <w:p w14:paraId="10E96FF2" w14:textId="66784FEF" w:rsidR="008D505E" w:rsidRDefault="008D505E">
      <w:pPr>
        <w:spacing w:line="276" w:lineRule="auto"/>
        <w:ind w:right="-716"/>
        <w:rPr>
          <w:rFonts w:ascii="Open Sans Light" w:eastAsia="Open Sans Light" w:hAnsi="Open Sans Light" w:cs="Open Sans Light"/>
          <w:b/>
          <w:color w:val="303AB2"/>
          <w:sz w:val="22"/>
          <w:szCs w:val="22"/>
        </w:rPr>
      </w:pPr>
    </w:p>
    <w:p w14:paraId="309F666E" w14:textId="77777777" w:rsidR="008D505E" w:rsidRDefault="008D505E">
      <w:pPr>
        <w:spacing w:line="276" w:lineRule="auto"/>
        <w:ind w:right="-716"/>
        <w:rPr>
          <w:rFonts w:ascii="Open Sans Light" w:eastAsia="Open Sans Light" w:hAnsi="Open Sans Light" w:cs="Open Sans Light"/>
          <w:b/>
          <w:color w:val="303AB2"/>
          <w:sz w:val="22"/>
          <w:szCs w:val="22"/>
        </w:rPr>
      </w:pPr>
    </w:p>
    <w:p w14:paraId="2CDEA432" w14:textId="6E29654C" w:rsidR="00AE2F7E"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sidR="008D505E">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 xml:space="preserve"> Departamento Comunicación Fotocasa</w:t>
      </w:r>
    </w:p>
    <w:p w14:paraId="744DE303" w14:textId="77777777" w:rsidR="00AE2F7E"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6B0ACF0E" w14:textId="77777777" w:rsidR="00AE2F7E" w:rsidRDefault="00000000">
      <w:pPr>
        <w:shd w:val="clear" w:color="auto" w:fill="FFFFFF"/>
        <w:spacing w:line="276" w:lineRule="auto"/>
        <w:ind w:right="-716"/>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5">
        <w:r>
          <w:rPr>
            <w:rFonts w:ascii="Open Sans" w:eastAsia="Open Sans" w:hAnsi="Open Sans" w:cs="Open Sans"/>
            <w:color w:val="0000FF"/>
            <w:sz w:val="22"/>
            <w:szCs w:val="22"/>
            <w:u w:val="single"/>
          </w:rPr>
          <w:t>comunicacion@fotocasa.es</w:t>
        </w:r>
      </w:hyperlink>
    </w:p>
    <w:p w14:paraId="18B62FF8" w14:textId="77777777" w:rsidR="00AE2F7E"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205AF584" w14:textId="77777777" w:rsidR="00AE2F7E"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C899A2D" w14:textId="77777777" w:rsidR="00AE2F7E"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25EC864B" w14:textId="77777777" w:rsidR="00AE2F7E" w:rsidRDefault="00000000">
      <w:pPr>
        <w:shd w:val="clear" w:color="auto" w:fill="FFFFFF"/>
        <w:ind w:right="-716"/>
        <w:rPr>
          <w:rFonts w:ascii="Open Sans" w:eastAsia="Open Sans" w:hAnsi="Open Sans" w:cs="Open Sans"/>
          <w:b/>
          <w:color w:val="000000"/>
          <w:sz w:val="22"/>
          <w:szCs w:val="22"/>
        </w:rPr>
      </w:pPr>
      <w:hyperlink r:id="rId26">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DE8ABD5" w14:textId="77777777" w:rsidR="00AE2F7E"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214FA3F" w14:textId="77777777" w:rsidR="00AE2F7E" w:rsidRDefault="00AE2F7E">
      <w:pPr>
        <w:shd w:val="clear" w:color="auto" w:fill="FFFFFF"/>
        <w:ind w:right="-716"/>
        <w:rPr>
          <w:rFonts w:ascii="Open Sans" w:eastAsia="Open Sans" w:hAnsi="Open Sans" w:cs="Open Sans"/>
          <w:color w:val="000000"/>
          <w:sz w:val="22"/>
          <w:szCs w:val="22"/>
        </w:rPr>
      </w:pPr>
    </w:p>
    <w:p w14:paraId="59D12411" w14:textId="77777777" w:rsidR="00AE2F7E"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47619091" w14:textId="77777777" w:rsidR="00AE2F7E" w:rsidRDefault="00000000">
      <w:pPr>
        <w:shd w:val="clear" w:color="auto" w:fill="FFFFFF"/>
        <w:ind w:right="-716"/>
        <w:rPr>
          <w:rFonts w:ascii="Open Sans" w:eastAsia="Open Sans" w:hAnsi="Open Sans" w:cs="Open Sans"/>
          <w:b/>
          <w:color w:val="000000"/>
          <w:sz w:val="22"/>
          <w:szCs w:val="22"/>
        </w:rPr>
      </w:pPr>
      <w:hyperlink r:id="rId27">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4F3F634" w14:textId="77777777" w:rsidR="00AE2F7E"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AE2F7E">
      <w:headerReference w:type="default" r:id="rId28"/>
      <w:footerReference w:type="default" r:id="rId29"/>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C4EB" w14:textId="77777777" w:rsidR="00861585" w:rsidRDefault="00861585">
      <w:r>
        <w:separator/>
      </w:r>
    </w:p>
  </w:endnote>
  <w:endnote w:type="continuationSeparator" w:id="0">
    <w:p w14:paraId="4E1AEBA2" w14:textId="77777777" w:rsidR="00861585" w:rsidRDefault="0086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4555" w14:textId="77777777" w:rsidR="00AE2F7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4AE6CCB" wp14:editId="12908EA0">
          <wp:simplePos x="0" y="0"/>
          <wp:positionH relativeFrom="column">
            <wp:posOffset>-1068064</wp:posOffset>
          </wp:positionH>
          <wp:positionV relativeFrom="paragraph">
            <wp:posOffset>174608</wp:posOffset>
          </wp:positionV>
          <wp:extent cx="7670550" cy="451315"/>
          <wp:effectExtent l="0" t="0" r="0" b="0"/>
          <wp:wrapNone/>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784F" w14:textId="77777777" w:rsidR="00861585" w:rsidRDefault="00861585">
      <w:r>
        <w:separator/>
      </w:r>
    </w:p>
  </w:footnote>
  <w:footnote w:type="continuationSeparator" w:id="0">
    <w:p w14:paraId="1466B448" w14:textId="77777777" w:rsidR="00861585" w:rsidRDefault="0086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5D4E" w14:textId="77777777" w:rsidR="00AE2F7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9D2B991" wp14:editId="7425AEC3">
          <wp:simplePos x="0" y="0"/>
          <wp:positionH relativeFrom="column">
            <wp:posOffset>-1121128</wp:posOffset>
          </wp:positionH>
          <wp:positionV relativeFrom="paragraph">
            <wp:posOffset>225177</wp:posOffset>
          </wp:positionV>
          <wp:extent cx="7581265" cy="1019175"/>
          <wp:effectExtent l="0" t="0" r="0" b="0"/>
          <wp:wrapNone/>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0724DC9" w14:textId="77777777" w:rsidR="00AE2F7E" w:rsidRDefault="00AE2F7E">
    <w:pPr>
      <w:pBdr>
        <w:top w:val="nil"/>
        <w:left w:val="nil"/>
        <w:bottom w:val="nil"/>
        <w:right w:val="nil"/>
        <w:between w:val="nil"/>
      </w:pBdr>
      <w:tabs>
        <w:tab w:val="center" w:pos="4252"/>
        <w:tab w:val="right" w:pos="8504"/>
      </w:tabs>
      <w:rPr>
        <w:color w:val="000000"/>
      </w:rPr>
    </w:pPr>
  </w:p>
  <w:p w14:paraId="3C1EC055" w14:textId="77777777" w:rsidR="00AE2F7E" w:rsidRDefault="00AE2F7E">
    <w:pPr>
      <w:pBdr>
        <w:top w:val="nil"/>
        <w:left w:val="nil"/>
        <w:bottom w:val="nil"/>
        <w:right w:val="nil"/>
        <w:between w:val="nil"/>
      </w:pBdr>
      <w:tabs>
        <w:tab w:val="center" w:pos="4252"/>
        <w:tab w:val="right" w:pos="8504"/>
      </w:tabs>
      <w:rPr>
        <w:color w:val="000000"/>
      </w:rPr>
    </w:pPr>
  </w:p>
  <w:p w14:paraId="02C54C15" w14:textId="77777777" w:rsidR="00AE2F7E" w:rsidRDefault="00AE2F7E">
    <w:pPr>
      <w:pBdr>
        <w:top w:val="nil"/>
        <w:left w:val="nil"/>
        <w:bottom w:val="nil"/>
        <w:right w:val="nil"/>
        <w:between w:val="nil"/>
      </w:pBdr>
      <w:tabs>
        <w:tab w:val="center" w:pos="4252"/>
        <w:tab w:val="right" w:pos="8504"/>
      </w:tabs>
      <w:rPr>
        <w:color w:val="000000"/>
      </w:rPr>
    </w:pPr>
  </w:p>
  <w:p w14:paraId="66048058" w14:textId="77777777" w:rsidR="00AE2F7E" w:rsidRDefault="00AE2F7E">
    <w:pPr>
      <w:pBdr>
        <w:top w:val="nil"/>
        <w:left w:val="nil"/>
        <w:bottom w:val="nil"/>
        <w:right w:val="nil"/>
        <w:between w:val="nil"/>
      </w:pBdr>
      <w:tabs>
        <w:tab w:val="center" w:pos="4252"/>
        <w:tab w:val="right" w:pos="8504"/>
      </w:tabs>
      <w:rPr>
        <w:color w:val="000000"/>
      </w:rPr>
    </w:pPr>
  </w:p>
  <w:p w14:paraId="55BC8B15" w14:textId="77777777" w:rsidR="00AE2F7E" w:rsidRDefault="00AE2F7E">
    <w:pPr>
      <w:pBdr>
        <w:top w:val="nil"/>
        <w:left w:val="nil"/>
        <w:bottom w:val="nil"/>
        <w:right w:val="nil"/>
        <w:between w:val="nil"/>
      </w:pBdr>
      <w:tabs>
        <w:tab w:val="center" w:pos="4252"/>
        <w:tab w:val="right" w:pos="8504"/>
      </w:tabs>
      <w:rPr>
        <w:color w:val="000000"/>
      </w:rPr>
    </w:pPr>
  </w:p>
  <w:p w14:paraId="3D3090AD" w14:textId="77777777" w:rsidR="00AE2F7E" w:rsidRDefault="00AE2F7E">
    <w:pPr>
      <w:pBdr>
        <w:top w:val="nil"/>
        <w:left w:val="nil"/>
        <w:bottom w:val="nil"/>
        <w:right w:val="nil"/>
        <w:between w:val="nil"/>
      </w:pBdr>
      <w:tabs>
        <w:tab w:val="center" w:pos="4252"/>
        <w:tab w:val="right" w:pos="8504"/>
      </w:tabs>
      <w:rPr>
        <w:color w:val="000000"/>
      </w:rPr>
    </w:pPr>
  </w:p>
  <w:p w14:paraId="0B2B13D8" w14:textId="77777777" w:rsidR="00AE2F7E" w:rsidRDefault="00AE2F7E">
    <w:pPr>
      <w:pBdr>
        <w:top w:val="nil"/>
        <w:left w:val="nil"/>
        <w:bottom w:val="nil"/>
        <w:right w:val="nil"/>
        <w:between w:val="nil"/>
      </w:pBdr>
      <w:tabs>
        <w:tab w:val="center" w:pos="4252"/>
        <w:tab w:val="right" w:pos="8504"/>
      </w:tabs>
      <w:rPr>
        <w:color w:val="000000"/>
      </w:rPr>
    </w:pPr>
  </w:p>
  <w:p w14:paraId="0EA4F487" w14:textId="77777777" w:rsidR="00AE2F7E" w:rsidRDefault="00AE2F7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B05"/>
    <w:multiLevelType w:val="multilevel"/>
    <w:tmpl w:val="1C24F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856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7E"/>
    <w:rsid w:val="0032462A"/>
    <w:rsid w:val="00861585"/>
    <w:rsid w:val="008D505E"/>
    <w:rsid w:val="00AE2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02A0"/>
  <w15:docId w15:val="{EF84A286-9219-446F-AB30-59F2DBFF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header" Target="header1.xml"/><Relationship Id="rId10" Type="http://schemas.openxmlformats.org/officeDocument/2006/relationships/hyperlink" Target="https://www.fotocasa.es/indice-precio-vivienda"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fotocasa.es/radiografia-del-mercado-de-la-vivienda-en-el-segundo-semestre-de-2022/" TargetMode="External"/><Relationship Id="rId14" Type="http://schemas.openxmlformats.org/officeDocument/2006/relationships/hyperlink" Target="https://s36360.pcdn.co/wp-content/uploads/2022/10/Informe-Radiografia-del-mercado-de-la-vivienda-en-el-segundo-semestre-de-2022.pdf"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uQCc+yOAUxGDtuggg0YyXVew==">AMUW2mVz6GzEn9J9UPiF54mgyRvPw1p8sy4k+Jp7W0L7Tl+ApKEQ2nVHzzT4c8FUB0d/dkdrtRLXxeO3gKt414x9NTOTfD8J+cHwCd1fR766xexIYmQBqQByn04FeHWINpRYxF52zIJX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1259</Words>
  <Characters>6927</Characters>
  <Application>Microsoft Office Word</Application>
  <DocSecurity>0</DocSecurity>
  <Lines>57</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2022-10-10T07:03:00Z</dcterms:modified>
</cp:coreProperties>
</file>