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4485" w14:textId="45714EC1" w:rsidR="001326ED" w:rsidRDefault="00AF4D83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 xml:space="preserve"> “RADIOGRAFÍA DEL MERCADO DE LA VIVIENDA </w:t>
      </w:r>
      <w:r w:rsidR="00CB5A80">
        <w:rPr>
          <w:rFonts w:ascii="National" w:eastAsia="National" w:hAnsi="National" w:cs="National"/>
          <w:b/>
          <w:color w:val="1DBDC5"/>
          <w:sz w:val="28"/>
          <w:szCs w:val="28"/>
        </w:rPr>
        <w:t>EN EL SEGUNDO SEMESTRE DE 2022</w:t>
      </w:r>
      <w:r>
        <w:rPr>
          <w:rFonts w:ascii="National" w:eastAsia="National" w:hAnsi="National" w:cs="National"/>
          <w:b/>
          <w:color w:val="1DBDC5"/>
          <w:sz w:val="28"/>
          <w:szCs w:val="28"/>
        </w:rPr>
        <w:t>”</w:t>
      </w:r>
    </w:p>
    <w:p w14:paraId="0AEBDF7F" w14:textId="300D039D" w:rsidR="00CB5A80" w:rsidRPr="00CB5A80" w:rsidRDefault="00CB5A80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46"/>
          <w:szCs w:val="46"/>
        </w:rPr>
      </w:pPr>
      <w:r w:rsidRPr="00CB5A80">
        <w:rPr>
          <w:rFonts w:ascii="National" w:eastAsia="National" w:hAnsi="National" w:cs="National"/>
          <w:b/>
          <w:color w:val="303AB2"/>
          <w:sz w:val="46"/>
          <w:szCs w:val="46"/>
        </w:rPr>
        <w:t>El alquiler vuelve a ganarle terreno a la compra de vivienda: el 46% de la demanda quiere alquil</w:t>
      </w:r>
      <w:r w:rsidR="0005389E">
        <w:rPr>
          <w:rFonts w:ascii="National" w:eastAsia="National" w:hAnsi="National" w:cs="National"/>
          <w:b/>
          <w:color w:val="303AB2"/>
          <w:sz w:val="46"/>
          <w:szCs w:val="46"/>
        </w:rPr>
        <w:t>a</w:t>
      </w:r>
      <w:r w:rsidRPr="00CB5A80">
        <w:rPr>
          <w:rFonts w:ascii="National" w:eastAsia="National" w:hAnsi="National" w:cs="National"/>
          <w:b/>
          <w:color w:val="303AB2"/>
          <w:sz w:val="46"/>
          <w:szCs w:val="46"/>
        </w:rPr>
        <w:t>r frente al 44% que busca comprar</w:t>
      </w:r>
    </w:p>
    <w:p w14:paraId="69F3DA05" w14:textId="77777777" w:rsidR="001326ED" w:rsidRDefault="001326ED">
      <w:pPr>
        <w:spacing w:line="276" w:lineRule="auto"/>
        <w:ind w:right="-574"/>
        <w:rPr>
          <w:rFonts w:ascii="Open Sans" w:eastAsia="Open Sans" w:hAnsi="Open Sans" w:cs="Open Sans"/>
          <w:sz w:val="22"/>
          <w:szCs w:val="22"/>
        </w:rPr>
      </w:pPr>
    </w:p>
    <w:p w14:paraId="6E75B0AB" w14:textId="793893DD" w:rsidR="0005389E" w:rsidRDefault="00053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Hace seis meses el panorama era muy diferente: </w:t>
      </w:r>
      <w:r w:rsidRPr="0005389E">
        <w:rPr>
          <w:rFonts w:ascii="Open Sans" w:eastAsia="Open Sans" w:hAnsi="Open Sans" w:cs="Open Sans"/>
          <w:color w:val="000000"/>
          <w:sz w:val="22"/>
          <w:szCs w:val="22"/>
        </w:rPr>
        <w:t>el 50% de la demanda e</w:t>
      </w:r>
      <w:r>
        <w:rPr>
          <w:rFonts w:ascii="Open Sans" w:eastAsia="Open Sans" w:hAnsi="Open Sans" w:cs="Open Sans"/>
          <w:color w:val="000000"/>
          <w:sz w:val="22"/>
          <w:szCs w:val="22"/>
        </w:rPr>
        <w:t>ra</w:t>
      </w:r>
      <w:r w:rsidRPr="0005389E">
        <w:rPr>
          <w:rFonts w:ascii="Open Sans" w:eastAsia="Open Sans" w:hAnsi="Open Sans" w:cs="Open Sans"/>
          <w:color w:val="000000"/>
          <w:sz w:val="22"/>
          <w:szCs w:val="22"/>
        </w:rPr>
        <w:t xml:space="preserve"> de compra frente al 38% que busca</w:t>
      </w:r>
      <w:r>
        <w:rPr>
          <w:rFonts w:ascii="Open Sans" w:eastAsia="Open Sans" w:hAnsi="Open Sans" w:cs="Open Sans"/>
          <w:color w:val="000000"/>
          <w:sz w:val="22"/>
          <w:szCs w:val="22"/>
        </w:rPr>
        <w:t>ba</w:t>
      </w:r>
      <w:r w:rsidRPr="0005389E">
        <w:rPr>
          <w:rFonts w:ascii="Open Sans" w:eastAsia="Open Sans" w:hAnsi="Open Sans" w:cs="Open Sans"/>
          <w:color w:val="000000"/>
          <w:sz w:val="22"/>
          <w:szCs w:val="22"/>
        </w:rPr>
        <w:t xml:space="preserve"> alquiler</w:t>
      </w:r>
    </w:p>
    <w:p w14:paraId="661DEE7E" w14:textId="5040B674" w:rsidR="00CB5A80" w:rsidRDefault="00053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Así</w:t>
      </w:r>
      <w:r w:rsidR="00CB5A80">
        <w:rPr>
          <w:rFonts w:ascii="Open Sans" w:eastAsia="Open Sans" w:hAnsi="Open Sans" w:cs="Open Sans"/>
          <w:color w:val="000000"/>
          <w:sz w:val="22"/>
          <w:szCs w:val="22"/>
        </w:rPr>
        <w:t xml:space="preserve"> sube ocho puntos porcentuales la intención de alquilar vivienda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y en cambio desciende 6 puntos la intención de comprar vivienda </w:t>
      </w:r>
    </w:p>
    <w:p w14:paraId="33320855" w14:textId="02771A34" w:rsidR="00CB5A80" w:rsidRDefault="00443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 incrementa levemente la participación total en el mercado de la vivienda respecto a febrero, aunque es algo más baja que agosto del pasado año</w:t>
      </w:r>
    </w:p>
    <w:p w14:paraId="6EE7A8AA" w14:textId="3B11303F" w:rsidR="00443E47" w:rsidRPr="00825C1E" w:rsidRDefault="00825C1E" w:rsidP="00825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825C1E">
        <w:rPr>
          <w:rFonts w:ascii="Open Sans" w:eastAsia="Open Sans" w:hAnsi="Open Sans" w:cs="Open Sans"/>
          <w:color w:val="000000"/>
          <w:sz w:val="22"/>
          <w:szCs w:val="22"/>
        </w:rPr>
        <w:t>La demanda efectiva de vivienda en el mercado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825C1E">
        <w:rPr>
          <w:rFonts w:ascii="Open Sans" w:eastAsia="Open Sans" w:hAnsi="Open Sans" w:cs="Open Sans"/>
          <w:color w:val="000000"/>
          <w:sz w:val="22"/>
          <w:szCs w:val="22"/>
        </w:rPr>
        <w:t>de compraventa (4% de los particulares) y en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825C1E">
        <w:rPr>
          <w:rFonts w:ascii="Open Sans" w:eastAsia="Open Sans" w:hAnsi="Open Sans" w:cs="Open Sans"/>
          <w:color w:val="000000"/>
          <w:sz w:val="22"/>
          <w:szCs w:val="22"/>
        </w:rPr>
        <w:t>el de alquiler (8%) se sitúa por encima de los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825C1E">
        <w:rPr>
          <w:rFonts w:ascii="Open Sans" w:eastAsia="Open Sans" w:hAnsi="Open Sans" w:cs="Open Sans"/>
          <w:color w:val="000000"/>
          <w:sz w:val="22"/>
          <w:szCs w:val="22"/>
        </w:rPr>
        <w:t>datos de hace seis meses</w:t>
      </w:r>
    </w:p>
    <w:p w14:paraId="7AC43FBB" w14:textId="58544DB0" w:rsidR="00825C1E" w:rsidRPr="00E8496A" w:rsidRDefault="00E8496A" w:rsidP="00825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E8496A">
        <w:rPr>
          <w:rFonts w:ascii="Open Sans" w:eastAsia="Open Sans" w:hAnsi="Open Sans" w:cs="Open Sans"/>
          <w:color w:val="000000"/>
          <w:sz w:val="22"/>
          <w:szCs w:val="22"/>
        </w:rPr>
        <w:t xml:space="preserve">Respecto al análisis por zonas,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 </w:t>
      </w:r>
      <w:r w:rsidRPr="00E8496A">
        <w:rPr>
          <w:rFonts w:ascii="Open Sans" w:eastAsia="Open Sans" w:hAnsi="Open Sans" w:cs="Open Sans"/>
          <w:color w:val="000000"/>
          <w:sz w:val="22"/>
          <w:szCs w:val="22"/>
        </w:rPr>
        <w:t xml:space="preserve">Madrid y Cataluña el descenso de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la </w:t>
      </w:r>
      <w:r w:rsidRPr="00E8496A">
        <w:rPr>
          <w:rFonts w:ascii="Open Sans" w:eastAsia="Open Sans" w:hAnsi="Open Sans" w:cs="Open Sans"/>
          <w:color w:val="000000"/>
          <w:sz w:val="22"/>
          <w:szCs w:val="22"/>
        </w:rPr>
        <w:t xml:space="preserve">actividad, con respecto a 2021, es evidente,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mientras que </w:t>
      </w:r>
      <w:r w:rsidRPr="00E8496A">
        <w:rPr>
          <w:rFonts w:ascii="Open Sans" w:eastAsia="Open Sans" w:hAnsi="Open Sans" w:cs="Open Sans"/>
          <w:color w:val="000000"/>
          <w:sz w:val="22"/>
          <w:szCs w:val="22"/>
        </w:rPr>
        <w:t>en la Comunidad Valenciana hay una mayor estabilidad y en Andalucía, incluso</w:t>
      </w:r>
      <w:r>
        <w:rPr>
          <w:rFonts w:ascii="Open Sans" w:eastAsia="Open Sans" w:hAnsi="Open Sans" w:cs="Open Sans"/>
          <w:color w:val="000000"/>
          <w:sz w:val="22"/>
          <w:szCs w:val="22"/>
        </w:rPr>
        <w:t>,</w:t>
      </w:r>
      <w:r w:rsidRPr="00E8496A">
        <w:rPr>
          <w:rFonts w:ascii="Open Sans" w:eastAsia="Open Sans" w:hAnsi="Open Sans" w:cs="Open Sans"/>
          <w:color w:val="000000"/>
          <w:sz w:val="22"/>
          <w:szCs w:val="22"/>
        </w:rPr>
        <w:t xml:space="preserve"> se mantiene al alza</w:t>
      </w:r>
    </w:p>
    <w:p w14:paraId="03BDEE75" w14:textId="380036D3" w:rsidR="00825C1E" w:rsidRPr="00AF3923" w:rsidRDefault="00AF3923" w:rsidP="00825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b/>
          <w:bCs/>
          <w:color w:val="000000"/>
          <w:sz w:val="22"/>
          <w:szCs w:val="22"/>
        </w:rPr>
      </w:pPr>
      <w:hyperlink r:id="rId8" w:history="1">
        <w:r w:rsidR="00B36EA2" w:rsidRPr="00AF3923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 xml:space="preserve">Aquí se puede ver un vídeo </w:t>
        </w:r>
        <w:r w:rsidRPr="00AF3923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 xml:space="preserve">con la </w:t>
        </w:r>
        <w:r w:rsidR="00B36EA2" w:rsidRPr="00AF3923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>valoración de la directora de Estudios</w:t>
        </w:r>
      </w:hyperlink>
      <w:r w:rsidR="00B36EA2" w:rsidRPr="00AF3923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</w:p>
    <w:p w14:paraId="5E9FD371" w14:textId="77777777" w:rsidR="001326ED" w:rsidRDefault="001326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47F8638" w14:textId="5C37742D" w:rsidR="001326ED" w:rsidRDefault="00AF4D83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05389E">
        <w:rPr>
          <w:rFonts w:ascii="Open Sans Light" w:eastAsia="Open Sans Light" w:hAnsi="Open Sans Light" w:cs="Open Sans Light"/>
          <w:b/>
          <w:color w:val="303AB2"/>
        </w:rPr>
        <w:t>3 de octubre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2022</w:t>
      </w:r>
    </w:p>
    <w:p w14:paraId="1B4CE8F7" w14:textId="77777777" w:rsidR="001326ED" w:rsidRDefault="001326E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73D0A0" w14:textId="5449049B" w:rsidR="00443E47" w:rsidRDefault="00443E47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443E47">
        <w:rPr>
          <w:rFonts w:ascii="Open Sans" w:eastAsia="Open Sans" w:hAnsi="Open Sans" w:cs="Open Sans"/>
          <w:color w:val="000000"/>
          <w:sz w:val="22"/>
          <w:szCs w:val="22"/>
        </w:rPr>
        <w:t>Un 32% de particulares mayores de 18 años ha participado en el mercado de la vivienda en los últimos doce meses.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43E47">
        <w:rPr>
          <w:rFonts w:ascii="Open Sans" w:eastAsia="Open Sans" w:hAnsi="Open Sans" w:cs="Open Sans"/>
          <w:color w:val="000000"/>
          <w:sz w:val="22"/>
          <w:szCs w:val="22"/>
        </w:rPr>
        <w:t>Un dato que muestra cómo el mercado, tras la irrupción de</w:t>
      </w:r>
      <w:r w:rsidR="00E35F28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43E47">
        <w:rPr>
          <w:rFonts w:ascii="Open Sans" w:eastAsia="Open Sans" w:hAnsi="Open Sans" w:cs="Open Sans"/>
          <w:color w:val="000000"/>
          <w:sz w:val="22"/>
          <w:szCs w:val="22"/>
        </w:rPr>
        <w:t>la covid-19, se ha estabilizado en unos niveles altos. Incluso,</w:t>
      </w:r>
      <w:r w:rsidR="00CA3C7C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43E47">
        <w:rPr>
          <w:rFonts w:ascii="Open Sans" w:eastAsia="Open Sans" w:hAnsi="Open Sans" w:cs="Open Sans"/>
          <w:color w:val="000000"/>
          <w:sz w:val="22"/>
          <w:szCs w:val="22"/>
        </w:rPr>
        <w:t xml:space="preserve">con respecto a hace seis meses, </w:t>
      </w:r>
      <w:r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el mercado ha vivido un ligero repunte pasando de un 31% a un 32% de participación</w:t>
      </w:r>
      <w:r w:rsidRPr="00443E47">
        <w:rPr>
          <w:rFonts w:ascii="Open Sans" w:eastAsia="Open Sans" w:hAnsi="Open Sans" w:cs="Open Sans"/>
          <w:color w:val="000000"/>
          <w:sz w:val="22"/>
          <w:szCs w:val="22"/>
        </w:rPr>
        <w:t>.</w:t>
      </w:r>
      <w:r w:rsidR="00CA3C7C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43E47">
        <w:rPr>
          <w:rFonts w:ascii="Open Sans" w:eastAsia="Open Sans" w:hAnsi="Open Sans" w:cs="Open Sans"/>
          <w:color w:val="000000"/>
          <w:sz w:val="22"/>
          <w:szCs w:val="22"/>
        </w:rPr>
        <w:t>Un movimiento que se explica por una tendencia que se observa habitualmente en</w:t>
      </w:r>
      <w:r w:rsidR="00CA3C7C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43E47">
        <w:rPr>
          <w:rFonts w:ascii="Open Sans" w:eastAsia="Open Sans" w:hAnsi="Open Sans" w:cs="Open Sans"/>
          <w:color w:val="000000"/>
          <w:sz w:val="22"/>
          <w:szCs w:val="22"/>
        </w:rPr>
        <w:t>el mercado: los registros de participación realizados por</w:t>
      </w:r>
      <w:r w:rsidR="00CA3C7C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hyperlink r:id="rId9" w:history="1">
        <w:r w:rsidRPr="004265CA">
          <w:rPr>
            <w:rStyle w:val="Hipervnculo"/>
            <w:rFonts w:ascii="Open Sans" w:eastAsia="Open Sans" w:hAnsi="Open Sans" w:cs="Open Sans"/>
            <w:sz w:val="22"/>
            <w:szCs w:val="22"/>
          </w:rPr>
          <w:t xml:space="preserve">Fotocasa </w:t>
        </w:r>
        <w:proofErr w:type="spellStart"/>
        <w:r w:rsidRPr="004265CA">
          <w:rPr>
            <w:rStyle w:val="Hipervnculo"/>
            <w:rFonts w:ascii="Open Sans" w:eastAsia="Open Sans" w:hAnsi="Open Sans" w:cs="Open Sans"/>
            <w:sz w:val="22"/>
            <w:szCs w:val="22"/>
          </w:rPr>
          <w:t>Research</w:t>
        </w:r>
        <w:proofErr w:type="spellEnd"/>
      </w:hyperlink>
      <w:r w:rsidRPr="00443E47">
        <w:rPr>
          <w:rFonts w:ascii="Open Sans" w:eastAsia="Open Sans" w:hAnsi="Open Sans" w:cs="Open Sans"/>
          <w:color w:val="000000"/>
          <w:sz w:val="22"/>
          <w:szCs w:val="22"/>
        </w:rPr>
        <w:t xml:space="preserve"> en los meses de agosto suelen reflejar un mayor nivel de actividad que los de febrero.</w:t>
      </w:r>
      <w:r w:rsidR="004265CA">
        <w:rPr>
          <w:rFonts w:ascii="Open Sans" w:eastAsia="Open Sans" w:hAnsi="Open Sans" w:cs="Open Sans"/>
          <w:color w:val="000000"/>
          <w:sz w:val="22"/>
          <w:szCs w:val="22"/>
        </w:rPr>
        <w:t xml:space="preserve"> Esta es una de las principales conclusiones del informe “</w:t>
      </w:r>
      <w:r w:rsidR="004265CA" w:rsidRPr="004265CA">
        <w:rPr>
          <w:rFonts w:ascii="Open Sans" w:eastAsia="Open Sans" w:hAnsi="Open Sans" w:cs="Open Sans"/>
          <w:b/>
          <w:bCs/>
          <w:i/>
          <w:iCs/>
          <w:color w:val="000000"/>
          <w:sz w:val="22"/>
          <w:szCs w:val="22"/>
        </w:rPr>
        <w:t>Radiografía del mercado de la vivienda en el segundo semestre de 2022</w:t>
      </w:r>
      <w:r w:rsidR="004265CA">
        <w:rPr>
          <w:rFonts w:ascii="Open Sans" w:eastAsia="Open Sans" w:hAnsi="Open Sans" w:cs="Open Sans"/>
          <w:color w:val="000000"/>
          <w:sz w:val="22"/>
          <w:szCs w:val="22"/>
        </w:rPr>
        <w:t xml:space="preserve">”, realizado por el portal inmobiliario </w:t>
      </w:r>
      <w:hyperlink r:id="rId10" w:history="1">
        <w:r w:rsidR="004265CA" w:rsidRPr="004265CA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 w:rsidR="004265CA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CE941A1" w14:textId="6B876E90" w:rsidR="00825C1E" w:rsidRDefault="00825C1E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A9898A" w14:textId="140E5D76" w:rsidR="00825C1E" w:rsidRDefault="00825C1E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2421AE" w14:textId="42247AD9" w:rsidR="00825C1E" w:rsidRDefault="00825C1E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C89B578" wp14:editId="29512504">
            <wp:extent cx="5815513" cy="2712720"/>
            <wp:effectExtent l="0" t="0" r="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7752" cy="271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675AD" w14:textId="77777777" w:rsidR="00CA3C7C" w:rsidRPr="00443E47" w:rsidRDefault="00CA3C7C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EC5058A" w14:textId="67F6E42A" w:rsidR="0005389E" w:rsidRDefault="00443E47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443E47">
        <w:rPr>
          <w:rFonts w:ascii="Open Sans" w:eastAsia="Open Sans" w:hAnsi="Open Sans" w:cs="Open Sans"/>
          <w:color w:val="000000"/>
          <w:sz w:val="22"/>
          <w:szCs w:val="22"/>
        </w:rPr>
        <w:t>Siguiendo con los datos de participación en el mercado de la vivienda, hay algunos cambios significativos en</w:t>
      </w:r>
      <w:r w:rsidR="00CA3C7C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43E47">
        <w:rPr>
          <w:rFonts w:ascii="Open Sans" w:eastAsia="Open Sans" w:hAnsi="Open Sans" w:cs="Open Sans"/>
          <w:color w:val="000000"/>
          <w:sz w:val="22"/>
          <w:szCs w:val="22"/>
        </w:rPr>
        <w:t>comparación con hace seis meses. Por lo que se refiere</w:t>
      </w:r>
      <w:r w:rsidR="004265CA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43E47">
        <w:rPr>
          <w:rFonts w:ascii="Open Sans" w:eastAsia="Open Sans" w:hAnsi="Open Sans" w:cs="Open Sans"/>
          <w:color w:val="000000"/>
          <w:sz w:val="22"/>
          <w:szCs w:val="22"/>
        </w:rPr>
        <w:t xml:space="preserve">a </w:t>
      </w:r>
      <w:r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la compraventa, la actividad se ha ralentizado: frente</w:t>
      </w:r>
      <w:r w:rsidR="004265CA"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al 19% de particulares que estaban realizando acciones en este mercado de oferta o demanda en febrero,</w:t>
      </w:r>
      <w:r w:rsidR="004265CA"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ahora son el 17%.</w:t>
      </w:r>
    </w:p>
    <w:p w14:paraId="1322839B" w14:textId="277D04C3" w:rsidR="00443E47" w:rsidRDefault="00443E47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2C6D35" w14:textId="5D737767" w:rsidR="004265CA" w:rsidRDefault="004265CA" w:rsidP="004265C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4265CA">
        <w:rPr>
          <w:rFonts w:ascii="Open Sans" w:eastAsia="Open Sans" w:hAnsi="Open Sans" w:cs="Open Sans"/>
          <w:color w:val="000000"/>
          <w:sz w:val="22"/>
          <w:szCs w:val="22"/>
        </w:rPr>
        <w:t xml:space="preserve">Un descenso que llega fundamentalmente por </w:t>
      </w:r>
      <w:r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la caída</w:t>
      </w:r>
      <w:r w:rsidR="00D41760"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de los particulares que han buscado una vivienda para</w:t>
      </w:r>
      <w:r w:rsidR="00D41760"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comprar y no lo han conseguido todavía</w:t>
      </w:r>
      <w:r w:rsidRPr="004265CA">
        <w:rPr>
          <w:rFonts w:ascii="Open Sans" w:eastAsia="Open Sans" w:hAnsi="Open Sans" w:cs="Open Sans"/>
          <w:color w:val="000000"/>
          <w:sz w:val="22"/>
          <w:szCs w:val="22"/>
        </w:rPr>
        <w:t>: son el 11% y</w:t>
      </w:r>
      <w:r w:rsidR="00D4176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265CA">
        <w:rPr>
          <w:rFonts w:ascii="Open Sans" w:eastAsia="Open Sans" w:hAnsi="Open Sans" w:cs="Open Sans"/>
          <w:color w:val="000000"/>
          <w:sz w:val="22"/>
          <w:szCs w:val="22"/>
        </w:rPr>
        <w:t>en febrero eran el 13%.</w:t>
      </w:r>
      <w:r w:rsidR="003E61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265CA">
        <w:rPr>
          <w:rFonts w:ascii="Open Sans" w:eastAsia="Open Sans" w:hAnsi="Open Sans" w:cs="Open Sans"/>
          <w:color w:val="000000"/>
          <w:sz w:val="22"/>
          <w:szCs w:val="22"/>
        </w:rPr>
        <w:t>Pese la bajada de la participación, el mercado de la</w:t>
      </w:r>
      <w:r w:rsidR="00D4176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265CA">
        <w:rPr>
          <w:rFonts w:ascii="Open Sans" w:eastAsia="Open Sans" w:hAnsi="Open Sans" w:cs="Open Sans"/>
          <w:color w:val="000000"/>
          <w:sz w:val="22"/>
          <w:szCs w:val="22"/>
        </w:rPr>
        <w:t>compraventa nos deja una buena noticia: repuntan las</w:t>
      </w:r>
      <w:r w:rsidR="00D4176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265CA">
        <w:rPr>
          <w:rFonts w:ascii="Open Sans" w:eastAsia="Open Sans" w:hAnsi="Open Sans" w:cs="Open Sans"/>
          <w:color w:val="000000"/>
          <w:sz w:val="22"/>
          <w:szCs w:val="22"/>
        </w:rPr>
        <w:t>compras efectivas. Es decir, en comparación con hace</w:t>
      </w:r>
      <w:r w:rsidR="00D4176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265CA">
        <w:rPr>
          <w:rFonts w:ascii="Open Sans" w:eastAsia="Open Sans" w:hAnsi="Open Sans" w:cs="Open Sans"/>
          <w:color w:val="000000"/>
          <w:sz w:val="22"/>
          <w:szCs w:val="22"/>
        </w:rPr>
        <w:t>seis meses,</w:t>
      </w:r>
      <w:r w:rsidR="00D4176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265CA">
        <w:rPr>
          <w:rFonts w:ascii="Open Sans" w:eastAsia="Open Sans" w:hAnsi="Open Sans" w:cs="Open Sans"/>
          <w:color w:val="000000"/>
          <w:sz w:val="22"/>
          <w:szCs w:val="22"/>
        </w:rPr>
        <w:t>ahora son más los compradores que han intentado adquirir una vivienda y lo han</w:t>
      </w:r>
      <w:r w:rsidR="00D4176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265CA">
        <w:rPr>
          <w:rFonts w:ascii="Open Sans" w:eastAsia="Open Sans" w:hAnsi="Open Sans" w:cs="Open Sans"/>
          <w:color w:val="000000"/>
          <w:sz w:val="22"/>
          <w:szCs w:val="22"/>
        </w:rPr>
        <w:t>conseguido.</w:t>
      </w:r>
    </w:p>
    <w:p w14:paraId="0C860A0E" w14:textId="64CDB394" w:rsidR="00443E47" w:rsidRDefault="00443E47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2A8C89" w14:textId="44D93172" w:rsidR="003E6151" w:rsidRPr="003E6151" w:rsidRDefault="003E6151" w:rsidP="003E61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65D2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En el lado del alquiler la participación ha incrementado de manera estadísticamente significativa</w:t>
      </w:r>
      <w:r w:rsidRPr="003E6151">
        <w:rPr>
          <w:rFonts w:ascii="Open Sans" w:eastAsia="Open Sans" w:hAnsi="Open Sans" w:cs="Open Sans"/>
          <w:color w:val="000000"/>
          <w:sz w:val="22"/>
          <w:szCs w:val="22"/>
        </w:rPr>
        <w:t>: un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E6151">
        <w:rPr>
          <w:rFonts w:ascii="Open Sans" w:eastAsia="Open Sans" w:hAnsi="Open Sans" w:cs="Open Sans"/>
          <w:color w:val="000000"/>
          <w:sz w:val="22"/>
          <w:szCs w:val="22"/>
        </w:rPr>
        <w:t>18% de los particulares mayores de 18 años ha participado en este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E6151">
        <w:rPr>
          <w:rFonts w:ascii="Open Sans" w:eastAsia="Open Sans" w:hAnsi="Open Sans" w:cs="Open Sans"/>
          <w:color w:val="000000"/>
          <w:sz w:val="22"/>
          <w:szCs w:val="22"/>
        </w:rPr>
        <w:t>mercado en los últimos doce meses. En febrero eran un 16%.</w:t>
      </w:r>
    </w:p>
    <w:p w14:paraId="43872389" w14:textId="77777777" w:rsidR="003E6151" w:rsidRDefault="003E6151" w:rsidP="003E61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3BAEE8" w14:textId="0C58DEB5" w:rsidR="003E6151" w:rsidRDefault="003E6151" w:rsidP="003E61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3E6151">
        <w:rPr>
          <w:rFonts w:ascii="Open Sans" w:eastAsia="Open Sans" w:hAnsi="Open Sans" w:cs="Open Sans"/>
          <w:color w:val="000000"/>
          <w:sz w:val="22"/>
          <w:szCs w:val="22"/>
        </w:rPr>
        <w:t>Además, en el caso del arrendamiento también crecen los demandantes efectivos. Es decir, en comparación con hace seis meses, son más los que buscan una vivienda de alquiler y la encuentran. Frente 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E6151">
        <w:rPr>
          <w:rFonts w:ascii="Open Sans" w:eastAsia="Open Sans" w:hAnsi="Open Sans" w:cs="Open Sans"/>
          <w:color w:val="000000"/>
          <w:sz w:val="22"/>
          <w:szCs w:val="22"/>
        </w:rPr>
        <w:t>6% de febrero, ahora son un 8%.</w:t>
      </w:r>
    </w:p>
    <w:p w14:paraId="117F8994" w14:textId="48646E5D" w:rsidR="003E6151" w:rsidRDefault="003E6151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EAD0DB" w14:textId="6CD90074" w:rsidR="003E6151" w:rsidRDefault="003E6151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BF35B4C" wp14:editId="633D24FA">
            <wp:extent cx="5745480" cy="3156701"/>
            <wp:effectExtent l="0" t="0" r="7620" b="5715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7824" cy="315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78AFA" w14:textId="77777777" w:rsidR="009414E0" w:rsidRDefault="009414E0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19B654B" w14:textId="5EF6412E" w:rsidR="00443E47" w:rsidRPr="009414E0" w:rsidRDefault="009414E0" w:rsidP="00443E4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 w:rsidRPr="009414E0">
        <w:rPr>
          <w:rFonts w:ascii="Open Sans Light" w:eastAsia="Open Sans Light" w:hAnsi="Open Sans Light" w:cs="Open Sans Light"/>
          <w:b/>
          <w:color w:val="303AB2"/>
        </w:rPr>
        <w:t>¿Cómo se distribuye la demanda de vivienda entre alquiler y compra?</w:t>
      </w:r>
    </w:p>
    <w:p w14:paraId="3E56C09E" w14:textId="0103BDA1" w:rsidR="009414E0" w:rsidRDefault="009414E0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5FD213" w14:textId="20EE7D54" w:rsidR="009414E0" w:rsidRPr="009414E0" w:rsidRDefault="009414E0" w:rsidP="009414E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R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esulta muy interesante analizar la evolución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de la demanda de manera independiente.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 xml:space="preserve">Así, </w:t>
      </w:r>
      <w:r w:rsidRPr="00A66693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si solo se</w:t>
      </w:r>
      <w:r w:rsidR="00CD6A51" w:rsidRPr="00A66693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A66693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tiene en cuenta al conjunto de demandantes, lo que se</w:t>
      </w:r>
      <w:r w:rsidR="00CD6A51" w:rsidRPr="00A66693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A66693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observa es que un 46% se ha relacionado exclusivamente con el alquiler y un 44% con la compra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. Estas cifras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suponen un cambio drástico con respecto a hace seis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meses y hace desaparecer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prácticamente por completo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la brecha entre la demanda de compra y de alquiler.</w:t>
      </w:r>
    </w:p>
    <w:p w14:paraId="69BAF2A7" w14:textId="77777777" w:rsidR="00CD6A51" w:rsidRDefault="00CD6A51" w:rsidP="009414E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515CA26" w14:textId="234C276B" w:rsidR="009414E0" w:rsidRPr="009414E0" w:rsidRDefault="009414E0" w:rsidP="009414E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Si hace seis meses doce puntos porcentuales separaban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a ambos grupos, ahora esa diferencia es de tan solo dos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puntos porcentuales. Esto se debe a que, por un lado, los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demandantes de vivienda de alquiler —sobre el conjunto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total de demandantes de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 xml:space="preserve">vivienda— </w:t>
      </w:r>
      <w:r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ha pasado del 38%</w:t>
      </w:r>
      <w:r w:rsidR="00CD6A51"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en febrero al 46% de agosto y, por otro lado, a que los</w:t>
      </w:r>
      <w:r w:rsidR="00CD6A51"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demandantes de casa en propiedad han caído hasta el 44%</w:t>
      </w:r>
      <w:r w:rsidR="00CD6A51"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(frente al 50% de febrero)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41E2892D" w14:textId="77777777" w:rsidR="00CD6A51" w:rsidRDefault="00CD6A51" w:rsidP="009414E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78E68E3" w14:textId="7524854E" w:rsidR="009414E0" w:rsidRDefault="009414E0" w:rsidP="009414E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Y, además de estos dos grandes grupos, queda un tercer segmento que, no por ser más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 xml:space="preserve">pequeño, es menos relevante. Se trata de aquellos </w:t>
      </w:r>
      <w:r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demandantes que buscan</w:t>
      </w:r>
      <w:r w:rsidR="00CD6A51"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073267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tanto viviendas de alquiler como de compra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. Es un segmento que tiende a permanecer estable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a lo largo del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tiempo y con variaciones muy moderadas. Por ejemplo,</w:t>
      </w:r>
      <w:r w:rsidR="00CD6A51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9414E0">
        <w:rPr>
          <w:rFonts w:ascii="Open Sans" w:eastAsia="Open Sans" w:hAnsi="Open Sans" w:cs="Open Sans"/>
          <w:color w:val="000000"/>
          <w:sz w:val="22"/>
          <w:szCs w:val="22"/>
        </w:rPr>
        <w:t>en agosto se ha situado en un 10% y hace seis meses estaba en un 12%.</w:t>
      </w:r>
    </w:p>
    <w:p w14:paraId="151AFCD2" w14:textId="45DE5685" w:rsidR="00AF3923" w:rsidRDefault="00AF3923" w:rsidP="009414E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DAA161D" wp14:editId="79CD011D">
            <wp:extent cx="5914045" cy="3093720"/>
            <wp:effectExtent l="0" t="0" r="0" b="0"/>
            <wp:docPr id="4" name="Imagen 4" descr="Interfaz de usuario gráfica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&#10;&#10;Descripción generada automáticam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38" cy="30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951E" w14:textId="1E630E65" w:rsidR="00AF3923" w:rsidRDefault="00AF3923" w:rsidP="009414E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2BEB6B" w14:textId="77777777" w:rsidR="00AF3923" w:rsidRDefault="00AF3923" w:rsidP="009414E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A0CC7F" w14:textId="21F4C86D" w:rsidR="00443E47" w:rsidRDefault="00CD6A51" w:rsidP="00AF3923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6B9D471" wp14:editId="4E36A936">
            <wp:extent cx="5859780" cy="3591856"/>
            <wp:effectExtent l="0" t="0" r="7620" b="889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7040" cy="359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CEF2A" w14:textId="43AFFA32" w:rsidR="00443E47" w:rsidRDefault="00443E47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1E2522" w14:textId="3E8C075C" w:rsidR="00443E47" w:rsidRDefault="00443E47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03305D" w14:textId="04F34097" w:rsidR="00AF3923" w:rsidRDefault="00AF3923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0196BC" w14:textId="77777777" w:rsidR="00AF3923" w:rsidRDefault="00AF3923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6461C5" w14:textId="5D3D6EFC" w:rsidR="00443E47" w:rsidRPr="00CD6A51" w:rsidRDefault="00CD6A51" w:rsidP="00CD6A51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 w:rsidRPr="00CD6A51">
        <w:rPr>
          <w:rFonts w:ascii="Open Sans Light" w:eastAsia="Open Sans Light" w:hAnsi="Open Sans Light" w:cs="Open Sans Light"/>
          <w:b/>
          <w:color w:val="303AB2"/>
        </w:rPr>
        <w:lastRenderedPageBreak/>
        <w:t>Compraventa: continúa el desequilibrio entre la oferta y la demanda</w:t>
      </w:r>
    </w:p>
    <w:p w14:paraId="26A45188" w14:textId="64447E66" w:rsidR="00443E47" w:rsidRDefault="00443E47" w:rsidP="00443E4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51349EC7" w14:textId="6353FE29" w:rsidR="00CD6A51" w:rsidRPr="00CD6A51" w:rsidRDefault="00CD6A51" w:rsidP="00CD6A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CD6A51">
        <w:rPr>
          <w:rFonts w:ascii="Open Sans" w:eastAsia="Open Sans" w:hAnsi="Open Sans" w:cs="Open Sans"/>
          <w:color w:val="000000"/>
          <w:sz w:val="22"/>
          <w:szCs w:val="22"/>
        </w:rPr>
        <w:t xml:space="preserve">Otra de las claves del mercado de la vivienda pasa por </w:t>
      </w:r>
      <w:r w:rsidRPr="00A30F2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la diferencia que existe entre la gran cantidad de particulares que pretenden comprar vivienda y el escaso porcentaje de personas que venden algún inmueble del que son propietarios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. En este sentido, si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consideramos únicamente a quienes realizan acciones de compraventa,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la distribución es de un 77% de compradores —o aspirantes a serlo— y un 15% de vendedores.</w:t>
      </w:r>
    </w:p>
    <w:p w14:paraId="48354430" w14:textId="77777777" w:rsidR="00CD6A51" w:rsidRDefault="00CD6A51" w:rsidP="00CD6A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B1EA52" w14:textId="28F1AFE5" w:rsidR="00CD6A51" w:rsidRPr="00A30F2D" w:rsidRDefault="00CD6A51" w:rsidP="00CD6A51">
      <w:pPr>
        <w:spacing w:line="276" w:lineRule="auto"/>
        <w:ind w:right="-574"/>
        <w:jc w:val="both"/>
        <w:rPr>
          <w:rFonts w:ascii="Open Sans" w:eastAsia="Open Sans" w:hAnsi="Open Sans" w:cs="Open Sans"/>
          <w:b/>
          <w:bCs/>
          <w:color w:val="000000"/>
          <w:sz w:val="22"/>
          <w:szCs w:val="22"/>
        </w:rPr>
      </w:pP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Este reparto es prácticamente idéntico al de febrero, cuando eran un 16 % los vendedores y un 77% los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compradores. Pero, si echamos la vista un poco más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atrás, a agosto de 2021, el salto es algo mayor. En ese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momento la cifra de ofertantes llegó a ser del 20% y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la de demandantes del 74%.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Pero, al margen de estos dos grupos, hay un pequeño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bloque de particulares que en el último año ha realizado acciones en los dos sentidos, en el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>compra y en el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CD6A51">
        <w:rPr>
          <w:rFonts w:ascii="Open Sans" w:eastAsia="Open Sans" w:hAnsi="Open Sans" w:cs="Open Sans"/>
          <w:color w:val="000000"/>
          <w:sz w:val="22"/>
          <w:szCs w:val="22"/>
        </w:rPr>
        <w:t xml:space="preserve">de venta. </w:t>
      </w:r>
      <w:r w:rsidRPr="00A30F2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En total son un 8% de los que participan en el mercado de compraventa (7% en febrero).</w:t>
      </w:r>
    </w:p>
    <w:p w14:paraId="5AF5AD52" w14:textId="1E07076C" w:rsidR="00CD6A51" w:rsidRPr="00A30F2D" w:rsidRDefault="00CD6A51" w:rsidP="00CD6A51">
      <w:pPr>
        <w:spacing w:line="276" w:lineRule="auto"/>
        <w:ind w:right="-574"/>
        <w:jc w:val="both"/>
        <w:rPr>
          <w:rFonts w:ascii="Open Sans" w:eastAsia="Open Sans" w:hAnsi="Open Sans" w:cs="Open Sans"/>
          <w:b/>
          <w:bCs/>
          <w:color w:val="000000"/>
          <w:sz w:val="22"/>
          <w:szCs w:val="22"/>
        </w:rPr>
      </w:pPr>
    </w:p>
    <w:p w14:paraId="0EB46B8A" w14:textId="3A8E548A" w:rsidR="00CD6A51" w:rsidRDefault="00CD6A51" w:rsidP="00CD6A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4DB496" w14:textId="38741BE3" w:rsidR="00CD6A51" w:rsidRPr="00CD6A51" w:rsidRDefault="002B1B5B" w:rsidP="00CD6A5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95EB5D8" wp14:editId="6C06578F">
            <wp:extent cx="5890260" cy="3328434"/>
            <wp:effectExtent l="0" t="0" r="0" b="5715"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8672" cy="333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6284D" w14:textId="6AE5067C" w:rsidR="00443E47" w:rsidRDefault="00443E47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9FF46" w14:textId="77777777" w:rsidR="00AF3923" w:rsidRDefault="00AF3923" w:rsidP="00443E4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510B31A1" w14:textId="77777777" w:rsidR="00AF3923" w:rsidRDefault="00AF3923" w:rsidP="00443E4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6F36AE44" w14:textId="00C2ED03" w:rsidR="00443E47" w:rsidRPr="003B2B9C" w:rsidRDefault="00E8496A" w:rsidP="00443E4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Análisis de Madrid, Cataluña, Andalucía y Comunidad Valenciana</w:t>
      </w:r>
    </w:p>
    <w:p w14:paraId="2E3F0F43" w14:textId="77777777" w:rsidR="003B2B9C" w:rsidRDefault="003B2B9C" w:rsidP="00443E4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F227D9" w14:textId="77777777" w:rsidR="00E8496A" w:rsidRDefault="003B2B9C" w:rsidP="003B2B9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Si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a nivel nacional la actividad se ha incrementado ligeramente con respecto a los datos de febrero, es lógico que también haya crecido en todas las comunidades autónomas analizadas.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 xml:space="preserve">Pero si nos remontamos a hace un año, las diferencias territoriales se acentúan. Mientras que en </w:t>
      </w:r>
      <w:r w:rsidRPr="00E8496A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Madrid y Cataluña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E8496A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el descenso de actividad, con respecto a 2021, es evidente, en la Comunidad Valenciana hay una mayor estabilidad y en Andalucía, incluso, todavía se mantiene al alza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. Esta última, Andalucía, registra un 34% de personas mayores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18 años que han realizado alguna acción en el mercado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la vivienda en el último año. Es un porcentaje que permite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a esta comunidad autónoma mantener la línea ascendente que define su actividad inmobiliaria desde que, en agosto de 2020, tras el impacto del confinamiento estricto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 xml:space="preserve">aquella primavera, marcó su nivel más bajo (29 %). Desde entonces encadena cuatro oleadas consecutivas de subidas. </w:t>
      </w:r>
    </w:p>
    <w:p w14:paraId="7D8F90FF" w14:textId="77777777" w:rsidR="00E8496A" w:rsidRDefault="00E8496A" w:rsidP="003B2B9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B928AF" w14:textId="36DA230C" w:rsidR="00443E47" w:rsidRDefault="003B2B9C" w:rsidP="003B2B9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30F2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La Comunidad Valenciana también registra un 34%</w:t>
      </w:r>
      <w:r w:rsidR="00E8496A" w:rsidRPr="00A30F2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 </w:t>
      </w:r>
      <w:r w:rsidRPr="00A30F2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de participación de particulares en el mercado de la vivienda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, un porcentaje idéntico al de hace un año y muy similar</w:t>
      </w:r>
      <w:r w:rsidR="00E8496A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al de febrero de 2020, antes de la irrupción la covid-19 en</w:t>
      </w:r>
      <w:r w:rsidR="00E8496A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nuestras vidas. En cuanto a Madrid y Cataluña puede decirse prácticamente lo mismo de ambas comunidades autónomas: que el impacto de la pandemia fue más ligero y</w:t>
      </w:r>
      <w:r w:rsidR="00E8496A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la participación de particulares en el</w:t>
      </w:r>
      <w:r w:rsidR="00E8496A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mercado de la vivienda se reanudó con ímpetu para marcar máximos hace justo un año:</w:t>
      </w:r>
      <w:r w:rsidR="00E8496A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entonces había un 36 % de personas mayores de</w:t>
      </w:r>
      <w:r w:rsidR="00E8496A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18 años activas en el mercado en ambos territorios. Ahora,</w:t>
      </w:r>
      <w:r w:rsidR="00E8496A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ese porcentaje se ha reducido en cuatro puntos en Madrid</w:t>
      </w:r>
      <w:r w:rsidR="00E8496A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3B2B9C">
        <w:rPr>
          <w:rFonts w:ascii="Open Sans" w:eastAsia="Open Sans" w:hAnsi="Open Sans" w:cs="Open Sans"/>
          <w:color w:val="000000"/>
          <w:sz w:val="22"/>
          <w:szCs w:val="22"/>
        </w:rPr>
        <w:t>(32%) y en seis puntos en Cataluña (30%).</w:t>
      </w:r>
    </w:p>
    <w:p w14:paraId="697F5182" w14:textId="77777777" w:rsidR="00AF3923" w:rsidRDefault="00AF3923" w:rsidP="003B2B9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1A19D1" w14:textId="5A5D470F" w:rsidR="00AF3923" w:rsidRPr="00AF3923" w:rsidRDefault="00AF3923" w:rsidP="003B2B9C">
      <w:pPr>
        <w:spacing w:line="276" w:lineRule="auto"/>
        <w:ind w:right="-574"/>
        <w:jc w:val="both"/>
        <w:rPr>
          <w:rFonts w:ascii="Open Sans" w:eastAsia="Open Sans" w:hAnsi="Open Sans" w:cs="Open Sans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77BE603" wp14:editId="658B94D9">
            <wp:extent cx="5396230" cy="2783205"/>
            <wp:effectExtent l="0" t="0" r="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9921A" w14:textId="790E00D4" w:rsidR="00E8496A" w:rsidRDefault="00E8496A" w:rsidP="00E8496A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 w:rsidRPr="00E8496A">
        <w:rPr>
          <w:rFonts w:ascii="Open Sans Light" w:eastAsia="Open Sans Light" w:hAnsi="Open Sans Light" w:cs="Open Sans Light"/>
          <w:b/>
          <w:color w:val="303AB2"/>
        </w:rPr>
        <w:lastRenderedPageBreak/>
        <w:t>Andalucía y Comunidad Valenciana,</w:t>
      </w:r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r w:rsidRPr="00E8496A">
        <w:rPr>
          <w:rFonts w:ascii="Open Sans Light" w:eastAsia="Open Sans Light" w:hAnsi="Open Sans Light" w:cs="Open Sans Light"/>
          <w:b/>
          <w:color w:val="303AB2"/>
        </w:rPr>
        <w:t>protagonistas en el alquiler</w:t>
      </w:r>
    </w:p>
    <w:p w14:paraId="2942AEE4" w14:textId="06C1F7FA" w:rsidR="00E8496A" w:rsidRDefault="00E8496A" w:rsidP="00E8496A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5A52DF27" w14:textId="14D66B97" w:rsidR="00DF26A7" w:rsidRPr="00DF26A7" w:rsidRDefault="00DF26A7" w:rsidP="00DF26A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El incremento en el mercado del alquiler tiene también su lectura en clave territorial.</w:t>
      </w:r>
      <w:r w:rsidR="00A30F2D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 xml:space="preserve">Así, los mayores porcentajes de particulares que </w:t>
      </w:r>
      <w:r w:rsidRPr="00A30F2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en el último año hayan participado en el mercado de arrendamiento los obtienen Andalucía (21%) y Comunidad Valenciana (19%)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, en niveles similares o incluso superiores a los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un año antes (agosto de 2021), por tomar como referencia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una oleada estival equiparable para evitar distorsiones.</w:t>
      </w:r>
    </w:p>
    <w:p w14:paraId="4EAC967E" w14:textId="4E16338B" w:rsidR="00DF26A7" w:rsidRDefault="00DF26A7" w:rsidP="00DF26A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C4382F" w14:textId="00EA2F24" w:rsidR="00DF26A7" w:rsidRDefault="00DF26A7" w:rsidP="00DF26A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DF26A7">
        <w:rPr>
          <w:rFonts w:ascii="Open Sans" w:eastAsia="Open Sans" w:hAnsi="Open Sans" w:cs="Open Sans"/>
          <w:color w:val="000000"/>
          <w:sz w:val="22"/>
          <w:szCs w:val="22"/>
        </w:rPr>
        <w:t xml:space="preserve">Sin embargo, </w:t>
      </w:r>
      <w:r w:rsidRPr="00A30F2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en Madrid y Cataluña la variación interanual es indudablemente a la baja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En Madrid se ha pasado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un 21% de participación en el arrendamiento en agosto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2021 a un 18% en agosto de 2022; en Cataluña la caída es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aún más acusada: hay 7 puntos porcentuales de diferencia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entre el 23% de hace un año y el 16% actual.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Finalmente,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conviene destacar especialmente el 11%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DF26A7">
        <w:rPr>
          <w:rFonts w:ascii="Open Sans" w:eastAsia="Open Sans" w:hAnsi="Open Sans" w:cs="Open Sans"/>
          <w:color w:val="000000"/>
          <w:sz w:val="22"/>
          <w:szCs w:val="22"/>
        </w:rPr>
        <w:t>personas andaluzas mayores de 18 años que efectivamente han alquilado como inquilinos una vivienda. Es un porcentaje muy alto para esta acción concreta.</w:t>
      </w:r>
    </w:p>
    <w:p w14:paraId="331F1CCB" w14:textId="4BA071BC" w:rsidR="00A30F2D" w:rsidRDefault="00A30F2D" w:rsidP="00DF26A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F8655B" w14:textId="4BDE3FDB" w:rsidR="00DF26A7" w:rsidRDefault="00DF26A7" w:rsidP="00DF26A7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 w:rsidRPr="00DF26A7">
        <w:rPr>
          <w:rFonts w:ascii="Open Sans Light" w:eastAsia="Open Sans Light" w:hAnsi="Open Sans Light" w:cs="Open Sans Light"/>
          <w:b/>
          <w:color w:val="303AB2"/>
        </w:rPr>
        <w:t>Particulares participando en el mercado del alquiler</w:t>
      </w:r>
      <w:r>
        <w:rPr>
          <w:rFonts w:ascii="Open Sans Light" w:eastAsia="Open Sans Light" w:hAnsi="Open Sans Light" w:cs="Open Sans Light"/>
          <w:b/>
          <w:color w:val="303AB2"/>
        </w:rPr>
        <w:t xml:space="preserve"> por CCAA</w:t>
      </w:r>
    </w:p>
    <w:p w14:paraId="08C8A097" w14:textId="13C57070" w:rsidR="00DF26A7" w:rsidRDefault="00DF26A7" w:rsidP="00DF26A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773947" w14:textId="7D0050A0" w:rsidR="00DF26A7" w:rsidRDefault="00DF26A7" w:rsidP="00DF26A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65C1188" wp14:editId="6A4F3DBC">
            <wp:extent cx="5844540" cy="2993109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1408" cy="299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0995" w14:textId="04D64B8F" w:rsidR="00DF26A7" w:rsidRDefault="00DF26A7" w:rsidP="00DF26A7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7C7D9FA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7DABACC5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03D67A49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2C1D69CB" w14:textId="3E0FEBD1" w:rsidR="00DF26A7" w:rsidRDefault="00491092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 w:rsidRPr="00491092">
        <w:rPr>
          <w:rFonts w:ascii="Open Sans Light" w:eastAsia="Open Sans Light" w:hAnsi="Open Sans Light" w:cs="Open Sans Light"/>
          <w:b/>
          <w:color w:val="303AB2"/>
        </w:rPr>
        <w:lastRenderedPageBreak/>
        <w:t>El estancamiento en</w:t>
      </w:r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r w:rsidRPr="00491092">
        <w:rPr>
          <w:rFonts w:ascii="Open Sans Light" w:eastAsia="Open Sans Light" w:hAnsi="Open Sans Light" w:cs="Open Sans Light"/>
          <w:b/>
          <w:color w:val="303AB2"/>
        </w:rPr>
        <w:t>la compraventa se generaliza</w:t>
      </w:r>
      <w:r>
        <w:rPr>
          <w:rFonts w:ascii="Open Sans Light" w:eastAsia="Open Sans Light" w:hAnsi="Open Sans Light" w:cs="Open Sans Light"/>
          <w:b/>
          <w:color w:val="303AB2"/>
        </w:rPr>
        <w:t xml:space="preserve"> en las CCAA</w:t>
      </w:r>
    </w:p>
    <w:p w14:paraId="170DADD0" w14:textId="02D1B9C4" w:rsidR="00491092" w:rsidRDefault="00491092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52C2D50A" w14:textId="75875E87" w:rsidR="00491092" w:rsidRPr="00491092" w:rsidRDefault="00491092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Hace justo un año, en agosto de 2021, se marcaron máximos de participación en el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mercado de compraventa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vivienda: había más particulares que nunca intentando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comprar o vender una casa, un 19% de la población mayor de 18 años. Idéntico porcentaje se repitió medio año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después, en febrero de 2022, aunque ya entonces se advertía que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algunos territorios —Madrid y Cataluña en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concreto— mostraban signos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estancamiento o incluso una tendencia ligeramente a la baja.</w:t>
      </w:r>
    </w:p>
    <w:p w14:paraId="3ADF2A92" w14:textId="77777777" w:rsidR="00491092" w:rsidRDefault="00491092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5FBAA8" w14:textId="2D2728C4" w:rsidR="00491092" w:rsidRPr="00491092" w:rsidRDefault="00491092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Los datos de agosto de 2022 profundizan esa dinámica: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FF4B0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en ambas comunidades autónomas continúa reduciéndose la proporción de personas que participa en el mercado de compraventa de vivienda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. Un descenso que es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más pronunciado en Madrid,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que se ha dejado tres puntos porcentuales (del 22% de agosto de 2021 al 19%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un año después).</w:t>
      </w:r>
    </w:p>
    <w:p w14:paraId="6D9AE072" w14:textId="77777777" w:rsidR="00491092" w:rsidRDefault="00491092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28C22" w14:textId="79237155" w:rsidR="00491092" w:rsidRDefault="00491092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F4B0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En Andalucía también se ha producido un descenso significativo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, pero en este caso en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relación con el pasado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mes de febrero: entonces había un 21% de particulares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activos en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la compraventa de casas y ahora son el 17%.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Es un mercado que tardó más en recuperar el nivel después del impacto de la pandemia y sus movimientos, tan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expuestos como el resto a las incertidumbres económicas de los últimos meses, son más acentuados.</w:t>
      </w:r>
    </w:p>
    <w:p w14:paraId="5FBFB852" w14:textId="77777777" w:rsidR="00FF4B0D" w:rsidRPr="00491092" w:rsidRDefault="00FF4B0D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D04655" w14:textId="590F181A" w:rsidR="00491092" w:rsidRDefault="00491092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FF4B0D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>Quien, por el momento, mantiene unos porcentajes más estables —que no al alza— es la Comunidad Valenciana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En este caso, el 19% de particulares participando en la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compraventa registrado en agosto de 2022 está muy en línea con los últimos registros,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1092">
        <w:rPr>
          <w:rFonts w:ascii="Open Sans" w:eastAsia="Open Sans" w:hAnsi="Open Sans" w:cs="Open Sans"/>
          <w:color w:val="000000"/>
          <w:sz w:val="22"/>
          <w:szCs w:val="22"/>
        </w:rPr>
        <w:t>una vez iniciada su también tardía recuperación tras el impacto de la pandemia.</w:t>
      </w:r>
    </w:p>
    <w:p w14:paraId="5BC47D44" w14:textId="1C06890D" w:rsidR="00491092" w:rsidRDefault="00491092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57334D1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7C975F88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5E84B38E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43E8C1F3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72DB729C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1E21596E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7AE58834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7517C924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1F1B9D42" w14:textId="77777777" w:rsidR="00AF3923" w:rsidRDefault="00AF3923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41C4680D" w14:textId="2C8C5813" w:rsidR="00491092" w:rsidRPr="00491092" w:rsidRDefault="00491092" w:rsidP="0049109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 w:rsidRPr="00DF26A7">
        <w:rPr>
          <w:rFonts w:ascii="Open Sans Light" w:eastAsia="Open Sans Light" w:hAnsi="Open Sans Light" w:cs="Open Sans Light"/>
          <w:b/>
          <w:color w:val="303AB2"/>
        </w:rPr>
        <w:lastRenderedPageBreak/>
        <w:t>Particulares participando en el mercado de</w:t>
      </w:r>
      <w:r>
        <w:rPr>
          <w:rFonts w:ascii="Open Sans Light" w:eastAsia="Open Sans Light" w:hAnsi="Open Sans Light" w:cs="Open Sans Light"/>
          <w:b/>
          <w:color w:val="303AB2"/>
        </w:rPr>
        <w:t xml:space="preserve"> compraventa por CCAA</w:t>
      </w:r>
    </w:p>
    <w:p w14:paraId="34E7192E" w14:textId="20BDD31A" w:rsidR="00491092" w:rsidRDefault="00491092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585AAC" w14:textId="319B443D" w:rsidR="00491092" w:rsidRPr="00491092" w:rsidRDefault="00491092" w:rsidP="004910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C95A424" wp14:editId="2771F335">
            <wp:extent cx="5737860" cy="3078918"/>
            <wp:effectExtent l="0" t="0" r="0" b="7620"/>
            <wp:docPr id="9" name="Imagen 9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Gráfic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41996" cy="30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C939C" w14:textId="12079A9F" w:rsidR="009414E0" w:rsidRDefault="009414E0">
      <w:pPr>
        <w:spacing w:line="276" w:lineRule="auto"/>
        <w:ind w:right="-716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0229BC" w14:textId="1F07FACC" w:rsidR="00FF4B0D" w:rsidRDefault="00FF4B0D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02D345C" w14:textId="77777777" w:rsidR="00FF4B0D" w:rsidRDefault="00FF4B0D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C2BDD10" w14:textId="1FC36935" w:rsidR="001326ED" w:rsidRPr="00A30F2D" w:rsidRDefault="00A30F2D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 w:rsidRPr="00A30F2D">
        <w:rPr>
          <w:rFonts w:ascii="Open Sans Light" w:eastAsia="Open Sans Light" w:hAnsi="Open Sans Light" w:cs="Open Sans Light"/>
          <w:b/>
          <w:color w:val="303AB2"/>
        </w:rPr>
        <w:t>I</w:t>
      </w:r>
      <w:r w:rsidR="00AF4D83" w:rsidRPr="00A30F2D">
        <w:rPr>
          <w:rFonts w:ascii="Open Sans Light" w:eastAsia="Open Sans Light" w:hAnsi="Open Sans Light" w:cs="Open Sans Light"/>
          <w:b/>
          <w:color w:val="303AB2"/>
        </w:rPr>
        <w:t xml:space="preserve">nforme “Radiografía del mercado de la vivienda en </w:t>
      </w:r>
      <w:r w:rsidRPr="00A30F2D">
        <w:rPr>
          <w:rFonts w:ascii="Open Sans Light" w:eastAsia="Open Sans Light" w:hAnsi="Open Sans Light" w:cs="Open Sans Light"/>
          <w:b/>
          <w:color w:val="303AB2"/>
        </w:rPr>
        <w:t>el segundo semestre de 2022</w:t>
      </w:r>
      <w:r w:rsidR="00AF4D83" w:rsidRPr="00A30F2D">
        <w:rPr>
          <w:rFonts w:ascii="Open Sans Light" w:eastAsia="Open Sans Light" w:hAnsi="Open Sans Light" w:cs="Open Sans Light"/>
          <w:b/>
          <w:color w:val="303AB2"/>
        </w:rPr>
        <w:t>”</w:t>
      </w:r>
    </w:p>
    <w:p w14:paraId="49CC8CEC" w14:textId="77777777" w:rsidR="001326ED" w:rsidRPr="00A30F2D" w:rsidRDefault="001326ED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74718F8" w14:textId="6D9A570B" w:rsidR="001326ED" w:rsidRPr="00A30F2D" w:rsidRDefault="00AF4D83">
      <w:pPr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El portal inmobiliario </w:t>
      </w:r>
      <w:hyperlink r:id="rId19">
        <w:r w:rsidRPr="00A30F2D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 ha realizado el informe “</w:t>
      </w:r>
      <w:r w:rsidRPr="00A30F2D">
        <w:rPr>
          <w:rFonts w:ascii="Open Sans" w:eastAsia="Open Sans" w:hAnsi="Open Sans" w:cs="Open Sans"/>
          <w:b/>
          <w:i/>
          <w:color w:val="000000"/>
          <w:sz w:val="22"/>
          <w:szCs w:val="22"/>
        </w:rPr>
        <w:t xml:space="preserve">Radiografía del mercado de la vivienda </w:t>
      </w:r>
      <w:r w:rsidR="00A30F2D" w:rsidRPr="00A30F2D">
        <w:rPr>
          <w:rFonts w:ascii="Open Sans" w:eastAsia="Open Sans" w:hAnsi="Open Sans" w:cs="Open Sans"/>
          <w:b/>
          <w:i/>
          <w:color w:val="000000"/>
          <w:sz w:val="22"/>
          <w:szCs w:val="22"/>
        </w:rPr>
        <w:t>en el semestre de 2022</w:t>
      </w:r>
      <w:r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”, en base a un exhaustivo análisis del equipo de Business </w:t>
      </w:r>
      <w:proofErr w:type="spellStart"/>
      <w:r w:rsidRPr="00A30F2D">
        <w:rPr>
          <w:rFonts w:ascii="Open Sans" w:eastAsia="Open Sans" w:hAnsi="Open Sans" w:cs="Open Sans"/>
          <w:color w:val="000000"/>
          <w:sz w:val="22"/>
          <w:szCs w:val="22"/>
        </w:rPr>
        <w:t>Analytics</w:t>
      </w:r>
      <w:proofErr w:type="spellEnd"/>
      <w:r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 de Fotocasa en colaboración con el instituto de investigación </w:t>
      </w:r>
      <w:proofErr w:type="spellStart"/>
      <w:r w:rsidRPr="00A30F2D">
        <w:rPr>
          <w:rFonts w:ascii="Open Sans" w:eastAsia="Open Sans" w:hAnsi="Open Sans" w:cs="Open Sans"/>
          <w:color w:val="000000"/>
          <w:sz w:val="22"/>
          <w:szCs w:val="22"/>
        </w:rPr>
        <w:t>The</w:t>
      </w:r>
      <w:proofErr w:type="spellEnd"/>
      <w:r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A30F2D">
        <w:rPr>
          <w:rFonts w:ascii="Open Sans" w:eastAsia="Open Sans" w:hAnsi="Open Sans" w:cs="Open Sans"/>
          <w:color w:val="000000"/>
          <w:sz w:val="22"/>
          <w:szCs w:val="22"/>
        </w:rPr>
        <w:t>Cocktail</w:t>
      </w:r>
      <w:proofErr w:type="spellEnd"/>
      <w:r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A30F2D">
        <w:rPr>
          <w:rFonts w:ascii="Open Sans" w:eastAsia="Open Sans" w:hAnsi="Open Sans" w:cs="Open Sans"/>
          <w:color w:val="000000"/>
          <w:sz w:val="22"/>
          <w:szCs w:val="22"/>
        </w:rPr>
        <w:t>Analysis</w:t>
      </w:r>
      <w:proofErr w:type="spellEnd"/>
      <w:r w:rsidRPr="00A30F2D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0D95B6C4" w14:textId="313E7581" w:rsidR="001326ED" w:rsidRDefault="001326ED">
      <w:pPr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2EA5A9" w14:textId="77777777" w:rsidR="00FF4B0D" w:rsidRPr="00A30F2D" w:rsidRDefault="00FF4B0D">
      <w:pPr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7B0412" w14:textId="72B0EFC6" w:rsidR="001326ED" w:rsidRDefault="00AF4D83" w:rsidP="00AC12F9">
      <w:pPr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El estudio pretende dar continuidad a los informes presentados en 2021, 2019, 2018 y 2017. Al igual que los anteriores estudios, se ha realizado sobre un panel independiente con una muestra de </w:t>
      </w:r>
      <w:r w:rsidR="00A30F2D" w:rsidRPr="00A30F2D">
        <w:rPr>
          <w:rFonts w:ascii="Open Sans" w:eastAsia="Open Sans" w:hAnsi="Open Sans" w:cs="Open Sans"/>
          <w:color w:val="000000"/>
          <w:sz w:val="22"/>
          <w:szCs w:val="22"/>
        </w:rPr>
        <w:t>5.002</w:t>
      </w:r>
      <w:r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 personas representativas de la sociedad española y que tienen entre 18 y 75 años, a través de </w:t>
      </w:r>
      <w:r w:rsidRPr="00A30F2D">
        <w:rPr>
          <w:rFonts w:ascii="Open Sans" w:eastAsia="Open Sans" w:hAnsi="Open Sans" w:cs="Open Sans"/>
          <w:sz w:val="22"/>
          <w:szCs w:val="22"/>
        </w:rPr>
        <w:t>encuestas</w:t>
      </w:r>
      <w:r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 online que se efectuaron entre </w:t>
      </w:r>
      <w:r w:rsidR="00A30F2D" w:rsidRPr="00A30F2D">
        <w:rPr>
          <w:rFonts w:ascii="Open Sans" w:eastAsia="Open Sans" w:hAnsi="Open Sans" w:cs="Open Sans"/>
          <w:color w:val="000000"/>
          <w:sz w:val="22"/>
          <w:szCs w:val="22"/>
        </w:rPr>
        <w:t>el 16 de agosto y el 4 de septiembre de 2022</w:t>
      </w:r>
      <w:r w:rsidRPr="00A30F2D">
        <w:rPr>
          <w:rFonts w:ascii="Open Sans" w:eastAsia="Open Sans" w:hAnsi="Open Sans" w:cs="Open Sans"/>
          <w:color w:val="000000"/>
          <w:sz w:val="22"/>
          <w:szCs w:val="22"/>
        </w:rPr>
        <w:t>.</w:t>
      </w:r>
      <w:r w:rsidR="00AC12F9" w:rsidRPr="00A30F2D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A30F2D">
        <w:rPr>
          <w:rFonts w:ascii="Open Sans" w:eastAsia="Open Sans" w:hAnsi="Open Sans" w:cs="Open Sans"/>
          <w:color w:val="000000"/>
          <w:sz w:val="22"/>
          <w:szCs w:val="22"/>
        </w:rPr>
        <w:t>Error muestral: +-1,4%</w:t>
      </w:r>
    </w:p>
    <w:p w14:paraId="3FDB6DBC" w14:textId="77777777" w:rsidR="00AF3923" w:rsidRDefault="00AF392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545C2DD" w14:textId="77777777" w:rsidR="00AF3923" w:rsidRDefault="00AF392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A754245" w14:textId="77777777" w:rsidR="00AF3923" w:rsidRDefault="00AF392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95E99C4" w14:textId="77777777" w:rsidR="00AF3923" w:rsidRDefault="00AF392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B580147" w14:textId="6F7C29DB" w:rsidR="001326ED" w:rsidRDefault="00AF4D8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0A35D95D" w14:textId="77777777" w:rsidR="001326ED" w:rsidRDefault="00AF4D83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4EE06CB9" w14:textId="77777777" w:rsidR="001326ED" w:rsidRDefault="00AF4D83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12B7C7EE" w14:textId="77777777" w:rsidR="001326ED" w:rsidRDefault="00AF4D83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 w:rsidR="00000000">
        <w:fldChar w:fldCharType="begin"/>
      </w:r>
      <w:r w:rsidR="00000000">
        <w:instrText xml:space="preserve"> HYPERLINK "https://www.adevinta.com/" \h </w:instrText>
      </w:r>
      <w:r w:rsidR="00000000"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000000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2F7DBD52" w14:textId="77777777" w:rsidR="001326ED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22">
        <w:r w:rsidR="00AF4D83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AF4D83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5D4ADB0" w14:textId="77777777" w:rsidR="001326ED" w:rsidRDefault="00AF4D8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4B17E392" w14:textId="77777777" w:rsidR="001326ED" w:rsidRDefault="00AF4D83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4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 w:rsidR="00000000">
        <w:fldChar w:fldCharType="begin"/>
      </w:r>
      <w:r w:rsidR="00000000">
        <w:instrText xml:space="preserve"> HYPERLINK "https://www.milanuncios.com/" \h </w:instrText>
      </w:r>
      <w:r w:rsidR="00000000"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 w:rsidR="00000000"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6E823F70" w14:textId="77777777" w:rsidR="001326ED" w:rsidRDefault="001326ED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C89F01" w14:textId="77777777" w:rsidR="001326ED" w:rsidRDefault="00AF4D83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4C88B1D2" w14:textId="77777777" w:rsidR="001326ED" w:rsidRDefault="00AF4D83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331A9191" w14:textId="77777777" w:rsidR="001326ED" w:rsidRDefault="00AF4D83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2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1D4F3E12" w14:textId="53951283" w:rsidR="001326ED" w:rsidRDefault="001326ED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40CFC94" w14:textId="006DC930" w:rsidR="001326ED" w:rsidRDefault="00AF4D83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    </w:t>
      </w:r>
      <w:r w:rsidR="00FF4B0D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01426A8C" w14:textId="77777777" w:rsidR="001326ED" w:rsidRDefault="00AF4D83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        Anaïs López </w:t>
      </w:r>
    </w:p>
    <w:p w14:paraId="6BFE39D9" w14:textId="77777777" w:rsidR="001326ED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9">
        <w:r w:rsidR="00AF4D83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 w:rsidR="00AF4D83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F4D83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F4D83"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     </w:t>
      </w:r>
      <w:hyperlink r:id="rId30">
        <w:r w:rsidR="00AF4D83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12FE347E" w14:textId="77777777" w:rsidR="001326ED" w:rsidRDefault="00AF4D83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620 66 29 26</w:t>
      </w:r>
    </w:p>
    <w:p w14:paraId="3D309220" w14:textId="77777777" w:rsidR="001326ED" w:rsidRDefault="00AF4D83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lastRenderedPageBreak/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0B62B2FD" w14:textId="77777777" w:rsidR="001326ED" w:rsidRDefault="00AF4D83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647953D2" w14:textId="77777777" w:rsidR="001326ED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1">
        <w:r w:rsidR="00AF4D83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 w:rsidR="00AF4D83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F4D83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1D919D2C" w14:textId="77777777" w:rsidR="001326ED" w:rsidRDefault="00AF4D83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76475A74" w14:textId="77777777" w:rsidR="001326ED" w:rsidRDefault="001326ED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A65FA32" w14:textId="77777777" w:rsidR="001326ED" w:rsidRDefault="00AF4D83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253C12ED" w14:textId="77777777" w:rsidR="001326ED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2">
        <w:r w:rsidR="00AF4D83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 w:rsidR="00AF4D83">
        <w:rPr>
          <w:rFonts w:ascii="Open Sans" w:eastAsia="Open Sans" w:hAnsi="Open Sans" w:cs="Open Sans"/>
          <w:color w:val="0000FF"/>
          <w:sz w:val="22"/>
          <w:szCs w:val="22"/>
        </w:rPr>
        <w:tab/>
      </w:r>
      <w:r w:rsidR="00AF4D83"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0CAEE1DF" w14:textId="77777777" w:rsidR="001326ED" w:rsidRDefault="00AF4D83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2C1BDE56" w14:textId="77777777" w:rsidR="001326ED" w:rsidRDefault="001326ED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</w:rPr>
      </w:pPr>
    </w:p>
    <w:p w14:paraId="442D572B" w14:textId="77777777" w:rsidR="001326ED" w:rsidRDefault="001326ED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1326ED">
      <w:headerReference w:type="default" r:id="rId33"/>
      <w:footerReference w:type="default" r:id="rId34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9599" w14:textId="77777777" w:rsidR="00E70F2B" w:rsidRDefault="00E70F2B">
      <w:r>
        <w:separator/>
      </w:r>
    </w:p>
  </w:endnote>
  <w:endnote w:type="continuationSeparator" w:id="0">
    <w:p w14:paraId="35737F02" w14:textId="77777777" w:rsidR="00E70F2B" w:rsidRDefault="00E7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Bold">
    <w:altName w:val="Cambria"/>
    <w:panose1 w:val="00000000000000000000"/>
    <w:charset w:val="00"/>
    <w:family w:val="roman"/>
    <w:notTrueType/>
    <w:pitch w:val="default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1DB5" w14:textId="77777777" w:rsidR="001326ED" w:rsidRDefault="00AF4D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66F202F" wp14:editId="1032697E">
          <wp:simplePos x="0" y="0"/>
          <wp:positionH relativeFrom="column">
            <wp:posOffset>-1068067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3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3DE9" w14:textId="77777777" w:rsidR="00E70F2B" w:rsidRDefault="00E70F2B">
      <w:r>
        <w:separator/>
      </w:r>
    </w:p>
  </w:footnote>
  <w:footnote w:type="continuationSeparator" w:id="0">
    <w:p w14:paraId="58F2D8C0" w14:textId="77777777" w:rsidR="00E70F2B" w:rsidRDefault="00E7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9587" w14:textId="77777777" w:rsidR="001326ED" w:rsidRDefault="00AF4D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D4DBE3" wp14:editId="4A046A4E">
          <wp:simplePos x="0" y="0"/>
          <wp:positionH relativeFrom="column">
            <wp:posOffset>-1121131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3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B34A6B" w14:textId="77777777" w:rsidR="001326ED" w:rsidRDefault="00132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63A8D56" w14:textId="77777777" w:rsidR="001326ED" w:rsidRDefault="00132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F4D0B5E" w14:textId="77777777" w:rsidR="001326ED" w:rsidRDefault="00132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9B9C793" w14:textId="77777777" w:rsidR="001326ED" w:rsidRDefault="00132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72A359C" w14:textId="77777777" w:rsidR="001326ED" w:rsidRDefault="00132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9576808" w14:textId="77777777" w:rsidR="001326ED" w:rsidRDefault="00132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93EC3E3" w14:textId="77777777" w:rsidR="001326ED" w:rsidRDefault="00132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7EDB228" w14:textId="77777777" w:rsidR="001326ED" w:rsidRDefault="00132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FC9"/>
    <w:multiLevelType w:val="multilevel"/>
    <w:tmpl w:val="9006D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153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ED"/>
    <w:rsid w:val="0005389E"/>
    <w:rsid w:val="00073267"/>
    <w:rsid w:val="001326ED"/>
    <w:rsid w:val="0013567D"/>
    <w:rsid w:val="002565D2"/>
    <w:rsid w:val="002B1B5B"/>
    <w:rsid w:val="003A6D0E"/>
    <w:rsid w:val="003B2B9C"/>
    <w:rsid w:val="003E6151"/>
    <w:rsid w:val="004265CA"/>
    <w:rsid w:val="00426F40"/>
    <w:rsid w:val="00443E47"/>
    <w:rsid w:val="00491092"/>
    <w:rsid w:val="005C124F"/>
    <w:rsid w:val="007E07D0"/>
    <w:rsid w:val="00825C1E"/>
    <w:rsid w:val="008A6636"/>
    <w:rsid w:val="008D7771"/>
    <w:rsid w:val="009414E0"/>
    <w:rsid w:val="00A30F2D"/>
    <w:rsid w:val="00A66693"/>
    <w:rsid w:val="00AC12F9"/>
    <w:rsid w:val="00AF3923"/>
    <w:rsid w:val="00AF4D83"/>
    <w:rsid w:val="00B36EA2"/>
    <w:rsid w:val="00C70260"/>
    <w:rsid w:val="00C82B5F"/>
    <w:rsid w:val="00CA3C7C"/>
    <w:rsid w:val="00CB5A80"/>
    <w:rsid w:val="00CD6A51"/>
    <w:rsid w:val="00D03B9A"/>
    <w:rsid w:val="00D41760"/>
    <w:rsid w:val="00DF26A7"/>
    <w:rsid w:val="00E07D9D"/>
    <w:rsid w:val="00E35F28"/>
    <w:rsid w:val="00E70F2B"/>
    <w:rsid w:val="00E8496A"/>
    <w:rsid w:val="00F00D34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469D"/>
  <w15:docId w15:val="{A37598AF-66D8-4DAD-9EEC-5FF6D565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7C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uentedeprrafopredeter"/>
    <w:rsid w:val="00E8496A"/>
    <w:rPr>
      <w:rFonts w:ascii="National-Bold" w:hAnsi="National-Bold" w:hint="default"/>
      <w:b/>
      <w:bCs/>
      <w:i w:val="0"/>
      <w:iCs w:val="0"/>
      <w:color w:val="303AB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hyperlink" Target="https://www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nsa.fotocasa.e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infojobs.net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fotocasa.es/indice/" TargetMode="External"/><Relationship Id="rId29" Type="http://schemas.openxmlformats.org/officeDocument/2006/relationships/hyperlink" Target="mailto:rtorne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habitaclia.com/" TargetMode="External"/><Relationship Id="rId32" Type="http://schemas.openxmlformats.org/officeDocument/2006/relationships/hyperlink" Target="mailto:piglesias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fotocasa.es/es/" TargetMode="External"/><Relationship Id="rId28" Type="http://schemas.openxmlformats.org/officeDocument/2006/relationships/hyperlink" Target="http://adevinta.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s://www.fotocasa.es" TargetMode="External"/><Relationship Id="rId31" Type="http://schemas.openxmlformats.org/officeDocument/2006/relationships/hyperlink" Target="mailto:emerino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fotocasa.es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fotocasa.es/es/quienes-somos/" TargetMode="External"/><Relationship Id="rId27" Type="http://schemas.openxmlformats.org/officeDocument/2006/relationships/hyperlink" Target="https://motos.coches.net/" TargetMode="External"/><Relationship Id="rId30" Type="http://schemas.openxmlformats.org/officeDocument/2006/relationships/hyperlink" Target="mailto:comunicacion@fotocasa.e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wmNAXad3K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6bxFB+5pK2mHhdLn83/hBcqcGg==">AMUW2mWnIobBwsauvzTsphHWuhKYrXugfsZPsyEl8j1ZX8TiNxUUPh7gf77gniryax+FrmzXNHNgVRR6Y4p1lwggroereChyEqyZ4A1FcSTE3X+gnAbujxJq3FP35W6sJtIKL8oAeQ1p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2113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26</cp:revision>
  <dcterms:created xsi:type="dcterms:W3CDTF">2022-04-21T07:41:00Z</dcterms:created>
  <dcterms:modified xsi:type="dcterms:W3CDTF">2022-10-03T06:56:00Z</dcterms:modified>
</cp:coreProperties>
</file>