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2CC1" w:rsidRDefault="00000000">
      <w:pPr>
        <w:tabs>
          <w:tab w:val="left" w:pos="2410"/>
        </w:tabs>
        <w:spacing w:line="276" w:lineRule="auto"/>
        <w:ind w:right="-574"/>
        <w:jc w:val="center"/>
        <w:rPr>
          <w:rFonts w:ascii="National" w:eastAsia="National" w:hAnsi="National" w:cs="National"/>
          <w:b/>
          <w:color w:val="1DBDC5"/>
          <w:sz w:val="28"/>
          <w:szCs w:val="28"/>
        </w:rPr>
      </w:pPr>
      <w:r>
        <w:rPr>
          <w:rFonts w:ascii="National" w:eastAsia="National" w:hAnsi="National" w:cs="National"/>
          <w:b/>
          <w:color w:val="1DBDC5"/>
          <w:sz w:val="28"/>
          <w:szCs w:val="28"/>
        </w:rPr>
        <w:t>EXPERIENCIA EN EL MERCADO DEL ALQUILER</w:t>
      </w:r>
    </w:p>
    <w:p w14:paraId="66287CF3" w14:textId="690948A1" w:rsidR="00FC42E6" w:rsidRPr="00FC42E6" w:rsidRDefault="00000000" w:rsidP="00FC42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574"/>
        <w:jc w:val="center"/>
        <w:rPr>
          <w:sz w:val="32"/>
          <w:szCs w:val="32"/>
        </w:rPr>
      </w:pPr>
      <w:sdt>
        <w:sdtPr>
          <w:rPr>
            <w:rFonts w:ascii="National" w:eastAsia="National" w:hAnsi="National" w:cs="National"/>
            <w:b/>
            <w:color w:val="303AB2"/>
            <w:sz w:val="40"/>
            <w:szCs w:val="40"/>
          </w:rPr>
          <w:tag w:val="goog_rdk_0"/>
          <w:id w:val="-1910760167"/>
        </w:sdtPr>
        <w:sdtContent/>
      </w:sdt>
      <w:r w:rsidR="00FC42E6" w:rsidRPr="00FC42E6">
        <w:rPr>
          <w:rFonts w:ascii="National" w:eastAsia="National" w:hAnsi="National" w:cs="National"/>
          <w:b/>
          <w:color w:val="303AB2"/>
          <w:sz w:val="44"/>
          <w:szCs w:val="44"/>
        </w:rPr>
        <w:t>La subida del precio del alquiler</w:t>
      </w:r>
      <w:r w:rsidR="00FC42E6" w:rsidRPr="00FC42E6">
        <w:rPr>
          <w:rFonts w:ascii="National" w:eastAsia="National" w:hAnsi="National" w:cs="National"/>
          <w:b/>
          <w:color w:val="303AB2"/>
          <w:sz w:val="44"/>
          <w:szCs w:val="44"/>
        </w:rPr>
        <w:t xml:space="preserve"> expulsa a los inquilinos con ingresos más bajos y premia a los ingresos altos</w:t>
      </w:r>
    </w:p>
    <w:p w14:paraId="00000003" w14:textId="77777777" w:rsidR="00AA2CC1" w:rsidRDefault="00AA2C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04" w14:textId="77777777" w:rsidR="00AA2C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El año pasado los que cobraban mil euros o menos representaban el 16% y los que cobraban entre 2.000 y 2.500 € eran el 12%</w:t>
      </w:r>
    </w:p>
    <w:p w14:paraId="00000005" w14:textId="77777777" w:rsidR="00AA2C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El 60% de los inquilinos de nuestro país son mujeres y un 66% tiene entre 25 y 44 años</w:t>
      </w:r>
    </w:p>
    <w:p w14:paraId="00000006" w14:textId="77777777" w:rsidR="00AA2C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La media de edad de los inquilinos es de 39 años y Cataluña (22%) y Madrid (19%) son las Comunidades con los porcentajes más altos de inquilinos</w:t>
      </w:r>
    </w:p>
    <w:p w14:paraId="00000007" w14:textId="77777777" w:rsidR="00AA2C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El 15% de los inquilinos vive solo, porcentaje igual que al de 2021</w:t>
      </w:r>
    </w:p>
    <w:p w14:paraId="00000008" w14:textId="77777777" w:rsidR="00AA2CC1" w:rsidRDefault="00AA2C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09" w14:textId="77777777" w:rsidR="00AA2CC1" w:rsidRDefault="00000000">
      <w:pPr>
        <w:spacing w:line="276" w:lineRule="auto"/>
        <w:ind w:right="-574"/>
        <w:jc w:val="both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Madrid, 27 de diciembre de 2022</w:t>
      </w:r>
    </w:p>
    <w:p w14:paraId="0000000A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00B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Cuando hablamos de inquilinos en el mercado de la vivienda, hablamos de un grupo en el que </w:t>
      </w:r>
      <w:r>
        <w:rPr>
          <w:rFonts w:ascii="Open Sans" w:eastAsia="Open Sans" w:hAnsi="Open Sans" w:cs="Open Sans"/>
          <w:b/>
          <w:sz w:val="22"/>
          <w:szCs w:val="22"/>
        </w:rPr>
        <w:t>seis de cada diez personas son mujeres</w:t>
      </w:r>
      <w:r>
        <w:rPr>
          <w:rFonts w:ascii="Open Sans" w:eastAsia="Open Sans" w:hAnsi="Open Sans" w:cs="Open Sans"/>
          <w:sz w:val="22"/>
          <w:szCs w:val="22"/>
        </w:rPr>
        <w:t xml:space="preserve">. La mayor presencia de mujeres desempeñando el rol de inquilinas es algo que se ve de manera similar en prácticamente todos los segmentos de edad. Aun así, </w:t>
      </w:r>
      <w:r>
        <w:rPr>
          <w:rFonts w:ascii="Open Sans" w:eastAsia="Open Sans" w:hAnsi="Open Sans" w:cs="Open Sans"/>
          <w:b/>
          <w:sz w:val="22"/>
          <w:szCs w:val="22"/>
        </w:rPr>
        <w:t>entre los 25 y los 44 años se concentran en mayor proporción: un 66% quienes demandan vivienda de alquiler que se encuentran en este tramo de edad son mujeres</w:t>
      </w:r>
      <w:r>
        <w:rPr>
          <w:rFonts w:ascii="Open Sans" w:eastAsia="Open Sans" w:hAnsi="Open Sans" w:cs="Open Sans"/>
          <w:sz w:val="22"/>
          <w:szCs w:val="22"/>
        </w:rPr>
        <w:t>. Sin embargo, en el estrato de más avanzada edad (55-75 años) es donde menor presencia de mujeres inquilinas hay: son un 44%. Esta es una de las principales conclusiones del informe “</w:t>
      </w:r>
      <w:hyperlink r:id="rId8">
        <w:r>
          <w:rPr>
            <w:rFonts w:ascii="Open Sans" w:eastAsia="Open Sans" w:hAnsi="Open Sans" w:cs="Open Sans"/>
            <w:b/>
            <w:i/>
            <w:color w:val="0000FF"/>
            <w:sz w:val="22"/>
            <w:szCs w:val="22"/>
            <w:u w:val="single"/>
          </w:rPr>
          <w:t>Experiencia en alquiler en 2022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” publicado por el portal inmobiliario </w:t>
      </w:r>
      <w:hyperlink r:id="rId9">
        <w:r>
          <w:rPr>
            <w:rFonts w:ascii="Open Sans" w:eastAsia="Open Sans" w:hAnsi="Open Sans" w:cs="Open Sans"/>
            <w:b/>
            <w:color w:val="1155CC"/>
            <w:sz w:val="22"/>
            <w:szCs w:val="22"/>
            <w:u w:val="single"/>
          </w:rPr>
          <w:t>Fotocasa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 con el fin de conocer más a fondo el mercado del alquiler en nuestro país.</w:t>
      </w:r>
    </w:p>
    <w:p w14:paraId="0000000C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0D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Y, en relación con la edad de los demandantes, </w:t>
      </w:r>
      <w:r>
        <w:rPr>
          <w:rFonts w:ascii="Open Sans" w:eastAsia="Open Sans" w:hAnsi="Open Sans" w:cs="Open Sans"/>
          <w:b/>
          <w:sz w:val="22"/>
          <w:szCs w:val="22"/>
        </w:rPr>
        <w:t>la media de los inquilinos o de los que pretenden serlo es de 39 años</w:t>
      </w:r>
      <w:r>
        <w:rPr>
          <w:rFonts w:ascii="Open Sans" w:eastAsia="Open Sans" w:hAnsi="Open Sans" w:cs="Open Sans"/>
          <w:sz w:val="22"/>
          <w:szCs w:val="22"/>
        </w:rPr>
        <w:t xml:space="preserve">. De hecho, uno de cada dos tiene entre 25 y 44 años. Además, los territorios en los que mayor número se concentra es </w:t>
      </w:r>
      <w:r>
        <w:rPr>
          <w:rFonts w:ascii="Open Sans" w:eastAsia="Open Sans" w:hAnsi="Open Sans" w:cs="Open Sans"/>
          <w:b/>
          <w:sz w:val="22"/>
          <w:szCs w:val="22"/>
        </w:rPr>
        <w:t>Cataluña (22%) y Madrid (19%).</w:t>
      </w:r>
    </w:p>
    <w:p w14:paraId="0000000F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12" w14:textId="71C3CB19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Con respecto a su nivel de ingresos, hay algunos cambios significativos con respecto al año anterior. En 2021, un 16% tenía unos ingresos brutos anuales de 1.000 euros o menos, mientras que en 2022 hay un 12% de demandantes en este tramo. Sin embargo, </w:t>
      </w:r>
      <w:r>
        <w:rPr>
          <w:rFonts w:ascii="Open Sans" w:eastAsia="Open Sans" w:hAnsi="Open Sans" w:cs="Open Sans"/>
          <w:sz w:val="22"/>
          <w:szCs w:val="22"/>
        </w:rPr>
        <w:lastRenderedPageBreak/>
        <w:t>ha incrementado el volumen de inquilinos cuyos ingresos oscilan los 2.001 y los 2.500 euros brutos mensuales: ahora son el 14% en comparación con el 12% de hace un año.</w:t>
      </w:r>
      <w:r w:rsidR="00FC42E6"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>Este dato se explica al ponerlo en relación con la evolución de los precios, que al situarse en niveles máximos provoca el moderado descenso que venimos señalando a lo largo de todo este informe y, además, expulsa a quienes menos ganan lo cual hace que ganen peso relativo los tramos con mayores ingresos.</w:t>
      </w:r>
    </w:p>
    <w:p w14:paraId="00000013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14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“La situación de precios máximos históricos del 2022 está ocasionando que el acceso a la vivienda del alquiler sea todavía más difícil. El alza del coste del arrendamiento está expulsando del mercado a los ciudadanos que tienen ingresos más bajos y que no pueden afrontar el nuevo coste del mercado. Por el contrario, los ciudadanos con ingresos más altos y más solventes son quienes más están accediendo a los inmuebles, debido a que el esfuerzo salarial que realizan es menor que quienes cobran alrededor de 1.000 euros. Esta situación aumenta la desigualdad social y crea un mercado desequilibrado, en el que los colectivos más vulnerables no pueden acceder a vivir de alquiler”, explica María Matos, directora de Estudios y Portavoz de </w:t>
      </w:r>
      <w:hyperlink r:id="rId10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Fotocasa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p w14:paraId="00000015" w14:textId="4CBFC046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73400C07" w14:textId="23C3999C" w:rsidR="00FC42E6" w:rsidRDefault="00FC42E6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noProof/>
        </w:rPr>
        <w:drawing>
          <wp:inline distT="0" distB="0" distL="0" distR="0" wp14:anchorId="21E8BF8E" wp14:editId="7CF7D83B">
            <wp:extent cx="5730240" cy="3208020"/>
            <wp:effectExtent l="0" t="0" r="3810" b="0"/>
            <wp:docPr id="82" name="image4.png" descr="Interfaz de usuario gráfica, Aplicac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nterfaz de usuario gráfica, Aplicación&#10;&#10;Descripción generada automá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208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6DA22E" w14:textId="77777777" w:rsidR="00FC42E6" w:rsidRDefault="00FC42E6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16" w14:textId="4B2F58C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Por lo que se refiere a su índice socioeconómico, no se registran variaciones relevantes con respecto a 2021. Así, </w:t>
      </w:r>
      <w:r>
        <w:rPr>
          <w:rFonts w:ascii="Open Sans" w:eastAsia="Open Sans" w:hAnsi="Open Sans" w:cs="Open Sans"/>
          <w:b/>
          <w:sz w:val="22"/>
          <w:szCs w:val="22"/>
        </w:rPr>
        <w:t>un 47% se encuentra en el índice alto o medio alto, el 28% en el medio y el 25% en el bajo o medio bajo</w:t>
      </w:r>
      <w:r>
        <w:rPr>
          <w:rFonts w:ascii="Open Sans" w:eastAsia="Open Sans" w:hAnsi="Open Sans" w:cs="Open Sans"/>
          <w:sz w:val="22"/>
          <w:szCs w:val="22"/>
        </w:rPr>
        <w:t xml:space="preserve">. Otra cuestión que sirve para definir el perfil de los inquilinos y que se mantiene estable con respecto al año anterior es su </w:t>
      </w:r>
      <w:r>
        <w:rPr>
          <w:rFonts w:ascii="Open Sans" w:eastAsia="Open Sans" w:hAnsi="Open Sans" w:cs="Open Sans"/>
          <w:sz w:val="22"/>
          <w:szCs w:val="22"/>
        </w:rPr>
        <w:lastRenderedPageBreak/>
        <w:t>situación de convivencia. Así, el 30% vive con su pareja, el 19% con su pareja e hijos y el 17% con sus padres.</w:t>
      </w:r>
    </w:p>
    <w:p w14:paraId="00000017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1A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Además, el año pasado ganaron peso los demandantes de vivienda de alquiler que vivían solos. Pasaron de ser el 12% en 2020 al 15% en 2021. Y, en el año 2022, ese crecimiento del protagonismo de </w:t>
      </w:r>
      <w:r>
        <w:rPr>
          <w:rFonts w:ascii="Open Sans" w:eastAsia="Open Sans" w:hAnsi="Open Sans" w:cs="Open Sans"/>
          <w:b/>
          <w:sz w:val="22"/>
          <w:szCs w:val="22"/>
        </w:rPr>
        <w:t>los inquilinos que viven solos se mantiene: igual que en 2021, este año son un 15% los que se encuentran en esta situación de convivencia</w:t>
      </w:r>
      <w:r>
        <w:rPr>
          <w:rFonts w:ascii="Open Sans" w:eastAsia="Open Sans" w:hAnsi="Open Sans" w:cs="Open Sans"/>
          <w:sz w:val="22"/>
          <w:szCs w:val="22"/>
        </w:rPr>
        <w:t>.</w:t>
      </w:r>
    </w:p>
    <w:p w14:paraId="0000001B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1C" w14:textId="77777777" w:rsidR="00AA2CC1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Más arrendadores con ingresos muy altos</w:t>
      </w:r>
    </w:p>
    <w:p w14:paraId="0000001D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1E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Por lo que se refiere a la parte de la oferta, esta está compuesta por un 47% mujeres y un 53% de hombres. Además, </w:t>
      </w:r>
      <w:r>
        <w:rPr>
          <w:rFonts w:ascii="Open Sans" w:eastAsia="Open Sans" w:hAnsi="Open Sans" w:cs="Open Sans"/>
          <w:b/>
          <w:sz w:val="22"/>
          <w:szCs w:val="22"/>
        </w:rPr>
        <w:t>la media de edad de los arrendadores es de 48 años</w:t>
      </w:r>
      <w:r>
        <w:rPr>
          <w:rFonts w:ascii="Open Sans" w:eastAsia="Open Sans" w:hAnsi="Open Sans" w:cs="Open Sans"/>
          <w:sz w:val="22"/>
          <w:szCs w:val="22"/>
        </w:rPr>
        <w:t xml:space="preserve">. Concretamente, un 63% de los propietarios de una vivienda de alquiler tiene entre 45 y 75 años. Su nivel socioeconómico es alto o medio alto en siete de cada diez casos. Por lo que se refiere a sus ingresos brutos mensuales, se distribuyen de manera similar en comparación con los datos de años anteriores. Así, </w:t>
      </w:r>
      <w:r>
        <w:rPr>
          <w:rFonts w:ascii="Open Sans" w:eastAsia="Open Sans" w:hAnsi="Open Sans" w:cs="Open Sans"/>
          <w:b/>
          <w:sz w:val="22"/>
          <w:szCs w:val="22"/>
        </w:rPr>
        <w:t>hay un 42% que tiene unos ingresos que oscilan entre los 2.000 y los 4.000 euros.</w:t>
      </w:r>
    </w:p>
    <w:p w14:paraId="0000001F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20" w14:textId="4EBE7BC1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Aunque, en relación con esta cuestión, sí que hay un cambio relevante con respecto a 2021: </w:t>
      </w:r>
      <w:r>
        <w:rPr>
          <w:rFonts w:ascii="Open Sans" w:eastAsia="Open Sans" w:hAnsi="Open Sans" w:cs="Open Sans"/>
          <w:b/>
          <w:sz w:val="22"/>
          <w:szCs w:val="22"/>
        </w:rPr>
        <w:t>el 11% afirma que sus ingresos brutos mensuales están entre los 5.001 y los 8.000 euros mientras que el pasado año en este tramo solo se aglutinaban un 6% de los arrendadores.</w:t>
      </w:r>
    </w:p>
    <w:p w14:paraId="7C9E698F" w14:textId="70764549" w:rsidR="00FC42E6" w:rsidRDefault="00FC42E6">
      <w:pPr>
        <w:spacing w:line="276" w:lineRule="auto"/>
        <w:ind w:right="-574"/>
        <w:jc w:val="both"/>
        <w:rPr>
          <w:rFonts w:ascii="Open Sans" w:eastAsia="Open Sans" w:hAnsi="Open Sans" w:cs="Open Sans"/>
          <w:b/>
          <w:sz w:val="22"/>
          <w:szCs w:val="22"/>
        </w:rPr>
      </w:pPr>
    </w:p>
    <w:p w14:paraId="044CE999" w14:textId="15AA519A" w:rsidR="00FC42E6" w:rsidRDefault="00FC42E6">
      <w:pPr>
        <w:spacing w:line="276" w:lineRule="auto"/>
        <w:ind w:right="-574"/>
        <w:jc w:val="both"/>
        <w:rPr>
          <w:rFonts w:ascii="Open Sans" w:eastAsia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42092B34" wp14:editId="5F4A2B9B">
            <wp:extent cx="5396230" cy="3035971"/>
            <wp:effectExtent l="0" t="0" r="0" b="0"/>
            <wp:docPr id="84" name="image5.png" descr="Interfaz de usuario gráfica,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nterfaz de usuario gráfica, Diagrama&#10;&#10;Descripción generada automá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5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1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22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Por lo que se refiere a su situación de convivencia, un 49% vive con su pareja y sus hijos. Esta cifra es significativamente más alta que la de 2021: hace un año eran un 44% los propietarios que vivían con su pareja y sus hijos. Tras esto, lo más habitual es que los arrendadores residan con su pareja (25%), solos (9%) o con sus padres (8%).</w:t>
      </w:r>
    </w:p>
    <w:p w14:paraId="00000023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27" w14:textId="77777777" w:rsidR="00AA2CC1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Diferencias entre los dos perfiles</w:t>
      </w:r>
    </w:p>
    <w:p w14:paraId="00000028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29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Los perfiles de ofertantes y demandantes son fácilmente distinguibles y muchas de las diferencias están relacionadas con las etapas vitales. Así, </w:t>
      </w:r>
      <w:r>
        <w:rPr>
          <w:rFonts w:ascii="Open Sans" w:eastAsia="Open Sans" w:hAnsi="Open Sans" w:cs="Open Sans"/>
          <w:b/>
          <w:sz w:val="22"/>
          <w:szCs w:val="22"/>
        </w:rPr>
        <w:t>los inquilinos se caracterizan por ser más jóvenes y por tener situaciones de convivencia como vivir solo con su pareja o con sus padres.</w:t>
      </w:r>
    </w:p>
    <w:p w14:paraId="0000002A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2B" w14:textId="6B449C5F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De hecho, mientras que un 50% de los arrendadores —entendiendo como tales a los que han alquilado o intentado alquilar a otros una vivienda de su propiedad en los últimos doce meses— vive con su pareja y sus hijos, solo son un 19% los inquilinos que se encuentran en esta situación. Y lo mismo sucede al contrario: frente al 17% de demandantes que vive con sus padres, solo hay un 8% de arrendadores en esta situación.</w:t>
      </w:r>
    </w:p>
    <w:p w14:paraId="422FDD07" w14:textId="77777777" w:rsidR="00FC42E6" w:rsidRDefault="00FC42E6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2C" w14:textId="22EC8F51" w:rsidR="00AA2CC1" w:rsidRDefault="00FC42E6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noProof/>
        </w:rPr>
        <w:drawing>
          <wp:inline distT="0" distB="0" distL="0" distR="0" wp14:anchorId="6842CD0C" wp14:editId="261F0C40">
            <wp:extent cx="5699760" cy="3589020"/>
            <wp:effectExtent l="0" t="0" r="0" b="0"/>
            <wp:docPr id="83" name="image2.png" descr="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&#10;&#10;Descripción generada automá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425" cy="3589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AE4DD3" w14:textId="77777777" w:rsidR="00FC42E6" w:rsidRDefault="00FC42E6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2D" w14:textId="6B06C48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lastRenderedPageBreak/>
        <w:t>También el nivel de ingresos brutos mensuales y el índice socioeconómico marca la diferencia. Mientras que el grueso de los inquilinos se agrupa en niveles de ingresos inferiores a los 2.500 euros, los arrendadores se concentran a partir de los 2.501 euros. Asimismo, entre los ofertantes hay una mayor presencia de los niveles socioeconómicos altos.</w:t>
      </w:r>
    </w:p>
    <w:p w14:paraId="0000002E" w14:textId="28233DCE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31" w14:textId="77777777" w:rsidR="00AA2CC1" w:rsidRDefault="00000000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Estas diferencias se explican por el ciclo vital: </w:t>
      </w:r>
      <w:r>
        <w:rPr>
          <w:rFonts w:ascii="Open Sans" w:eastAsia="Open Sans" w:hAnsi="Open Sans" w:cs="Open Sans"/>
          <w:b/>
          <w:sz w:val="22"/>
          <w:szCs w:val="22"/>
        </w:rPr>
        <w:t>los inquilinos son un perfil más joven que está iniciando su andadura profesional y cuenta con unos ingresos más limitados y una menor estabilidad laboral.</w:t>
      </w:r>
      <w:r>
        <w:rPr>
          <w:rFonts w:ascii="Open Sans" w:eastAsia="Open Sans" w:hAnsi="Open Sans" w:cs="Open Sans"/>
          <w:sz w:val="22"/>
          <w:szCs w:val="22"/>
        </w:rPr>
        <w:t xml:space="preserve"> De la misma manera, ambos perfiles se diferencian claramente a la hora de definir el tipo de vivienda en la que residen: entre quienes han alquilado o pretendido alquilar un inmueble para vivir en él hay un 73% que define su vivienda actual como una casa de alquiler. Sin embargo, el 89% de los arrendadores vive en una vivienda en propiedad.</w:t>
      </w:r>
    </w:p>
    <w:p w14:paraId="00000032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33" w14:textId="77777777" w:rsidR="00AA2CC1" w:rsidRDefault="00AA2CC1">
      <w:pPr>
        <w:spacing w:line="276" w:lineRule="auto"/>
        <w:ind w:right="-574"/>
        <w:jc w:val="both"/>
        <w:rPr>
          <w:rFonts w:ascii="Open Sans" w:eastAsia="Open Sans" w:hAnsi="Open Sans" w:cs="Open Sans"/>
          <w:sz w:val="22"/>
          <w:szCs w:val="22"/>
        </w:rPr>
      </w:pPr>
    </w:p>
    <w:p w14:paraId="00000034" w14:textId="77777777" w:rsidR="00AA2CC1" w:rsidRDefault="00000000">
      <w:pPr>
        <w:spacing w:line="276" w:lineRule="auto"/>
        <w:ind w:right="-716"/>
        <w:jc w:val="right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Sobre Fotocasa</w:t>
      </w:r>
    </w:p>
    <w:p w14:paraId="00000035" w14:textId="77777777" w:rsidR="00AA2CC1" w:rsidRDefault="00000000">
      <w:pPr>
        <w:shd w:val="clear" w:color="auto" w:fill="FFFFFF"/>
        <w:spacing w:before="280" w:after="280" w:line="276" w:lineRule="auto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Portal inmobiliario que cuenta con inmuebles de segunda mano, promociones de obra nueva y viviendas de alquiler. Cada mes genera un tráfico de 34 millones de visitas (75% a través de dispositivos móviles). Mensualmente elabora el </w:t>
      </w:r>
      <w:hyperlink r:id="rId14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índice inmobiliario Fotocasa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, un informe de referencia sobre la evolución del precio medio de la vivienda en España, tanto en venta como en alquiler. Toda nuestra información la puedes encontrar en nuestra </w:t>
      </w:r>
      <w:hyperlink r:id="rId15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Sala de Prensa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. </w:t>
      </w:r>
    </w:p>
    <w:bookmarkStart w:id="0" w:name="_heading=h.gjdgxs" w:colFirst="0" w:colLast="0"/>
    <w:bookmarkEnd w:id="0"/>
    <w:p w14:paraId="00000036" w14:textId="77777777" w:rsidR="00AA2CC1" w:rsidRDefault="00000000">
      <w:pPr>
        <w:shd w:val="clear" w:color="auto" w:fill="FFFFFF"/>
        <w:spacing w:before="280" w:after="280" w:line="276" w:lineRule="auto"/>
        <w:ind w:right="-716"/>
        <w:jc w:val="both"/>
        <w:rPr>
          <w:rFonts w:ascii="Open Sans Light" w:eastAsia="Open Sans Light" w:hAnsi="Open Sans Light" w:cs="Open Sans Light"/>
          <w:b/>
          <w:color w:val="303AB2"/>
        </w:rPr>
      </w:pPr>
      <w:r>
        <w:fldChar w:fldCharType="begin"/>
      </w:r>
      <w:r>
        <w:instrText>HYPERLINK "http://www.fotocasa.es/" \h</w:instrText>
      </w:r>
      <w:r>
        <w:fldChar w:fldCharType="separate"/>
      </w:r>
      <w:r>
        <w:rPr>
          <w:rFonts w:ascii="Open Sans" w:eastAsia="Open Sans" w:hAnsi="Open Sans" w:cs="Open Sans"/>
          <w:b/>
          <w:color w:val="0000FF"/>
          <w:sz w:val="22"/>
          <w:szCs w:val="22"/>
          <w:u w:val="single"/>
        </w:rPr>
        <w:t>Fotocasa</w:t>
      </w:r>
      <w:r>
        <w:rPr>
          <w:rFonts w:ascii="Open Sans" w:eastAsia="Open Sans" w:hAnsi="Open Sans" w:cs="Open Sans"/>
          <w:b/>
          <w:color w:val="0000FF"/>
          <w:sz w:val="22"/>
          <w:szCs w:val="22"/>
          <w:u w:val="single"/>
        </w:rPr>
        <w:fldChar w:fldCharType="end"/>
      </w:r>
      <w:r>
        <w:rPr>
          <w:rFonts w:ascii="Open Sans" w:eastAsia="Open Sans" w:hAnsi="Open Sans" w:cs="Open Sans"/>
          <w:color w:val="000000"/>
          <w:sz w:val="22"/>
          <w:szCs w:val="22"/>
        </w:rPr>
        <w:t> pertenece a </w:t>
      </w:r>
      <w:hyperlink r:id="rId16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Adevinta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, una empresa 100% especializada en Marketplaces digitales y el único “pure player” del sector a nivel mundial. </w:t>
      </w:r>
      <w:hyperlink r:id="rId17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Más información sobre Fotocasa</w:t>
        </w:r>
      </w:hyperlink>
      <w:r>
        <w:rPr>
          <w:rFonts w:ascii="Open Sans" w:eastAsia="Open Sans" w:hAnsi="Open Sans" w:cs="Open Sans"/>
          <w:color w:val="000000"/>
          <w:sz w:val="22"/>
          <w:szCs w:val="22"/>
        </w:rPr>
        <w:t xml:space="preserve">. </w:t>
      </w:r>
    </w:p>
    <w:p w14:paraId="00000037" w14:textId="77777777" w:rsidR="00AA2CC1" w:rsidRDefault="00000000">
      <w:pPr>
        <w:spacing w:line="276" w:lineRule="auto"/>
        <w:ind w:right="-716"/>
        <w:jc w:val="right"/>
        <w:rPr>
          <w:rFonts w:ascii="Open Sans Light" w:eastAsia="Open Sans Light" w:hAnsi="Open Sans Light" w:cs="Open Sans Light"/>
          <w:b/>
          <w:color w:val="303AB2"/>
        </w:rPr>
      </w:pPr>
      <w:r>
        <w:rPr>
          <w:rFonts w:ascii="Open Sans Light" w:eastAsia="Open Sans Light" w:hAnsi="Open Sans Light" w:cs="Open Sans Light"/>
          <w:b/>
          <w:color w:val="303AB2"/>
        </w:rPr>
        <w:t>Sobre Adevinta Spain</w:t>
      </w:r>
    </w:p>
    <w:p w14:paraId="00000038" w14:textId="77777777" w:rsidR="00AA2CC1" w:rsidRDefault="00000000">
      <w:pPr>
        <w:spacing w:before="143" w:after="200"/>
        <w:ind w:right="-71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Adevinta Spain es una compañía líder en marketplaces digitales y una de las principales empresas del sector tecnológico del país, con más de 18 millones de usuarios al mes en sus plataformas de los sectores inmobiliario (</w:t>
      </w:r>
      <w:hyperlink r:id="rId18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Fotocasa</w:t>
        </w:r>
      </w:hyperlink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>y</w:t>
      </w:r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hyperlink r:id="rId19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habitaclia</w:t>
        </w:r>
      </w:hyperlink>
      <w:r>
        <w:rPr>
          <w:rFonts w:ascii="Open Sans" w:eastAsia="Open Sans" w:hAnsi="Open Sans" w:cs="Open Sans"/>
          <w:sz w:val="22"/>
          <w:szCs w:val="22"/>
        </w:rPr>
        <w:t>), empleo (</w:t>
      </w:r>
      <w:hyperlink r:id="rId20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InfoJobs</w:t>
        </w:r>
      </w:hyperlink>
      <w:r>
        <w:rPr>
          <w:rFonts w:ascii="Open Sans" w:eastAsia="Open Sans" w:hAnsi="Open Sans" w:cs="Open Sans"/>
          <w:sz w:val="22"/>
          <w:szCs w:val="22"/>
        </w:rPr>
        <w:t>), motor (</w:t>
      </w:r>
      <w:hyperlink r:id="rId21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coches.net</w:t>
        </w:r>
      </w:hyperlink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r>
        <w:rPr>
          <w:rFonts w:ascii="Open Sans" w:eastAsia="Open Sans" w:hAnsi="Open Sans" w:cs="Open Sans"/>
          <w:sz w:val="22"/>
          <w:szCs w:val="22"/>
        </w:rPr>
        <w:t>y</w:t>
      </w:r>
      <w:r>
        <w:rPr>
          <w:rFonts w:ascii="Open Sans" w:eastAsia="Open Sans" w:hAnsi="Open Sans" w:cs="Open Sans"/>
          <w:color w:val="231F20"/>
          <w:sz w:val="22"/>
          <w:szCs w:val="22"/>
        </w:rPr>
        <w:t xml:space="preserve"> </w:t>
      </w:r>
      <w:hyperlink r:id="rId22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motos.net</w:t>
        </w:r>
      </w:hyperlink>
      <w:r>
        <w:rPr>
          <w:rFonts w:ascii="Open Sans" w:eastAsia="Open Sans" w:hAnsi="Open Sans" w:cs="Open Sans"/>
          <w:sz w:val="22"/>
          <w:szCs w:val="22"/>
        </w:rPr>
        <w:t>) y compraventa de artículos de segunda mano (</w:t>
      </w:r>
      <w:hyperlink r:id="rId23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Milanuncios</w:t>
        </w:r>
      </w:hyperlink>
      <w:r>
        <w:rPr>
          <w:rFonts w:ascii="Open Sans" w:eastAsia="Open Sans" w:hAnsi="Open Sans" w:cs="Open Sans"/>
          <w:sz w:val="22"/>
          <w:szCs w:val="22"/>
        </w:rPr>
        <w:t>).</w:t>
      </w:r>
    </w:p>
    <w:p w14:paraId="00000039" w14:textId="77777777" w:rsidR="00AA2CC1" w:rsidRDefault="00000000">
      <w:pPr>
        <w:spacing w:before="143" w:after="200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Los negocios de Adevinta han evolucionado del papel al online a lo largo de más de 40 años de trayectoria en España, convirtiéndose en referentes de Internet. La sede de la compañía está en Barcelona y cuenta con una plantilla de 1.200 personas comprometidas con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fomentar un cambio positivo en el mundo a través de tecnología innovadora, otorgando una nueva oportunidad a quienes la están buscando y dando a las cosas una segunda vida.</w:t>
      </w:r>
    </w:p>
    <w:p w14:paraId="0000003A" w14:textId="77777777" w:rsidR="00AA2CC1" w:rsidRDefault="00000000">
      <w:pPr>
        <w:spacing w:before="143" w:after="200"/>
        <w:ind w:right="-716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Adevinta tiene presencia mundial en 11 países. El conjunto de sus plataformas locales recibe un promedio de 3.000 millones de visitas cada mes. </w:t>
      </w:r>
    </w:p>
    <w:p w14:paraId="0000003B" w14:textId="77777777" w:rsidR="00AA2CC1" w:rsidRDefault="00000000">
      <w:pPr>
        <w:spacing w:after="160"/>
        <w:ind w:right="-71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 xml:space="preserve">Más información en </w:t>
      </w:r>
      <w:hyperlink r:id="rId24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adevinta.es</w:t>
        </w:r>
      </w:hyperlink>
    </w:p>
    <w:p w14:paraId="0000003C" w14:textId="77777777" w:rsidR="00AA2CC1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>Departamento Comunicación Fotocasa</w:t>
      </w:r>
    </w:p>
    <w:p w14:paraId="0000003D" w14:textId="77777777" w:rsidR="00AA2CC1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Anaïs López</w:t>
      </w:r>
    </w:p>
    <w:p w14:paraId="0000003E" w14:textId="77777777" w:rsidR="00AA2CC1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FF"/>
          <w:sz w:val="22"/>
          <w:szCs w:val="22"/>
          <w:u w:val="single"/>
        </w:rPr>
      </w:pPr>
      <w:hyperlink r:id="rId25">
        <w:r>
          <w:rPr>
            <w:rFonts w:ascii="Open Sans" w:eastAsia="Open Sans" w:hAnsi="Open Sans" w:cs="Open Sans"/>
            <w:color w:val="0000FF"/>
            <w:sz w:val="22"/>
            <w:szCs w:val="22"/>
            <w:u w:val="single"/>
          </w:rPr>
          <w:t>comunicacion@fotocasa.es</w:t>
        </w:r>
      </w:hyperlink>
    </w:p>
    <w:p w14:paraId="0000003F" w14:textId="77777777" w:rsidR="00AA2CC1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620 66 29 26</w:t>
      </w:r>
    </w:p>
    <w:p w14:paraId="00000040" w14:textId="77777777" w:rsidR="00AA2CC1" w:rsidRDefault="00AA2CC1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</w:p>
    <w:p w14:paraId="00000041" w14:textId="77777777" w:rsidR="00AA2CC1" w:rsidRDefault="00000000">
      <w:pPr>
        <w:spacing w:line="276" w:lineRule="auto"/>
        <w:ind w:right="-716"/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 xml:space="preserve">Llorente y Cuenca    </w:t>
      </w: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ab/>
      </w: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ab/>
      </w: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ab/>
        <w:t xml:space="preserve">       </w:t>
      </w:r>
      <w:r>
        <w:rPr>
          <w:rFonts w:ascii="Open Sans Light" w:eastAsia="Open Sans Light" w:hAnsi="Open Sans Light" w:cs="Open Sans Light"/>
          <w:b/>
          <w:color w:val="303AB2"/>
          <w:sz w:val="22"/>
          <w:szCs w:val="22"/>
        </w:rPr>
        <w:tab/>
      </w:r>
    </w:p>
    <w:p w14:paraId="00000042" w14:textId="77777777" w:rsidR="00AA2CC1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Ramon Torné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ab/>
        <w:t xml:space="preserve">                 </w:t>
      </w:r>
    </w:p>
    <w:p w14:paraId="00000043" w14:textId="77777777" w:rsidR="00AA2CC1" w:rsidRPr="00FC42E6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FF"/>
          <w:sz w:val="22"/>
          <w:szCs w:val="22"/>
          <w:u w:val="single"/>
          <w:lang w:val="en-US"/>
        </w:rPr>
      </w:pPr>
      <w:hyperlink r:id="rId26">
        <w:r w:rsidRPr="00FC42E6">
          <w:rPr>
            <w:rFonts w:ascii="Open Sans" w:eastAsia="Open Sans" w:hAnsi="Open Sans" w:cs="Open Sans"/>
            <w:color w:val="0000FF"/>
            <w:sz w:val="22"/>
            <w:szCs w:val="22"/>
            <w:u w:val="single"/>
            <w:lang w:val="en-US"/>
          </w:rPr>
          <w:t>rtorne@llorenteycuenca.com</w:t>
        </w:r>
      </w:hyperlink>
      <w:r w:rsidRPr="00FC42E6">
        <w:rPr>
          <w:rFonts w:ascii="Open Sans" w:eastAsia="Open Sans" w:hAnsi="Open Sans" w:cs="Open Sans"/>
          <w:color w:val="0000FF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FF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FF"/>
          <w:sz w:val="22"/>
          <w:szCs w:val="22"/>
          <w:lang w:val="en-US"/>
        </w:rPr>
        <w:tab/>
      </w:r>
    </w:p>
    <w:p w14:paraId="00000044" w14:textId="77777777" w:rsidR="00AA2CC1" w:rsidRPr="00FC42E6" w:rsidRDefault="00000000">
      <w:pPr>
        <w:shd w:val="clear" w:color="auto" w:fill="FFFFFF"/>
        <w:spacing w:line="276" w:lineRule="auto"/>
        <w:ind w:right="-716"/>
        <w:rPr>
          <w:rFonts w:ascii="Open Sans" w:eastAsia="Open Sans" w:hAnsi="Open Sans" w:cs="Open Sans"/>
          <w:color w:val="000000"/>
          <w:sz w:val="22"/>
          <w:szCs w:val="22"/>
          <w:lang w:val="en-US"/>
        </w:rPr>
      </w:pP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 xml:space="preserve">638 68 19 85      </w:t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ab/>
      </w:r>
    </w:p>
    <w:p w14:paraId="00000045" w14:textId="77777777" w:rsidR="00AA2CC1" w:rsidRPr="00FC42E6" w:rsidRDefault="00000000">
      <w:pPr>
        <w:shd w:val="clear" w:color="auto" w:fill="FFFFFF"/>
        <w:ind w:right="-716"/>
        <w:rPr>
          <w:rFonts w:ascii="Arial" w:eastAsia="Arial" w:hAnsi="Arial" w:cs="Arial"/>
          <w:color w:val="222222"/>
          <w:sz w:val="22"/>
          <w:szCs w:val="22"/>
          <w:lang w:val="en-US"/>
        </w:rPr>
      </w:pPr>
      <w:r w:rsidRPr="00FC42E6">
        <w:rPr>
          <w:rFonts w:ascii="Arial" w:eastAsia="Arial" w:hAnsi="Arial" w:cs="Arial"/>
          <w:color w:val="222222"/>
          <w:sz w:val="22"/>
          <w:szCs w:val="22"/>
          <w:lang w:val="en-US"/>
        </w:rPr>
        <w:tab/>
      </w:r>
      <w:r w:rsidRPr="00FC42E6">
        <w:rPr>
          <w:rFonts w:ascii="Arial" w:eastAsia="Arial" w:hAnsi="Arial" w:cs="Arial"/>
          <w:color w:val="222222"/>
          <w:sz w:val="22"/>
          <w:szCs w:val="22"/>
          <w:lang w:val="en-US"/>
        </w:rPr>
        <w:tab/>
      </w:r>
      <w:r w:rsidRPr="00FC42E6">
        <w:rPr>
          <w:rFonts w:ascii="Arial" w:eastAsia="Arial" w:hAnsi="Arial" w:cs="Arial"/>
          <w:color w:val="222222"/>
          <w:sz w:val="22"/>
          <w:szCs w:val="22"/>
          <w:lang w:val="en-US"/>
        </w:rPr>
        <w:tab/>
      </w:r>
      <w:r w:rsidRPr="00FC42E6">
        <w:rPr>
          <w:rFonts w:ascii="Arial" w:eastAsia="Arial" w:hAnsi="Arial" w:cs="Arial"/>
          <w:color w:val="222222"/>
          <w:sz w:val="22"/>
          <w:szCs w:val="22"/>
          <w:lang w:val="en-US"/>
        </w:rPr>
        <w:tab/>
      </w:r>
      <w:r w:rsidRPr="00FC42E6">
        <w:rPr>
          <w:rFonts w:ascii="Arial" w:eastAsia="Arial" w:hAnsi="Arial" w:cs="Arial"/>
          <w:color w:val="222222"/>
          <w:sz w:val="22"/>
          <w:szCs w:val="22"/>
          <w:lang w:val="en-US"/>
        </w:rPr>
        <w:tab/>
      </w:r>
      <w:r w:rsidRPr="00FC42E6">
        <w:rPr>
          <w:rFonts w:ascii="Arial" w:eastAsia="Arial" w:hAnsi="Arial" w:cs="Arial"/>
          <w:color w:val="222222"/>
          <w:sz w:val="22"/>
          <w:szCs w:val="22"/>
          <w:lang w:val="en-US"/>
        </w:rPr>
        <w:tab/>
      </w:r>
      <w:r w:rsidRPr="00FC42E6">
        <w:rPr>
          <w:rFonts w:ascii="Arial" w:eastAsia="Arial" w:hAnsi="Arial" w:cs="Arial"/>
          <w:color w:val="222222"/>
          <w:sz w:val="22"/>
          <w:szCs w:val="22"/>
          <w:lang w:val="en-US"/>
        </w:rPr>
        <w:tab/>
        <w:t xml:space="preserve">     </w:t>
      </w:r>
    </w:p>
    <w:p w14:paraId="00000046" w14:textId="77777777" w:rsidR="00AA2CC1" w:rsidRPr="00FC42E6" w:rsidRDefault="00000000">
      <w:pPr>
        <w:shd w:val="clear" w:color="auto" w:fill="FFFFFF"/>
        <w:ind w:right="-716"/>
        <w:rPr>
          <w:rFonts w:ascii="Open Sans" w:eastAsia="Open Sans" w:hAnsi="Open Sans" w:cs="Open Sans"/>
          <w:b/>
          <w:color w:val="000000"/>
          <w:sz w:val="22"/>
          <w:szCs w:val="22"/>
          <w:lang w:val="en-US"/>
        </w:rPr>
      </w:pPr>
      <w:r w:rsidRPr="00FC42E6">
        <w:rPr>
          <w:rFonts w:ascii="Open Sans" w:eastAsia="Open Sans" w:hAnsi="Open Sans" w:cs="Open Sans"/>
          <w:b/>
          <w:color w:val="000000"/>
          <w:sz w:val="22"/>
          <w:szCs w:val="22"/>
          <w:lang w:val="en-US"/>
        </w:rPr>
        <w:t>Fanny Merino</w:t>
      </w:r>
    </w:p>
    <w:p w14:paraId="00000047" w14:textId="77777777" w:rsidR="00AA2CC1" w:rsidRPr="00FC42E6" w:rsidRDefault="00000000">
      <w:pPr>
        <w:shd w:val="clear" w:color="auto" w:fill="FFFFFF"/>
        <w:ind w:right="-716"/>
        <w:rPr>
          <w:rFonts w:ascii="Open Sans" w:eastAsia="Open Sans" w:hAnsi="Open Sans" w:cs="Open Sans"/>
          <w:b/>
          <w:color w:val="000000"/>
          <w:sz w:val="22"/>
          <w:szCs w:val="22"/>
          <w:lang w:val="en-US"/>
        </w:rPr>
      </w:pPr>
      <w:hyperlink r:id="rId27">
        <w:r w:rsidRPr="00FC42E6">
          <w:rPr>
            <w:rFonts w:ascii="Open Sans" w:eastAsia="Open Sans" w:hAnsi="Open Sans" w:cs="Open Sans"/>
            <w:color w:val="0000FF"/>
            <w:sz w:val="22"/>
            <w:szCs w:val="22"/>
            <w:u w:val="single"/>
            <w:lang w:val="en-US"/>
          </w:rPr>
          <w:t>emerino@llorenteycuenca.com</w:t>
        </w:r>
      </w:hyperlink>
      <w:r w:rsidRPr="00FC42E6">
        <w:rPr>
          <w:rFonts w:ascii="Open Sans" w:eastAsia="Open Sans" w:hAnsi="Open Sans" w:cs="Open Sans"/>
          <w:color w:val="0000FF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FF"/>
          <w:sz w:val="22"/>
          <w:szCs w:val="22"/>
          <w:lang w:val="en-US"/>
        </w:rPr>
        <w:tab/>
      </w:r>
    </w:p>
    <w:p w14:paraId="00000048" w14:textId="77777777" w:rsidR="00AA2CC1" w:rsidRPr="00FC42E6" w:rsidRDefault="00000000">
      <w:pPr>
        <w:shd w:val="clear" w:color="auto" w:fill="FFFFFF"/>
        <w:ind w:right="-716"/>
        <w:rPr>
          <w:rFonts w:ascii="Open Sans" w:eastAsia="Open Sans" w:hAnsi="Open Sans" w:cs="Open Sans"/>
          <w:color w:val="000000"/>
          <w:sz w:val="22"/>
          <w:szCs w:val="22"/>
          <w:lang w:val="en-US"/>
        </w:rPr>
      </w:pPr>
      <w:r w:rsidRPr="00FC42E6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>663 35 69 75 </w:t>
      </w:r>
    </w:p>
    <w:p w14:paraId="00000049" w14:textId="77777777" w:rsidR="00AA2CC1" w:rsidRPr="00FC42E6" w:rsidRDefault="00AA2CC1">
      <w:pPr>
        <w:shd w:val="clear" w:color="auto" w:fill="FFFFFF"/>
        <w:ind w:right="-716"/>
        <w:rPr>
          <w:rFonts w:ascii="Open Sans" w:eastAsia="Open Sans" w:hAnsi="Open Sans" w:cs="Open Sans"/>
          <w:color w:val="000000"/>
          <w:sz w:val="22"/>
          <w:szCs w:val="22"/>
          <w:lang w:val="en-US"/>
        </w:rPr>
      </w:pPr>
    </w:p>
    <w:p w14:paraId="0000004A" w14:textId="77777777" w:rsidR="00AA2CC1" w:rsidRPr="00FC42E6" w:rsidRDefault="00000000">
      <w:pPr>
        <w:shd w:val="clear" w:color="auto" w:fill="FFFFFF"/>
        <w:ind w:right="-716"/>
        <w:rPr>
          <w:rFonts w:ascii="Open Sans" w:eastAsia="Open Sans" w:hAnsi="Open Sans" w:cs="Open Sans"/>
          <w:b/>
          <w:color w:val="000000"/>
          <w:sz w:val="22"/>
          <w:szCs w:val="22"/>
          <w:lang w:val="en-US"/>
        </w:rPr>
      </w:pPr>
      <w:r w:rsidRPr="00FC42E6">
        <w:rPr>
          <w:rFonts w:ascii="Open Sans" w:eastAsia="Open Sans" w:hAnsi="Open Sans" w:cs="Open Sans"/>
          <w:b/>
          <w:color w:val="000000"/>
          <w:sz w:val="22"/>
          <w:szCs w:val="22"/>
          <w:lang w:val="en-US"/>
        </w:rPr>
        <w:t>Paula Iglesias</w:t>
      </w:r>
    </w:p>
    <w:p w14:paraId="0000004B" w14:textId="77777777" w:rsidR="00AA2CC1" w:rsidRPr="00FC42E6" w:rsidRDefault="00000000">
      <w:pPr>
        <w:shd w:val="clear" w:color="auto" w:fill="FFFFFF"/>
        <w:ind w:right="-716"/>
        <w:rPr>
          <w:rFonts w:ascii="Open Sans" w:eastAsia="Open Sans" w:hAnsi="Open Sans" w:cs="Open Sans"/>
          <w:b/>
          <w:color w:val="000000"/>
          <w:sz w:val="22"/>
          <w:szCs w:val="22"/>
          <w:lang w:val="en-US"/>
        </w:rPr>
      </w:pPr>
      <w:hyperlink r:id="rId28">
        <w:r w:rsidRPr="00FC42E6">
          <w:rPr>
            <w:rFonts w:ascii="Open Sans" w:eastAsia="Open Sans" w:hAnsi="Open Sans" w:cs="Open Sans"/>
            <w:color w:val="0000FF"/>
            <w:sz w:val="22"/>
            <w:szCs w:val="22"/>
            <w:u w:val="single"/>
            <w:lang w:val="en-US"/>
          </w:rPr>
          <w:t>piglesias@llorenteycuenca.com</w:t>
        </w:r>
      </w:hyperlink>
      <w:r w:rsidRPr="00FC42E6">
        <w:rPr>
          <w:rFonts w:ascii="Open Sans" w:eastAsia="Open Sans" w:hAnsi="Open Sans" w:cs="Open Sans"/>
          <w:color w:val="0000FF"/>
          <w:sz w:val="22"/>
          <w:szCs w:val="22"/>
          <w:lang w:val="en-US"/>
        </w:rPr>
        <w:tab/>
      </w:r>
      <w:r w:rsidRPr="00FC42E6">
        <w:rPr>
          <w:rFonts w:ascii="Open Sans" w:eastAsia="Open Sans" w:hAnsi="Open Sans" w:cs="Open Sans"/>
          <w:color w:val="0000FF"/>
          <w:sz w:val="22"/>
          <w:szCs w:val="22"/>
          <w:lang w:val="en-US"/>
        </w:rPr>
        <w:tab/>
      </w:r>
    </w:p>
    <w:p w14:paraId="0000004C" w14:textId="77777777" w:rsidR="00AA2CC1" w:rsidRDefault="00000000">
      <w:pPr>
        <w:shd w:val="clear" w:color="auto" w:fill="FFFFFF"/>
        <w:ind w:right="-716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662 450 236</w:t>
      </w:r>
    </w:p>
    <w:p w14:paraId="0000004D" w14:textId="77777777" w:rsidR="00AA2CC1" w:rsidRDefault="00AA2CC1">
      <w:pPr>
        <w:spacing w:line="276" w:lineRule="auto"/>
        <w:ind w:right="-574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</w:p>
    <w:sectPr w:rsidR="00AA2CC1">
      <w:headerReference w:type="default" r:id="rId29"/>
      <w:footerReference w:type="default" r:id="rId30"/>
      <w:pgSz w:w="11900" w:h="16840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C8D5" w14:textId="77777777" w:rsidR="004B5916" w:rsidRDefault="004B5916">
      <w:r>
        <w:separator/>
      </w:r>
    </w:p>
  </w:endnote>
  <w:endnote w:type="continuationSeparator" w:id="0">
    <w:p w14:paraId="4224F04B" w14:textId="77777777" w:rsidR="004B5916" w:rsidRDefault="004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tional-Regular">
    <w:panose1 w:val="00000000000000000000"/>
    <w:charset w:val="00"/>
    <w:family w:val="roman"/>
    <w:notTrueType/>
    <w:pitch w:val="default"/>
  </w:font>
  <w:font w:name="National-MediumItalic">
    <w:panose1 w:val="00000000000000000000"/>
    <w:charset w:val="00"/>
    <w:family w:val="roman"/>
    <w:notTrueType/>
    <w:pitch w:val="default"/>
  </w:font>
  <w:font w:name="National">
    <w:altName w:val="Calibri"/>
    <w:charset w:val="00"/>
    <w:family w:val="auto"/>
    <w:pitch w:val="default"/>
  </w:font>
  <w:font w:name="Open Sans">
    <w:charset w:val="00"/>
    <w:family w:val="auto"/>
    <w:pitch w:val="default"/>
  </w:font>
  <w:font w:name="Open Sans Ligh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AA2C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-1068058</wp:posOffset>
          </wp:positionH>
          <wp:positionV relativeFrom="paragraph">
            <wp:posOffset>174608</wp:posOffset>
          </wp:positionV>
          <wp:extent cx="7670550" cy="451315"/>
          <wp:effectExtent l="0" t="0" r="0" b="0"/>
          <wp:wrapNone/>
          <wp:docPr id="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550" cy="45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79C0" w14:textId="77777777" w:rsidR="004B5916" w:rsidRDefault="004B5916">
      <w:r>
        <w:separator/>
      </w:r>
    </w:p>
  </w:footnote>
  <w:footnote w:type="continuationSeparator" w:id="0">
    <w:p w14:paraId="3918DA64" w14:textId="77777777" w:rsidR="004B5916" w:rsidRDefault="004B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AA2C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-1121122</wp:posOffset>
          </wp:positionH>
          <wp:positionV relativeFrom="paragraph">
            <wp:posOffset>225177</wp:posOffset>
          </wp:positionV>
          <wp:extent cx="7581265" cy="1019175"/>
          <wp:effectExtent l="0" t="0" r="0" b="0"/>
          <wp:wrapNone/>
          <wp:docPr id="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F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0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1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2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3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4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5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56" w14:textId="77777777" w:rsidR="00AA2CC1" w:rsidRDefault="00AA2C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72C"/>
    <w:multiLevelType w:val="multilevel"/>
    <w:tmpl w:val="0EC03E1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0619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C1"/>
    <w:rsid w:val="004B5916"/>
    <w:rsid w:val="00AA2CC1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EA1E"/>
  <w15:docId w15:val="{5185999A-490C-4782-8BC5-13527D23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C1"/>
  </w:style>
  <w:style w:type="paragraph" w:styleId="Ttulo1">
    <w:name w:val="heading 1"/>
    <w:basedOn w:val="Normal"/>
    <w:next w:val="Normal"/>
    <w:link w:val="Ttulo1Car"/>
    <w:uiPriority w:val="9"/>
    <w:qFormat/>
    <w:rsid w:val="00E447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A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F2E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84C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D4C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CA4"/>
  </w:style>
  <w:style w:type="paragraph" w:styleId="Piedepgina">
    <w:name w:val="footer"/>
    <w:basedOn w:val="Normal"/>
    <w:link w:val="PiedepginaCar"/>
    <w:uiPriority w:val="99"/>
    <w:unhideWhenUsed/>
    <w:rsid w:val="00DD4C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CA4"/>
  </w:style>
  <w:style w:type="character" w:styleId="Hipervnculo">
    <w:name w:val="Hyperlink"/>
    <w:basedOn w:val="Fuentedeprrafopredeter"/>
    <w:uiPriority w:val="99"/>
    <w:unhideWhenUsed/>
    <w:rsid w:val="00DC7A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29E9"/>
    <w:pPr>
      <w:ind w:left="720"/>
      <w:contextualSpacing/>
    </w:pPr>
  </w:style>
  <w:style w:type="table" w:customStyle="1" w:styleId="Tabladecuadrcula5oscura-nfasis11">
    <w:name w:val="Tabla de cuadrícula 5 oscura - Énfasis 11"/>
    <w:basedOn w:val="Tablanormal"/>
    <w:uiPriority w:val="50"/>
    <w:rsid w:val="00753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64B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4B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4BE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F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FE2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4E4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813155"/>
    <w:pPr>
      <w:spacing w:after="200"/>
    </w:pPr>
    <w:rPr>
      <w:i/>
      <w:iCs/>
      <w:color w:val="44546A" w:themeColor="text2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34"/>
    <w:qFormat/>
    <w:rsid w:val="00471E3C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471E3C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6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636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E263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9F2EE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F2EE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4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A7EA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F36B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A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ld">
    <w:name w:val="bold"/>
    <w:basedOn w:val="Fuentedeprrafopredeter"/>
    <w:rsid w:val="008A24C9"/>
  </w:style>
  <w:style w:type="character" w:customStyle="1" w:styleId="d-none">
    <w:name w:val="d-none"/>
    <w:basedOn w:val="Fuentedeprrafopredeter"/>
    <w:rsid w:val="008A24C9"/>
  </w:style>
  <w:style w:type="character" w:customStyle="1" w:styleId="font-2x">
    <w:name w:val="font-2x"/>
    <w:basedOn w:val="Fuentedeprrafopredeter"/>
    <w:rsid w:val="008A24C9"/>
  </w:style>
  <w:style w:type="character" w:customStyle="1" w:styleId="decoracion2">
    <w:name w:val="decoracion2"/>
    <w:basedOn w:val="Fuentedeprrafopredeter"/>
    <w:rsid w:val="008A24C9"/>
  </w:style>
  <w:style w:type="paragraph" w:styleId="Revisin">
    <w:name w:val="Revision"/>
    <w:hidden/>
    <w:uiPriority w:val="99"/>
    <w:semiHidden/>
    <w:rsid w:val="00FC54D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uentedeprrafopredeter"/>
    <w:rsid w:val="00D95EF1"/>
    <w:rPr>
      <w:rFonts w:ascii="National-Regular" w:hAnsi="National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D95EF1"/>
    <w:rPr>
      <w:rFonts w:ascii="National-MediumItalic" w:hAnsi="National-MediumItalic" w:hint="default"/>
      <w:b w:val="0"/>
      <w:bCs w:val="0"/>
      <w:i/>
      <w:iCs/>
      <w:color w:val="57575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6360.pcdn.co/wp-content/uploads/2022/11/Experiencia-en-alquiler-2022.pdf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otocasa.es/es/" TargetMode="External"/><Relationship Id="rId26" Type="http://schemas.openxmlformats.org/officeDocument/2006/relationships/hyperlink" Target="mailto:rtorne@llorenteycuenc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ches.ne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fotocasa.es/es/quienes-somos/" TargetMode="External"/><Relationship Id="rId25" Type="http://schemas.openxmlformats.org/officeDocument/2006/relationships/hyperlink" Target="mailto:comunicacion@fotocasa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evinta.com/" TargetMode="External"/><Relationship Id="rId20" Type="http://schemas.openxmlformats.org/officeDocument/2006/relationships/hyperlink" Target="https://www.infojobs.net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adevinta.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ensa.fotocasa.es" TargetMode="External"/><Relationship Id="rId23" Type="http://schemas.openxmlformats.org/officeDocument/2006/relationships/hyperlink" Target="https://www.milanuncios.com/" TargetMode="External"/><Relationship Id="rId28" Type="http://schemas.openxmlformats.org/officeDocument/2006/relationships/hyperlink" Target="mailto:piglesias@llorenteycuenca.com" TargetMode="External"/><Relationship Id="rId10" Type="http://schemas.openxmlformats.org/officeDocument/2006/relationships/hyperlink" Target="https://www.fotocasa.es/es/" TargetMode="External"/><Relationship Id="rId19" Type="http://schemas.openxmlformats.org/officeDocument/2006/relationships/hyperlink" Target="https://www.habitaclia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tocasa.es/es/" TargetMode="External"/><Relationship Id="rId14" Type="http://schemas.openxmlformats.org/officeDocument/2006/relationships/hyperlink" Target="https://www.fotocasa.es/indice/" TargetMode="External"/><Relationship Id="rId22" Type="http://schemas.openxmlformats.org/officeDocument/2006/relationships/hyperlink" Target="https://motos.coches.net/" TargetMode="External"/><Relationship Id="rId27" Type="http://schemas.openxmlformats.org/officeDocument/2006/relationships/hyperlink" Target="mailto:emerino@llorenteycuenca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LupgrTXFEEbaomCsdS0lOr5s0w==">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1495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Urrea Rodriguez</dc:creator>
  <cp:lastModifiedBy>Anaïs López García</cp:lastModifiedBy>
  <cp:revision>2</cp:revision>
  <dcterms:created xsi:type="dcterms:W3CDTF">2022-04-21T07:41:00Z</dcterms:created>
  <dcterms:modified xsi:type="dcterms:W3CDTF">2022-12-15T11:07:00Z</dcterms:modified>
</cp:coreProperties>
</file>