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EA3E" w14:textId="77777777" w:rsidR="004D63F3" w:rsidRDefault="00000000">
      <w:pPr>
        <w:ind w:right="-574"/>
      </w:pPr>
      <w:bookmarkStart w:id="0" w:name="_heading=h.gjdgxs" w:colFirst="0" w:colLast="0"/>
      <w:bookmarkStart w:id="1" w:name="_Hlk125629705"/>
      <w:bookmarkEnd w:id="0"/>
      <w:bookmarkEnd w:id="1"/>
      <w:r>
        <w:rPr>
          <w:noProof/>
        </w:rPr>
        <w:drawing>
          <wp:anchor distT="0" distB="0" distL="114300" distR="114300" simplePos="0" relativeHeight="251658240" behindDoc="0" locked="0" layoutInCell="1" hidden="0" allowOverlap="1" wp14:anchorId="3D871BCA" wp14:editId="0341DF64">
            <wp:simplePos x="0" y="0"/>
            <wp:positionH relativeFrom="column">
              <wp:posOffset>-1078864</wp:posOffset>
            </wp:positionH>
            <wp:positionV relativeFrom="paragraph">
              <wp:posOffset>-350452</wp:posOffset>
            </wp:positionV>
            <wp:extent cx="7581265" cy="1019175"/>
            <wp:effectExtent l="0" t="0" r="0" b="0"/>
            <wp:wrapNone/>
            <wp:docPr id="3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7581265" cy="1019175"/>
                    </a:xfrm>
                    <a:prstGeom prst="rect">
                      <a:avLst/>
                    </a:prstGeom>
                    <a:ln/>
                  </pic:spPr>
                </pic:pic>
              </a:graphicData>
            </a:graphic>
          </wp:anchor>
        </w:drawing>
      </w:r>
    </w:p>
    <w:p w14:paraId="4C892B15" w14:textId="77777777" w:rsidR="004D63F3" w:rsidRDefault="004D63F3">
      <w:pPr>
        <w:ind w:right="-574"/>
        <w:jc w:val="right"/>
        <w:rPr>
          <w:rFonts w:ascii="National" w:eastAsia="National" w:hAnsi="National" w:cs="National"/>
          <w:color w:val="303AB2"/>
          <w:sz w:val="36"/>
          <w:szCs w:val="36"/>
        </w:rPr>
      </w:pPr>
    </w:p>
    <w:p w14:paraId="4546A74F" w14:textId="77777777" w:rsidR="004D63F3" w:rsidRDefault="004D63F3">
      <w:pPr>
        <w:ind w:right="-574"/>
        <w:jc w:val="right"/>
        <w:rPr>
          <w:rFonts w:ascii="National" w:eastAsia="National" w:hAnsi="National" w:cs="National"/>
          <w:color w:val="303AB2"/>
          <w:sz w:val="36"/>
          <w:szCs w:val="36"/>
        </w:rPr>
      </w:pPr>
    </w:p>
    <w:p w14:paraId="428D6401" w14:textId="77777777" w:rsidR="004D63F3" w:rsidRDefault="004D63F3">
      <w:pPr>
        <w:ind w:right="-574"/>
        <w:rPr>
          <w:rFonts w:ascii="National" w:eastAsia="National" w:hAnsi="National" w:cs="National"/>
          <w:color w:val="303AB2"/>
          <w:sz w:val="16"/>
          <w:szCs w:val="16"/>
        </w:rPr>
      </w:pPr>
    </w:p>
    <w:p w14:paraId="45426031" w14:textId="77777777" w:rsidR="004D63F3" w:rsidRDefault="00000000">
      <w:pPr>
        <w:spacing w:line="276" w:lineRule="auto"/>
        <w:ind w:right="-574"/>
        <w:jc w:val="center"/>
        <w:rPr>
          <w:rFonts w:ascii="National" w:eastAsia="National" w:hAnsi="National" w:cs="National"/>
          <w:b/>
          <w:color w:val="1DBDC5"/>
          <w:sz w:val="38"/>
          <w:szCs w:val="38"/>
        </w:rPr>
      </w:pPr>
      <w:bookmarkStart w:id="2" w:name="_heading=h.30j0zll" w:colFirst="0" w:colLast="0"/>
      <w:bookmarkEnd w:id="2"/>
      <w:r>
        <w:rPr>
          <w:rFonts w:ascii="National" w:eastAsia="National" w:hAnsi="National" w:cs="National"/>
          <w:b/>
          <w:color w:val="1DBDC5"/>
          <w:sz w:val="38"/>
          <w:szCs w:val="38"/>
        </w:rPr>
        <w:t xml:space="preserve">2022: ANÁLISIS RENTABILIDAD VIVIENDA </w:t>
      </w:r>
    </w:p>
    <w:p w14:paraId="1E710BDF" w14:textId="4D2AE5C5" w:rsidR="004D63F3" w:rsidRDefault="00000000">
      <w:pPr>
        <w:ind w:right="-574"/>
        <w:jc w:val="center"/>
        <w:rPr>
          <w:rFonts w:ascii="National" w:eastAsia="National" w:hAnsi="National" w:cs="National"/>
          <w:b/>
          <w:color w:val="303AB2"/>
          <w:sz w:val="46"/>
          <w:szCs w:val="46"/>
        </w:rPr>
      </w:pPr>
      <w:r>
        <w:rPr>
          <w:rFonts w:ascii="National" w:eastAsia="National" w:hAnsi="National" w:cs="National"/>
          <w:b/>
          <w:color w:val="303AB2"/>
          <w:sz w:val="46"/>
          <w:szCs w:val="46"/>
        </w:rPr>
        <w:t xml:space="preserve">La rentabilidad de la vivienda en España cierra 2022 </w:t>
      </w:r>
      <w:r w:rsidR="00D16C88">
        <w:rPr>
          <w:rFonts w:ascii="National" w:eastAsia="National" w:hAnsi="National" w:cs="National"/>
          <w:b/>
          <w:color w:val="303AB2"/>
          <w:sz w:val="46"/>
          <w:szCs w:val="46"/>
        </w:rPr>
        <w:t>en</w:t>
      </w:r>
      <w:r>
        <w:rPr>
          <w:rFonts w:ascii="National" w:eastAsia="National" w:hAnsi="National" w:cs="National"/>
          <w:b/>
          <w:color w:val="303AB2"/>
          <w:sz w:val="46"/>
          <w:szCs w:val="46"/>
        </w:rPr>
        <w:t xml:space="preserve"> un 6,5%</w:t>
      </w:r>
    </w:p>
    <w:p w14:paraId="71E13C35" w14:textId="77777777" w:rsidR="004D63F3" w:rsidRDefault="004D63F3">
      <w:pPr>
        <w:ind w:right="-574"/>
        <w:rPr>
          <w:rFonts w:ascii="National" w:eastAsia="National" w:hAnsi="National" w:cs="National"/>
          <w:b/>
          <w:color w:val="303AB2"/>
          <w:sz w:val="16"/>
          <w:szCs w:val="16"/>
        </w:rPr>
      </w:pPr>
    </w:p>
    <w:p w14:paraId="68CFA10E" w14:textId="77777777" w:rsidR="004D63F3"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rPr>
      </w:pPr>
      <w:r>
        <w:rPr>
          <w:rFonts w:ascii="Open Sans" w:eastAsia="Open Sans" w:hAnsi="Open Sans" w:cs="Open Sans"/>
          <w:color w:val="000000"/>
        </w:rPr>
        <w:t>La rentabilidad de España del 6,5% registrada en diciembre de 2022 es la misma que en 2021</w:t>
      </w:r>
    </w:p>
    <w:p w14:paraId="00629432" w14:textId="77777777" w:rsidR="004D63F3"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rPr>
      </w:pPr>
      <w:r>
        <w:rPr>
          <w:rFonts w:ascii="Open Sans" w:eastAsia="Open Sans" w:hAnsi="Open Sans" w:cs="Open Sans"/>
          <w:color w:val="000000"/>
        </w:rPr>
        <w:t xml:space="preserve">Comunitat Valenciana es la más rentable con un 7,7% en 2022, 1,8 puntos más rentable que hace 5 años (5,9% en 2017) </w:t>
      </w:r>
    </w:p>
    <w:p w14:paraId="60DBEA2D" w14:textId="77777777" w:rsidR="004D63F3"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rPr>
      </w:pPr>
      <w:r>
        <w:rPr>
          <w:rFonts w:ascii="Open Sans" w:eastAsia="Open Sans" w:hAnsi="Open Sans" w:cs="Open Sans"/>
          <w:color w:val="000000"/>
        </w:rPr>
        <w:t xml:space="preserve">Invertir en vivienda en las capitales de Huelva, Lleida, Santa Cruz de Tenerife capital y Tarragona capital da una rentabilidad superior al 7%  </w:t>
      </w:r>
    </w:p>
    <w:p w14:paraId="7BAB793E" w14:textId="0E7DD6DB" w:rsidR="00D16C88" w:rsidRPr="00D16C88" w:rsidRDefault="001B58CE">
      <w:pPr>
        <w:numPr>
          <w:ilvl w:val="0"/>
          <w:numId w:val="1"/>
        </w:numPr>
        <w:pBdr>
          <w:top w:val="nil"/>
          <w:left w:val="nil"/>
          <w:bottom w:val="nil"/>
          <w:right w:val="nil"/>
          <w:between w:val="nil"/>
        </w:pBdr>
        <w:spacing w:line="276" w:lineRule="auto"/>
        <w:ind w:right="-574"/>
        <w:jc w:val="both"/>
        <w:rPr>
          <w:rFonts w:ascii="Open Sans" w:eastAsia="Open Sans" w:hAnsi="Open Sans" w:cs="Open Sans"/>
          <w:b/>
          <w:bCs/>
          <w:color w:val="000000"/>
        </w:rPr>
      </w:pPr>
      <w:hyperlink r:id="rId9" w:history="1">
        <w:r w:rsidR="00D16C88" w:rsidRPr="001B58CE">
          <w:rPr>
            <w:rStyle w:val="Hipervnculo"/>
            <w:rFonts w:ascii="Open Sans" w:eastAsia="Open Sans" w:hAnsi="Open Sans" w:cs="Open Sans"/>
            <w:b/>
            <w:bCs/>
          </w:rPr>
          <w:t>Aquí se puede ver un vídeo con la valoración de la directora de Estudios</w:t>
        </w:r>
      </w:hyperlink>
    </w:p>
    <w:p w14:paraId="582943C1" w14:textId="77777777" w:rsidR="004D63F3" w:rsidRDefault="004D63F3">
      <w:pPr>
        <w:spacing w:line="276" w:lineRule="auto"/>
        <w:ind w:right="-574"/>
        <w:rPr>
          <w:rFonts w:ascii="Open Sans Light" w:eastAsia="Open Sans Light" w:hAnsi="Open Sans Light" w:cs="Open Sans Light"/>
          <w:color w:val="303AB2"/>
        </w:rPr>
      </w:pPr>
    </w:p>
    <w:p w14:paraId="42191FF3" w14:textId="77777777" w:rsidR="004D63F3" w:rsidRDefault="00000000">
      <w:pPr>
        <w:spacing w:line="276" w:lineRule="auto"/>
        <w:ind w:right="-574"/>
        <w:rPr>
          <w:rFonts w:ascii="Open Sans Light" w:eastAsia="Open Sans Light" w:hAnsi="Open Sans Light" w:cs="Open Sans Light"/>
          <w:b/>
          <w:color w:val="303AB2"/>
        </w:rPr>
      </w:pPr>
      <w:r>
        <w:rPr>
          <w:rFonts w:ascii="Open Sans Light" w:eastAsia="Open Sans Light" w:hAnsi="Open Sans Light" w:cs="Open Sans Light"/>
          <w:b/>
          <w:color w:val="303AB2"/>
        </w:rPr>
        <w:t>Madrid, 30 de enero de 2023</w:t>
      </w:r>
    </w:p>
    <w:p w14:paraId="58EB8923" w14:textId="77777777" w:rsidR="004D63F3" w:rsidRDefault="00000000">
      <w:pPr>
        <w:pBdr>
          <w:top w:val="nil"/>
          <w:left w:val="nil"/>
          <w:bottom w:val="nil"/>
          <w:right w:val="nil"/>
          <w:between w:val="nil"/>
        </w:pBdr>
        <w:shd w:val="clear" w:color="auto" w:fill="FFFFFF"/>
        <w:spacing w:before="280" w:after="280" w:line="276" w:lineRule="auto"/>
        <w:ind w:right="-574"/>
        <w:jc w:val="both"/>
        <w:rPr>
          <w:rFonts w:ascii="Open Sans Light" w:eastAsia="Open Sans Light" w:hAnsi="Open Sans Light" w:cs="Open Sans Light"/>
          <w:b/>
          <w:color w:val="303AB2"/>
          <w:sz w:val="30"/>
          <w:szCs w:val="30"/>
        </w:rPr>
      </w:pPr>
      <w:r>
        <w:rPr>
          <w:rFonts w:ascii="Open Sans" w:eastAsia="Open Sans" w:hAnsi="Open Sans" w:cs="Open Sans"/>
          <w:color w:val="000000"/>
          <w:sz w:val="22"/>
          <w:szCs w:val="22"/>
        </w:rPr>
        <w:t xml:space="preserve">La rentabilidad anual de la vivienda en España en 2022 se sitúa en un 6,5%, 0,3 punto más que hace 5 años (un 6,2% en 2017) y 1,8 punto más que hace 10 años (un 4,6% en 2012), según el estudio de </w:t>
      </w:r>
      <w:r>
        <w:rPr>
          <w:rFonts w:ascii="Open Sans" w:eastAsia="Open Sans" w:hAnsi="Open Sans" w:cs="Open Sans"/>
          <w:b/>
          <w:color w:val="000000"/>
          <w:sz w:val="22"/>
          <w:szCs w:val="22"/>
        </w:rPr>
        <w:t>“</w:t>
      </w:r>
      <w:r>
        <w:rPr>
          <w:rFonts w:ascii="Open Sans" w:eastAsia="Open Sans" w:hAnsi="Open Sans" w:cs="Open Sans"/>
          <w:b/>
          <w:i/>
          <w:color w:val="000000"/>
          <w:sz w:val="22"/>
          <w:szCs w:val="22"/>
        </w:rPr>
        <w:t>La rentabilidad de la vivienda en España en 2022”,</w:t>
      </w:r>
      <w:r>
        <w:rPr>
          <w:rFonts w:ascii="Open Sans" w:eastAsia="Open Sans" w:hAnsi="Open Sans" w:cs="Open Sans"/>
          <w:color w:val="000000"/>
          <w:sz w:val="22"/>
          <w:szCs w:val="22"/>
        </w:rPr>
        <w:t xml:space="preserve"> basado en el análisis de los precios de la vivienda en venta y alquiler de diciembre de 2022 por el portal inmobiliario </w:t>
      </w:r>
      <w:hyperlink r:id="rId10">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 Los datos también indican que adquirir una propiedad para ponerla en alquiler en diciembre tiene la misma rentabilidad que en 2021 (6,5%).</w:t>
      </w:r>
      <w:r>
        <w:rPr>
          <w:rFonts w:ascii="Open Sans Light" w:eastAsia="Open Sans Light" w:hAnsi="Open Sans Light" w:cs="Open Sans Light"/>
          <w:b/>
          <w:color w:val="303AB2"/>
          <w:sz w:val="30"/>
          <w:szCs w:val="30"/>
        </w:rPr>
        <w:t xml:space="preserve"> </w:t>
      </w:r>
    </w:p>
    <w:p w14:paraId="5EF8F814" w14:textId="77777777" w:rsidR="004D63F3" w:rsidRDefault="00000000">
      <w:pPr>
        <w:pBdr>
          <w:top w:val="nil"/>
          <w:left w:val="nil"/>
          <w:bottom w:val="nil"/>
          <w:right w:val="nil"/>
          <w:between w:val="nil"/>
        </w:pBdr>
        <w:shd w:val="clear" w:color="auto" w:fill="FFFFFF"/>
        <w:spacing w:before="280" w:after="280" w:line="276" w:lineRule="auto"/>
        <w:ind w:right="-574"/>
        <w:jc w:val="center"/>
        <w:rPr>
          <w:rFonts w:ascii="Open Sans" w:eastAsia="Open Sans" w:hAnsi="Open Sans" w:cs="Open Sans"/>
          <w:color w:val="000000"/>
          <w:sz w:val="22"/>
          <w:szCs w:val="22"/>
        </w:rPr>
      </w:pPr>
      <w:r>
        <w:rPr>
          <w:rFonts w:ascii="Open Sans Light" w:eastAsia="Open Sans Light" w:hAnsi="Open Sans Light" w:cs="Open Sans Light"/>
          <w:b/>
          <w:color w:val="303AB2"/>
          <w:sz w:val="30"/>
          <w:szCs w:val="30"/>
        </w:rPr>
        <w:t>Rentabilidad de la vivienda en España en los últimos años</w:t>
      </w:r>
    </w:p>
    <w:p w14:paraId="1051F47B" w14:textId="77777777" w:rsidR="004D63F3" w:rsidRDefault="00000000">
      <w:pPr>
        <w:pBdr>
          <w:top w:val="nil"/>
          <w:left w:val="nil"/>
          <w:bottom w:val="nil"/>
          <w:right w:val="nil"/>
          <w:between w:val="nil"/>
        </w:pBdr>
        <w:shd w:val="clear" w:color="auto" w:fill="FFFFFF"/>
        <w:spacing w:before="280" w:after="280" w:line="276" w:lineRule="auto"/>
        <w:ind w:right="-574"/>
        <w:jc w:val="center"/>
        <w:rPr>
          <w:rFonts w:ascii="Open Sans Light" w:eastAsia="Open Sans Light" w:hAnsi="Open Sans Light" w:cs="Open Sans Light"/>
          <w:b/>
          <w:color w:val="303AB2"/>
          <w:sz w:val="30"/>
          <w:szCs w:val="30"/>
        </w:rPr>
      </w:pPr>
      <w:r>
        <w:rPr>
          <w:rFonts w:ascii="Times New Roman" w:eastAsia="Times New Roman" w:hAnsi="Times New Roman" w:cs="Times New Roman"/>
          <w:noProof/>
          <w:color w:val="000000"/>
        </w:rPr>
        <w:drawing>
          <wp:inline distT="0" distB="0" distL="0" distR="0" wp14:anchorId="1123ABFD" wp14:editId="2089C648">
            <wp:extent cx="5403054" cy="1863071"/>
            <wp:effectExtent l="0" t="0" r="0" b="0"/>
            <wp:docPr id="327" name="Gráfico 3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571513" w14:textId="77777777" w:rsidR="00D16C88" w:rsidRDefault="00D16C88">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sz w:val="22"/>
          <w:szCs w:val="22"/>
        </w:rPr>
      </w:pPr>
    </w:p>
    <w:p w14:paraId="331CC4A9" w14:textId="50D05191" w:rsidR="004D63F3" w:rsidRDefault="00000000">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sz w:val="22"/>
          <w:szCs w:val="22"/>
        </w:rPr>
      </w:pPr>
      <w:r>
        <w:rPr>
          <w:rFonts w:ascii="Open Sans" w:eastAsia="Open Sans" w:hAnsi="Open Sans" w:cs="Open Sans"/>
          <w:sz w:val="22"/>
          <w:szCs w:val="22"/>
        </w:rPr>
        <w:lastRenderedPageBreak/>
        <w:t xml:space="preserve">“El rendimiento de la vivienda se mantiene en niveles muy positivos. Es cierto que se esperaba que este año la rentabilidad bruta alcanzase un nuevo máximo debido al fervor con el que ha subido el precio del alquiler, al marcar récord histórico. Pero el precio de la compra de vivienda también ha </w:t>
      </w:r>
      <w:r w:rsidR="00106CF6">
        <w:rPr>
          <w:rFonts w:ascii="Open Sans" w:eastAsia="Open Sans" w:hAnsi="Open Sans" w:cs="Open Sans"/>
          <w:sz w:val="22"/>
          <w:szCs w:val="22"/>
        </w:rPr>
        <w:t>aumentado, -</w:t>
      </w:r>
      <w:r>
        <w:rPr>
          <w:rFonts w:ascii="Open Sans" w:eastAsia="Open Sans" w:hAnsi="Open Sans" w:cs="Open Sans"/>
          <w:sz w:val="22"/>
          <w:szCs w:val="22"/>
        </w:rPr>
        <w:t xml:space="preserve">sobre todo se ha acelerado en el último semestre del año-. Si ambos mercados presentan tendencia alcista, el rendimiento de comprar una vivienda para ponerla en alquiler se equilibra. </w:t>
      </w:r>
      <w:r w:rsidR="00106CF6">
        <w:rPr>
          <w:rFonts w:ascii="Open Sans" w:eastAsia="Open Sans" w:hAnsi="Open Sans" w:cs="Open Sans"/>
          <w:sz w:val="22"/>
          <w:szCs w:val="22"/>
        </w:rPr>
        <w:t>Igualmente,</w:t>
      </w:r>
      <w:r>
        <w:rPr>
          <w:rFonts w:ascii="Open Sans" w:eastAsia="Open Sans" w:hAnsi="Open Sans" w:cs="Open Sans"/>
          <w:sz w:val="22"/>
          <w:szCs w:val="22"/>
        </w:rPr>
        <w:t xml:space="preserve"> el ladrillo continúa siendo el activo más seguro que existe en el mercado y el producto financiero con mayor rentabilidad por lo que se mantiene como el foco de inversión principal para los ahorradores en momentos de incertidumbre económica. Muchos pequeños particulares que apuestan por la vivienda como un valor refugio y que se han lanzado a invertir al percibir este mercado como fiable tras la evolución y recuperación tan positiva tras la pandemia.” comenta María Matos, directora de Estudios y portavoz de </w:t>
      </w:r>
      <w:hyperlink r:id="rId12" w:history="1">
        <w:r w:rsidRPr="00106CF6">
          <w:rPr>
            <w:rStyle w:val="Hipervnculo"/>
            <w:rFonts w:ascii="Open Sans" w:eastAsia="Open Sans" w:hAnsi="Open Sans" w:cs="Open Sans"/>
            <w:sz w:val="22"/>
            <w:szCs w:val="22"/>
          </w:rPr>
          <w:t>Fotocasa</w:t>
        </w:r>
      </w:hyperlink>
      <w:r>
        <w:rPr>
          <w:rFonts w:ascii="Open Sans" w:eastAsia="Open Sans" w:hAnsi="Open Sans" w:cs="Open Sans"/>
          <w:sz w:val="22"/>
          <w:szCs w:val="22"/>
        </w:rPr>
        <w:t xml:space="preserve">. </w:t>
      </w:r>
    </w:p>
    <w:p w14:paraId="39A0386E" w14:textId="2312643A" w:rsidR="00D16C88" w:rsidRPr="00D16C88" w:rsidRDefault="001B58CE" w:rsidP="00D16C88">
      <w:pPr>
        <w:pBdr>
          <w:top w:val="nil"/>
          <w:left w:val="nil"/>
          <w:bottom w:val="nil"/>
          <w:right w:val="nil"/>
          <w:between w:val="nil"/>
        </w:pBdr>
        <w:shd w:val="clear" w:color="auto" w:fill="FFFFFF"/>
        <w:spacing w:before="280" w:after="280" w:line="276" w:lineRule="auto"/>
        <w:ind w:right="-574"/>
        <w:jc w:val="center"/>
        <w:rPr>
          <w:rFonts w:ascii="Open Sans" w:eastAsia="Open Sans" w:hAnsi="Open Sans" w:cs="Open Sans"/>
          <w:b/>
          <w:bCs/>
          <w:sz w:val="22"/>
          <w:szCs w:val="22"/>
        </w:rPr>
      </w:pPr>
      <w:hyperlink r:id="rId13" w:history="1">
        <w:r w:rsidR="00D16C88" w:rsidRPr="001B58CE">
          <w:rPr>
            <w:rStyle w:val="Hipervnculo"/>
            <w:rFonts w:ascii="Open Sans" w:eastAsia="Open Sans" w:hAnsi="Open Sans" w:cs="Open Sans"/>
            <w:b/>
            <w:bCs/>
            <w:sz w:val="22"/>
            <w:szCs w:val="22"/>
          </w:rPr>
          <w:t>Declaraciones de María Matos, directora de Estudios de Fotocasa</w:t>
        </w:r>
      </w:hyperlink>
    </w:p>
    <w:p w14:paraId="02A348D7" w14:textId="4F8451D6" w:rsidR="00D16C88" w:rsidRDefault="001B58CE" w:rsidP="001B58CE">
      <w:pPr>
        <w:pBdr>
          <w:top w:val="nil"/>
          <w:left w:val="nil"/>
          <w:bottom w:val="nil"/>
          <w:right w:val="nil"/>
          <w:between w:val="nil"/>
        </w:pBdr>
        <w:shd w:val="clear" w:color="auto" w:fill="FFFFFF"/>
        <w:spacing w:before="280" w:after="280" w:line="276" w:lineRule="auto"/>
        <w:ind w:right="-574"/>
        <w:jc w:val="center"/>
        <w:rPr>
          <w:rFonts w:ascii="Open Sans Light" w:eastAsia="Open Sans Light" w:hAnsi="Open Sans Light" w:cs="Open Sans Light"/>
          <w:b/>
          <w:color w:val="303AB2"/>
          <w:sz w:val="28"/>
          <w:szCs w:val="28"/>
        </w:rPr>
      </w:pPr>
      <w:r>
        <w:rPr>
          <w:noProof/>
        </w:rPr>
        <w:drawing>
          <wp:inline distT="0" distB="0" distL="0" distR="0" wp14:anchorId="636DEBD9" wp14:editId="4DA4BC85">
            <wp:extent cx="5396230" cy="2818765"/>
            <wp:effectExtent l="0" t="0" r="0" b="635"/>
            <wp:docPr id="1" name="Imagen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hlinkClick r:id="rId9"/>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6230" cy="2818765"/>
                    </a:xfrm>
                    <a:prstGeom prst="rect">
                      <a:avLst/>
                    </a:prstGeom>
                    <a:noFill/>
                    <a:ln>
                      <a:noFill/>
                    </a:ln>
                  </pic:spPr>
                </pic:pic>
              </a:graphicData>
            </a:graphic>
          </wp:inline>
        </w:drawing>
      </w:r>
    </w:p>
    <w:p w14:paraId="2D14111A" w14:textId="77777777" w:rsidR="001B58CE" w:rsidRDefault="001B58CE">
      <w:pPr>
        <w:pBdr>
          <w:top w:val="nil"/>
          <w:left w:val="nil"/>
          <w:bottom w:val="nil"/>
          <w:right w:val="nil"/>
          <w:between w:val="nil"/>
        </w:pBdr>
        <w:shd w:val="clear" w:color="auto" w:fill="FFFFFF"/>
        <w:spacing w:before="280" w:after="280" w:line="276" w:lineRule="auto"/>
        <w:ind w:right="-574"/>
        <w:jc w:val="both"/>
        <w:rPr>
          <w:rFonts w:ascii="Open Sans Light" w:eastAsia="Open Sans Light" w:hAnsi="Open Sans Light" w:cs="Open Sans Light"/>
          <w:b/>
          <w:color w:val="303AB2"/>
          <w:sz w:val="28"/>
          <w:szCs w:val="28"/>
        </w:rPr>
      </w:pPr>
    </w:p>
    <w:p w14:paraId="71B16726" w14:textId="43E115F4" w:rsidR="004D63F3" w:rsidRDefault="00000000">
      <w:pPr>
        <w:pBdr>
          <w:top w:val="nil"/>
          <w:left w:val="nil"/>
          <w:bottom w:val="nil"/>
          <w:right w:val="nil"/>
          <w:between w:val="nil"/>
        </w:pBdr>
        <w:shd w:val="clear" w:color="auto" w:fill="FFFFFF"/>
        <w:spacing w:before="280" w:after="280" w:line="276" w:lineRule="auto"/>
        <w:ind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t>Por Comunidad Autónoma</w:t>
      </w:r>
    </w:p>
    <w:p w14:paraId="3DCF2241" w14:textId="77777777" w:rsidR="004D63F3" w:rsidRDefault="00000000">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Siete de las comunidades tienen una rentabilidad igual o por encima de la media española (6,5%) en 2022 y son: Comunitat Valenciana (7,7%), Región de Murcia (7,7%), Cantabria (6,9%), Canarias (6,8%), Cataluña (6,8%), Navarra (6,6%) y Castilla y León (6,5%). Por debajo de la rentabilidad media se encuentran las comunidades de Aragón (6,4%), Asturias (6,3%), La Rioja (6,1%), Castilla-La Mancha (6,1%), Extremadura (6,0%), Andalucía (6,0%), Galicia (5,7%), País Vasco (5,7%), Madrid (5,5%) y Baleares (5,2%).</w:t>
      </w:r>
    </w:p>
    <w:p w14:paraId="4E61DE6C" w14:textId="77777777" w:rsidR="004D63F3" w:rsidRDefault="00000000">
      <w:pPr>
        <w:pBdr>
          <w:top w:val="nil"/>
          <w:left w:val="nil"/>
          <w:bottom w:val="nil"/>
          <w:right w:val="nil"/>
          <w:between w:val="nil"/>
        </w:pBdr>
        <w:shd w:val="clear" w:color="auto" w:fill="FFFFFF"/>
        <w:spacing w:before="280" w:after="280" w:line="276" w:lineRule="auto"/>
        <w:ind w:right="-574"/>
        <w:jc w:val="center"/>
        <w:rPr>
          <w:rFonts w:ascii="Open Sans Light" w:eastAsia="Open Sans Light" w:hAnsi="Open Sans Light" w:cs="Open Sans Light"/>
          <w:b/>
          <w:color w:val="303AB2"/>
          <w:sz w:val="30"/>
          <w:szCs w:val="30"/>
        </w:rPr>
      </w:pPr>
      <w:r>
        <w:rPr>
          <w:rFonts w:ascii="Open Sans Light" w:eastAsia="Open Sans Light" w:hAnsi="Open Sans Light" w:cs="Open Sans Light"/>
          <w:b/>
          <w:color w:val="303AB2"/>
          <w:sz w:val="30"/>
          <w:szCs w:val="30"/>
        </w:rPr>
        <w:lastRenderedPageBreak/>
        <w:t>Rentabilidad de 2022 por comunidades autónomas</w:t>
      </w:r>
      <w:r>
        <w:rPr>
          <w:rFonts w:ascii="Times New Roman" w:eastAsia="Times New Roman" w:hAnsi="Times New Roman" w:cs="Times New Roman"/>
          <w:noProof/>
          <w:color w:val="000000"/>
        </w:rPr>
        <w:drawing>
          <wp:inline distT="0" distB="0" distL="0" distR="0" wp14:anchorId="60887991" wp14:editId="6EAC9F77">
            <wp:extent cx="5807122" cy="2634615"/>
            <wp:effectExtent l="0" t="0" r="0" b="0"/>
            <wp:docPr id="326" name="Gráfico 3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9EA1AA" w14:textId="7F0B06EA" w:rsidR="004D63F3" w:rsidRDefault="00000000">
      <w:pPr>
        <w:pBdr>
          <w:top w:val="nil"/>
          <w:left w:val="nil"/>
          <w:bottom w:val="nil"/>
          <w:right w:val="nil"/>
          <w:between w:val="nil"/>
        </w:pBdr>
        <w:shd w:val="clear" w:color="auto" w:fill="FFFFFF"/>
        <w:spacing w:before="280" w:after="280" w:line="276" w:lineRule="auto"/>
        <w:ind w:right="-574"/>
        <w:jc w:val="center"/>
        <w:rPr>
          <w:rFonts w:ascii="Open Sans" w:eastAsia="Open Sans" w:hAnsi="Open Sans" w:cs="Open Sans"/>
          <w:color w:val="000000"/>
          <w:sz w:val="22"/>
          <w:szCs w:val="22"/>
        </w:rPr>
      </w:pPr>
      <w:r>
        <w:rPr>
          <w:rFonts w:ascii="Open Sans Light" w:eastAsia="Open Sans Light" w:hAnsi="Open Sans Light" w:cs="Open Sans Light"/>
          <w:b/>
          <w:color w:val="303AB2"/>
          <w:sz w:val="30"/>
          <w:szCs w:val="30"/>
        </w:rPr>
        <w:t>Mapa - Rentabilidad por CCAA en 2022</w:t>
      </w:r>
    </w:p>
    <w:p w14:paraId="2FACB4BA" w14:textId="77777777" w:rsidR="004D63F3" w:rsidRDefault="00000000">
      <w:pPr>
        <w:pBdr>
          <w:top w:val="nil"/>
          <w:left w:val="nil"/>
          <w:bottom w:val="nil"/>
          <w:right w:val="nil"/>
          <w:between w:val="nil"/>
        </w:pBdr>
        <w:shd w:val="clear" w:color="auto" w:fill="FFFFFF"/>
        <w:spacing w:before="280" w:after="280" w:line="276" w:lineRule="auto"/>
        <w:ind w:right="-574"/>
        <w:jc w:val="center"/>
        <w:rPr>
          <w:rFonts w:ascii="Open Sans" w:eastAsia="Open Sans" w:hAnsi="Open Sans" w:cs="Open Sans"/>
          <w:color w:val="000000"/>
          <w:sz w:val="22"/>
          <w:szCs w:val="22"/>
        </w:rPr>
      </w:pPr>
      <w:r>
        <w:rPr>
          <w:rFonts w:ascii="Times New Roman" w:eastAsia="Times New Roman" w:hAnsi="Times New Roman" w:cs="Times New Roman"/>
          <w:noProof/>
          <w:color w:val="000000"/>
        </w:rPr>
        <w:drawing>
          <wp:inline distT="0" distB="0" distL="0" distR="0" wp14:anchorId="6F6E98BB" wp14:editId="00E62B8F">
            <wp:extent cx="4469022" cy="182571"/>
            <wp:effectExtent l="0" t="0" r="0" b="0"/>
            <wp:docPr id="33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4469022" cy="182571"/>
                    </a:xfrm>
                    <a:prstGeom prst="rect">
                      <a:avLst/>
                    </a:prstGeom>
                    <a:ln/>
                  </pic:spPr>
                </pic:pic>
              </a:graphicData>
            </a:graphic>
          </wp:inline>
        </w:drawing>
      </w:r>
      <w:r>
        <w:rPr>
          <w:rFonts w:ascii="Times New Roman" w:eastAsia="Times New Roman" w:hAnsi="Times New Roman" w:cs="Times New Roman"/>
          <w:color w:val="000000"/>
        </w:rPr>
        <w:t xml:space="preserve"> </w:t>
      </w:r>
      <w:r>
        <w:rPr>
          <w:rFonts w:ascii="Times New Roman" w:eastAsia="Times New Roman" w:hAnsi="Times New Roman" w:cs="Times New Roman"/>
          <w:noProof/>
          <w:color w:val="000000"/>
        </w:rPr>
        <w:drawing>
          <wp:inline distT="0" distB="0" distL="0" distR="0" wp14:anchorId="1921B68A" wp14:editId="3D647858">
            <wp:extent cx="5396230" cy="3694430"/>
            <wp:effectExtent l="0" t="0" r="0" b="0"/>
            <wp:docPr id="330" name="image5.png" descr="Gráfi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5.png" descr="Gráfico&#10;&#10;Descripción generada automáticamente con confianza media"/>
                    <pic:cNvPicPr preferRelativeResize="0"/>
                  </pic:nvPicPr>
                  <pic:blipFill>
                    <a:blip r:embed="rId17"/>
                    <a:srcRect/>
                    <a:stretch>
                      <a:fillRect/>
                    </a:stretch>
                  </pic:blipFill>
                  <pic:spPr>
                    <a:xfrm>
                      <a:off x="0" y="0"/>
                      <a:ext cx="5396230" cy="3694430"/>
                    </a:xfrm>
                    <a:prstGeom prst="rect">
                      <a:avLst/>
                    </a:prstGeom>
                    <a:ln/>
                  </pic:spPr>
                </pic:pic>
              </a:graphicData>
            </a:graphic>
          </wp:inline>
        </w:drawing>
      </w:r>
    </w:p>
    <w:p w14:paraId="032BC6F4" w14:textId="75E0D5A7" w:rsidR="00D16C88" w:rsidRDefault="00D16C88">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bookmarkStart w:id="3" w:name="_heading=h.1fob9te" w:colFirst="0" w:colLast="0"/>
      <w:bookmarkEnd w:id="3"/>
    </w:p>
    <w:p w14:paraId="4D71653F" w14:textId="77777777" w:rsidR="001B58CE" w:rsidRDefault="001B58CE">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p>
    <w:p w14:paraId="0F9DFF5E" w14:textId="7938629B" w:rsidR="004D63F3"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lastRenderedPageBreak/>
        <w:t>Mapa comparativo de la rentabilidad por CCAA en 2007, 2012, 2017 y 2021</w:t>
      </w:r>
    </w:p>
    <w:p w14:paraId="3B5A6AAD" w14:textId="77777777" w:rsidR="004D63F3" w:rsidRDefault="00000000">
      <w:pPr>
        <w:pBdr>
          <w:top w:val="nil"/>
          <w:left w:val="nil"/>
          <w:bottom w:val="nil"/>
          <w:right w:val="nil"/>
          <w:between w:val="nil"/>
        </w:pBdr>
        <w:shd w:val="clear" w:color="auto" w:fill="FFFFFF"/>
        <w:spacing w:before="280" w:after="280" w:line="276" w:lineRule="auto"/>
        <w:ind w:right="-574"/>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52698D64" wp14:editId="36620727">
            <wp:extent cx="5362575" cy="219075"/>
            <wp:effectExtent l="0" t="0" r="0" b="0"/>
            <wp:docPr id="33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5362575" cy="219075"/>
                    </a:xfrm>
                    <a:prstGeom prst="rect">
                      <a:avLst/>
                    </a:prstGeom>
                    <a:ln/>
                  </pic:spPr>
                </pic:pic>
              </a:graphicData>
            </a:graphic>
          </wp:inline>
        </w:drawing>
      </w:r>
      <w:r>
        <w:rPr>
          <w:rFonts w:ascii="Times New Roman" w:eastAsia="Times New Roman" w:hAnsi="Times New Roman" w:cs="Times New Roman"/>
          <w:noProof/>
          <w:color w:val="000000"/>
        </w:rPr>
        <w:drawing>
          <wp:inline distT="0" distB="0" distL="0" distR="0" wp14:anchorId="69B92421" wp14:editId="7EABF255">
            <wp:extent cx="5396230" cy="1925955"/>
            <wp:effectExtent l="0" t="0" r="0" b="0"/>
            <wp:docPr id="332" name="image7.pn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7.png" descr="Mapa&#10;&#10;Descripción generada automáticamente"/>
                    <pic:cNvPicPr preferRelativeResize="0"/>
                  </pic:nvPicPr>
                  <pic:blipFill>
                    <a:blip r:embed="rId18"/>
                    <a:srcRect/>
                    <a:stretch>
                      <a:fillRect/>
                    </a:stretch>
                  </pic:blipFill>
                  <pic:spPr>
                    <a:xfrm>
                      <a:off x="0" y="0"/>
                      <a:ext cx="5396230" cy="1925955"/>
                    </a:xfrm>
                    <a:prstGeom prst="rect">
                      <a:avLst/>
                    </a:prstGeom>
                    <a:ln/>
                  </pic:spPr>
                </pic:pic>
              </a:graphicData>
            </a:graphic>
          </wp:inline>
        </w:drawing>
      </w:r>
    </w:p>
    <w:p w14:paraId="16BB4B2A" w14:textId="77777777" w:rsidR="004D63F3" w:rsidRDefault="004D63F3">
      <w:pPr>
        <w:pBdr>
          <w:top w:val="nil"/>
          <w:left w:val="nil"/>
          <w:bottom w:val="nil"/>
          <w:right w:val="nil"/>
          <w:between w:val="nil"/>
        </w:pBdr>
        <w:shd w:val="clear" w:color="auto" w:fill="FFFFFF"/>
        <w:spacing w:before="280" w:after="280" w:line="276" w:lineRule="auto"/>
        <w:ind w:right="-574"/>
        <w:jc w:val="center"/>
        <w:rPr>
          <w:rFonts w:ascii="Times New Roman" w:eastAsia="Times New Roman" w:hAnsi="Times New Roman" w:cs="Times New Roman"/>
          <w:color w:val="000000"/>
        </w:rPr>
      </w:pPr>
    </w:p>
    <w:p w14:paraId="2A3F3558" w14:textId="77777777" w:rsidR="004D63F3" w:rsidRDefault="00000000">
      <w:pPr>
        <w:pBdr>
          <w:top w:val="nil"/>
          <w:left w:val="nil"/>
          <w:bottom w:val="nil"/>
          <w:right w:val="nil"/>
          <w:between w:val="nil"/>
        </w:pBdr>
        <w:shd w:val="clear" w:color="auto" w:fill="FFFFFF"/>
        <w:spacing w:before="280" w:after="280" w:line="276" w:lineRule="auto"/>
        <w:ind w:left="-142" w:right="-574"/>
        <w:rPr>
          <w:rFonts w:ascii="Open Sans Light" w:eastAsia="Open Sans Light" w:hAnsi="Open Sans Light" w:cs="Open Sans Light"/>
          <w:b/>
          <w:color w:val="303AB2"/>
          <w:sz w:val="28"/>
          <w:szCs w:val="28"/>
        </w:rPr>
      </w:pPr>
      <w:r>
        <w:rPr>
          <w:rFonts w:ascii="Open Sans Light" w:eastAsia="Open Sans Light" w:hAnsi="Open Sans Light" w:cs="Open Sans Light"/>
          <w:b/>
          <w:noProof/>
          <w:color w:val="303AB2"/>
          <w:sz w:val="28"/>
          <w:szCs w:val="28"/>
        </w:rPr>
        <w:drawing>
          <wp:inline distT="0" distB="0" distL="0" distR="0" wp14:anchorId="257C99BF" wp14:editId="3822F965">
            <wp:extent cx="5396230" cy="1823720"/>
            <wp:effectExtent l="0" t="0" r="0" b="0"/>
            <wp:docPr id="335" name="image12.pn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2.png" descr="Mapa&#10;&#10;Descripción generada automáticamente"/>
                    <pic:cNvPicPr preferRelativeResize="0"/>
                  </pic:nvPicPr>
                  <pic:blipFill>
                    <a:blip r:embed="rId19"/>
                    <a:srcRect/>
                    <a:stretch>
                      <a:fillRect/>
                    </a:stretch>
                  </pic:blipFill>
                  <pic:spPr>
                    <a:xfrm>
                      <a:off x="0" y="0"/>
                      <a:ext cx="5396230" cy="1823720"/>
                    </a:xfrm>
                    <a:prstGeom prst="rect">
                      <a:avLst/>
                    </a:prstGeom>
                    <a:ln/>
                  </pic:spPr>
                </pic:pic>
              </a:graphicData>
            </a:graphic>
          </wp:inline>
        </w:drawing>
      </w:r>
    </w:p>
    <w:p w14:paraId="3750179E" w14:textId="16A6DF65" w:rsidR="001B58CE" w:rsidRDefault="001B58CE">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p>
    <w:p w14:paraId="1AD4D4C0" w14:textId="71F27FEC" w:rsidR="001B58CE" w:rsidRDefault="001B58CE">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p>
    <w:p w14:paraId="7F226715" w14:textId="65D995A0" w:rsidR="001B58CE" w:rsidRDefault="001B58CE">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p>
    <w:p w14:paraId="674E04D9" w14:textId="371CDDFC" w:rsidR="001B58CE" w:rsidRDefault="001B58CE">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p>
    <w:p w14:paraId="697CEEA0" w14:textId="78DB6768" w:rsidR="001B58CE" w:rsidRDefault="001B58CE">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p>
    <w:p w14:paraId="141B0795" w14:textId="6BFE89E9" w:rsidR="001B58CE" w:rsidRDefault="001B58CE">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p>
    <w:p w14:paraId="1EFDA4FC" w14:textId="77777777" w:rsidR="001B58CE" w:rsidRDefault="001B58CE">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p>
    <w:p w14:paraId="55EE3574" w14:textId="2A37BCBB" w:rsidR="004D63F3"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lastRenderedPageBreak/>
        <w:t>Por municipios</w:t>
      </w:r>
    </w:p>
    <w:p w14:paraId="2E857DBB" w14:textId="77777777" w:rsidR="004D63F3"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El análisis de </w:t>
      </w:r>
      <w:hyperlink r:id="rId20">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 xml:space="preserve"> también ofrece datos de rentabilidad por municipios. Así, del análisis se desprende que el 36% de los municipios estudiados (174 municipios en total) tienen una rentabilidad igual o por encima de la media de España (6,5%). </w:t>
      </w:r>
    </w:p>
    <w:p w14:paraId="7048E687" w14:textId="77777777" w:rsidR="004D63F3" w:rsidRDefault="00000000">
      <w:pPr>
        <w:pBdr>
          <w:top w:val="nil"/>
          <w:left w:val="nil"/>
          <w:bottom w:val="nil"/>
          <w:right w:val="nil"/>
          <w:between w:val="nil"/>
        </w:pBdr>
        <w:shd w:val="clear" w:color="auto" w:fill="FFFFFF"/>
        <w:spacing w:before="280" w:after="280" w:line="276" w:lineRule="auto"/>
        <w:ind w:right="-574"/>
        <w:jc w:val="center"/>
        <w:rPr>
          <w:rFonts w:ascii="Open Sans" w:eastAsia="Open Sans" w:hAnsi="Open Sans" w:cs="Open Sans"/>
          <w:color w:val="000000"/>
          <w:sz w:val="22"/>
          <w:szCs w:val="22"/>
        </w:rPr>
      </w:pPr>
      <w:r>
        <w:rPr>
          <w:rFonts w:ascii="Open Sans Light" w:eastAsia="Open Sans Light" w:hAnsi="Open Sans Light" w:cs="Open Sans Light"/>
          <w:b/>
          <w:color w:val="303AB2"/>
          <w:sz w:val="30"/>
          <w:szCs w:val="30"/>
        </w:rPr>
        <w:t>Mapa - Rentabilidad por capitales de provincia en 2022</w:t>
      </w:r>
    </w:p>
    <w:p w14:paraId="37C0BE4E" w14:textId="77777777" w:rsidR="004D63F3" w:rsidRDefault="004D63F3">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78519A83" w14:textId="77777777" w:rsidR="004D63F3" w:rsidRDefault="00000000">
      <w:pPr>
        <w:pBdr>
          <w:top w:val="nil"/>
          <w:left w:val="nil"/>
          <w:bottom w:val="nil"/>
          <w:right w:val="nil"/>
          <w:between w:val="nil"/>
        </w:pBdr>
        <w:shd w:val="clear" w:color="auto" w:fill="FFFFFF"/>
        <w:spacing w:before="280" w:after="280" w:line="276" w:lineRule="auto"/>
        <w:ind w:left="-142" w:right="-574"/>
        <w:jc w:val="center"/>
        <w:rPr>
          <w:rFonts w:ascii="Open Sans" w:eastAsia="Open Sans" w:hAnsi="Open Sans" w:cs="Open Sans"/>
          <w:color w:val="000000"/>
          <w:sz w:val="22"/>
          <w:szCs w:val="22"/>
        </w:rPr>
      </w:pPr>
      <w:r>
        <w:rPr>
          <w:rFonts w:ascii="Open Sans" w:eastAsia="Open Sans" w:hAnsi="Open Sans" w:cs="Open Sans"/>
          <w:noProof/>
          <w:color w:val="000000"/>
          <w:sz w:val="22"/>
          <w:szCs w:val="22"/>
        </w:rPr>
        <w:drawing>
          <wp:inline distT="0" distB="0" distL="0" distR="0" wp14:anchorId="30C67CB2" wp14:editId="49AA8CCF">
            <wp:extent cx="5396230" cy="3482975"/>
            <wp:effectExtent l="0" t="0" r="0" b="0"/>
            <wp:docPr id="334" name="image8.png" descr="Gráfico, Gráfico de burbuj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8.png" descr="Gráfico, Gráfico de burbujas&#10;&#10;Descripción generada automáticamente"/>
                    <pic:cNvPicPr preferRelativeResize="0"/>
                  </pic:nvPicPr>
                  <pic:blipFill>
                    <a:blip r:embed="rId21"/>
                    <a:srcRect/>
                    <a:stretch>
                      <a:fillRect/>
                    </a:stretch>
                  </pic:blipFill>
                  <pic:spPr>
                    <a:xfrm>
                      <a:off x="0" y="0"/>
                      <a:ext cx="5396230" cy="3482975"/>
                    </a:xfrm>
                    <a:prstGeom prst="rect">
                      <a:avLst/>
                    </a:prstGeom>
                    <a:ln/>
                  </pic:spPr>
                </pic:pic>
              </a:graphicData>
            </a:graphic>
          </wp:inline>
        </w:drawing>
      </w:r>
    </w:p>
    <w:p w14:paraId="0D7154AE" w14:textId="77777777" w:rsidR="00D16C88" w:rsidRDefault="00D16C88" w:rsidP="00D16C88">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La ciudad costera de Gandía tiene una rentabilidad por encima del 10%, ha pasado en 10 años del 4,6% al 10,1% de rentabilidad, convirtiéndose en la ciudad más rentable de España en 2022. Le siguen muy de cerca como las ciudades más rentables,</w:t>
      </w:r>
      <w:r>
        <w:rPr>
          <w:rFonts w:ascii="Times New Roman" w:eastAsia="Times New Roman" w:hAnsi="Times New Roman" w:cs="Times New Roman"/>
          <w:color w:val="000000"/>
        </w:rPr>
        <w:t xml:space="preserve"> </w:t>
      </w:r>
      <w:r>
        <w:rPr>
          <w:rFonts w:ascii="Open Sans" w:eastAsia="Open Sans" w:hAnsi="Open Sans" w:cs="Open Sans"/>
          <w:color w:val="000000"/>
          <w:sz w:val="22"/>
          <w:szCs w:val="22"/>
        </w:rPr>
        <w:t>La Manga del Mar Menor con 9,7%, Laredo con 9,0%, Torrelavega con 8,8%, Torrent con 8,5%, Langreo con 8,5%, Tortosa con 8,4%, La Línea de la Concepción con 8,2% y Molina de Segura con 8,0%, todas ellas por encima del 8% de rentabilidad.</w:t>
      </w:r>
    </w:p>
    <w:p w14:paraId="4FCA4B5C" w14:textId="77777777" w:rsidR="00D16C88" w:rsidRDefault="00D16C88" w:rsidP="00D16C88">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Por otro lado, el 16% de las ciudades analizadas tienen una rentabilidad inferior al 5% y las primeras diez son:</w:t>
      </w:r>
      <w:r>
        <w:rPr>
          <w:rFonts w:ascii="Times New Roman" w:eastAsia="Times New Roman" w:hAnsi="Times New Roman" w:cs="Times New Roman"/>
          <w:color w:val="000000"/>
        </w:rPr>
        <w:t xml:space="preserve"> </w:t>
      </w:r>
      <w:r>
        <w:rPr>
          <w:rFonts w:ascii="Open Sans" w:eastAsia="Open Sans" w:hAnsi="Open Sans" w:cs="Open Sans"/>
          <w:color w:val="000000"/>
          <w:sz w:val="22"/>
          <w:szCs w:val="22"/>
        </w:rPr>
        <w:t>La Moraleja con 3,7%, Donostia - San Sebastián con 3,9%, Tres Cantos con 4,0%, Eivissa con 4,1%, Pozuelo de Alarcón con 4,2%, Getxo con 4,2%, Sant Cugat del Vallès con 4,3%, Santiago de Compostela con 4,4%, Sitges con 4,4% y Fuengirola con 4,5%.</w:t>
      </w:r>
    </w:p>
    <w:p w14:paraId="6DA18E2C" w14:textId="73BA1AB4" w:rsidR="004D63F3"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lastRenderedPageBreak/>
        <w:t>Mapas comparativos de la rentabilidad por capitales de provincia de 2007, 2012, 2017 y 2021</w:t>
      </w:r>
    </w:p>
    <w:p w14:paraId="69D80E1D" w14:textId="77777777" w:rsidR="004D63F3" w:rsidRDefault="00000000">
      <w:pPr>
        <w:pBdr>
          <w:top w:val="nil"/>
          <w:left w:val="nil"/>
          <w:bottom w:val="nil"/>
          <w:right w:val="nil"/>
          <w:between w:val="nil"/>
        </w:pBdr>
        <w:shd w:val="clear" w:color="auto" w:fill="FFFFFF"/>
        <w:spacing w:before="280" w:after="280" w:line="276" w:lineRule="auto"/>
        <w:ind w:left="-142" w:right="-574"/>
        <w:jc w:val="center"/>
        <w:rPr>
          <w:rFonts w:ascii="Open Sans Light" w:eastAsia="Open Sans Light" w:hAnsi="Open Sans Light" w:cs="Open Sans Light"/>
          <w:b/>
          <w:color w:val="303AB2"/>
          <w:sz w:val="28"/>
          <w:szCs w:val="28"/>
        </w:rPr>
      </w:pPr>
      <w:r>
        <w:rPr>
          <w:rFonts w:ascii="Times New Roman" w:eastAsia="Times New Roman" w:hAnsi="Times New Roman" w:cs="Times New Roman"/>
          <w:noProof/>
          <w:color w:val="000000"/>
        </w:rPr>
        <w:drawing>
          <wp:inline distT="0" distB="0" distL="0" distR="0" wp14:anchorId="2EE8BA5E" wp14:editId="31426178">
            <wp:extent cx="4636539" cy="189415"/>
            <wp:effectExtent l="0" t="0" r="0" b="0"/>
            <wp:docPr id="33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4636539" cy="189415"/>
                    </a:xfrm>
                    <a:prstGeom prst="rect">
                      <a:avLst/>
                    </a:prstGeom>
                    <a:ln/>
                  </pic:spPr>
                </pic:pic>
              </a:graphicData>
            </a:graphic>
          </wp:inline>
        </w:drawing>
      </w:r>
    </w:p>
    <w:p w14:paraId="20A2708A" w14:textId="77777777" w:rsidR="004D63F3" w:rsidRDefault="00000000">
      <w:pPr>
        <w:pBdr>
          <w:top w:val="nil"/>
          <w:left w:val="nil"/>
          <w:bottom w:val="nil"/>
          <w:right w:val="nil"/>
          <w:between w:val="nil"/>
        </w:pBdr>
        <w:shd w:val="clear" w:color="auto" w:fill="FFFFFF"/>
        <w:spacing w:before="280" w:after="280" w:line="276" w:lineRule="auto"/>
        <w:ind w:left="-142" w:right="-574"/>
        <w:jc w:val="center"/>
        <w:rPr>
          <w:rFonts w:ascii="Open Sans Light" w:eastAsia="Open Sans Light" w:hAnsi="Open Sans Light" w:cs="Open Sans Light"/>
          <w:b/>
          <w:color w:val="303AB2"/>
          <w:sz w:val="28"/>
          <w:szCs w:val="28"/>
        </w:rPr>
      </w:pPr>
      <w:r>
        <w:rPr>
          <w:rFonts w:ascii="Open Sans Light" w:eastAsia="Open Sans Light" w:hAnsi="Open Sans Light" w:cs="Open Sans Light"/>
          <w:b/>
          <w:noProof/>
          <w:color w:val="303AB2"/>
          <w:sz w:val="28"/>
          <w:szCs w:val="28"/>
        </w:rPr>
        <w:drawing>
          <wp:inline distT="0" distB="0" distL="0" distR="0" wp14:anchorId="5AA210B5" wp14:editId="1667E0F9">
            <wp:extent cx="5396230" cy="2183130"/>
            <wp:effectExtent l="0" t="0" r="0" b="0"/>
            <wp:docPr id="336" name="image1.pn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Mapa&#10;&#10;Descripción generada automáticamente"/>
                    <pic:cNvPicPr preferRelativeResize="0"/>
                  </pic:nvPicPr>
                  <pic:blipFill>
                    <a:blip r:embed="rId22"/>
                    <a:srcRect/>
                    <a:stretch>
                      <a:fillRect/>
                    </a:stretch>
                  </pic:blipFill>
                  <pic:spPr>
                    <a:xfrm>
                      <a:off x="0" y="0"/>
                      <a:ext cx="5396230" cy="2183130"/>
                    </a:xfrm>
                    <a:prstGeom prst="rect">
                      <a:avLst/>
                    </a:prstGeom>
                    <a:ln/>
                  </pic:spPr>
                </pic:pic>
              </a:graphicData>
            </a:graphic>
          </wp:inline>
        </w:drawing>
      </w:r>
    </w:p>
    <w:p w14:paraId="07BBF5A6" w14:textId="77777777" w:rsidR="004D63F3" w:rsidRDefault="004D63F3">
      <w:pPr>
        <w:pBdr>
          <w:top w:val="nil"/>
          <w:left w:val="nil"/>
          <w:bottom w:val="nil"/>
          <w:right w:val="nil"/>
          <w:between w:val="nil"/>
        </w:pBdr>
        <w:shd w:val="clear" w:color="auto" w:fill="FFFFFF"/>
        <w:spacing w:before="280" w:after="280" w:line="276" w:lineRule="auto"/>
        <w:ind w:left="-142" w:right="-574"/>
        <w:jc w:val="center"/>
        <w:rPr>
          <w:rFonts w:ascii="Open Sans Light" w:eastAsia="Open Sans Light" w:hAnsi="Open Sans Light" w:cs="Open Sans Light"/>
          <w:b/>
          <w:color w:val="303AB2"/>
          <w:sz w:val="28"/>
          <w:szCs w:val="28"/>
        </w:rPr>
      </w:pPr>
    </w:p>
    <w:p w14:paraId="50CB9228" w14:textId="77777777" w:rsidR="004D63F3" w:rsidRDefault="00000000">
      <w:pPr>
        <w:pBdr>
          <w:top w:val="nil"/>
          <w:left w:val="nil"/>
          <w:bottom w:val="nil"/>
          <w:right w:val="nil"/>
          <w:between w:val="nil"/>
        </w:pBdr>
        <w:shd w:val="clear" w:color="auto" w:fill="FFFFFF"/>
        <w:spacing w:before="280" w:after="280" w:line="276" w:lineRule="auto"/>
        <w:ind w:left="-142" w:right="-574"/>
        <w:jc w:val="center"/>
        <w:rPr>
          <w:rFonts w:ascii="Open Sans Light" w:eastAsia="Open Sans Light" w:hAnsi="Open Sans Light" w:cs="Open Sans Light"/>
          <w:b/>
          <w:color w:val="303AB2"/>
          <w:sz w:val="28"/>
          <w:szCs w:val="28"/>
        </w:rPr>
      </w:pPr>
      <w:r>
        <w:rPr>
          <w:rFonts w:ascii="Open Sans Light" w:eastAsia="Open Sans Light" w:hAnsi="Open Sans Light" w:cs="Open Sans Light"/>
          <w:b/>
          <w:noProof/>
          <w:color w:val="303AB2"/>
          <w:sz w:val="28"/>
          <w:szCs w:val="28"/>
        </w:rPr>
        <w:drawing>
          <wp:inline distT="0" distB="0" distL="0" distR="0" wp14:anchorId="2A2E758B" wp14:editId="53601B1B">
            <wp:extent cx="5396230" cy="2235835"/>
            <wp:effectExtent l="0" t="0" r="0" b="0"/>
            <wp:docPr id="337" name="image4.pn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Mapa&#10;&#10;Descripción generada automáticamente"/>
                    <pic:cNvPicPr preferRelativeResize="0"/>
                  </pic:nvPicPr>
                  <pic:blipFill>
                    <a:blip r:embed="rId23"/>
                    <a:srcRect/>
                    <a:stretch>
                      <a:fillRect/>
                    </a:stretch>
                  </pic:blipFill>
                  <pic:spPr>
                    <a:xfrm>
                      <a:off x="0" y="0"/>
                      <a:ext cx="5396230" cy="2235835"/>
                    </a:xfrm>
                    <a:prstGeom prst="rect">
                      <a:avLst/>
                    </a:prstGeom>
                    <a:ln/>
                  </pic:spPr>
                </pic:pic>
              </a:graphicData>
            </a:graphic>
          </wp:inline>
        </w:drawing>
      </w:r>
    </w:p>
    <w:p w14:paraId="5E96DA13" w14:textId="77777777" w:rsidR="00D16C88" w:rsidRDefault="00D16C88">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p>
    <w:p w14:paraId="122FAAB6" w14:textId="03AF1C69" w:rsidR="00D16C88" w:rsidRDefault="00D16C88">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p>
    <w:p w14:paraId="6FE198D8" w14:textId="3CB19938" w:rsidR="001B58CE" w:rsidRDefault="001B58CE">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p>
    <w:p w14:paraId="044FD1D7" w14:textId="0531C614" w:rsidR="001B58CE" w:rsidRDefault="001B58CE">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p>
    <w:p w14:paraId="61889DBE" w14:textId="77777777" w:rsidR="001B58CE" w:rsidRDefault="001B58CE">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p>
    <w:p w14:paraId="2CB2F2DB" w14:textId="5C3902DC" w:rsidR="004D63F3"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lastRenderedPageBreak/>
        <w:t>Por distritos</w:t>
      </w:r>
    </w:p>
    <w:p w14:paraId="681B8BBB" w14:textId="77777777" w:rsidR="004D63F3"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El análisis de </w:t>
      </w:r>
      <w:hyperlink r:id="rId24">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 xml:space="preserve"> también ofrece datos de los distritos más rentables para comprar una vivienda y ponerla en alquiler en España. Así, del análisis se desprende que los tres distritos más rentables del país en 2022 son: Centro con 9,8% (Laredo -Cantabria), </w:t>
      </w:r>
      <w:proofErr w:type="spellStart"/>
      <w:r>
        <w:rPr>
          <w:rFonts w:ascii="Open Sans" w:eastAsia="Open Sans" w:hAnsi="Open Sans" w:cs="Open Sans"/>
          <w:color w:val="000000"/>
          <w:sz w:val="22"/>
          <w:szCs w:val="22"/>
        </w:rPr>
        <w:t>Pobles</w:t>
      </w:r>
      <w:proofErr w:type="spellEnd"/>
      <w:r>
        <w:rPr>
          <w:rFonts w:ascii="Open Sans" w:eastAsia="Open Sans" w:hAnsi="Open Sans" w:cs="Open Sans"/>
          <w:color w:val="000000"/>
          <w:sz w:val="22"/>
          <w:szCs w:val="22"/>
        </w:rPr>
        <w:t xml:space="preserve"> del Sud con 9,6% (Valencia capital) y Pla – Carolinas con 9,0% (Alicante). Por otro lado, el distrito con la rentabilidad de la vivienda más baja es Centro de la ciudad de Donostia - San Sebastián con un 3,2% en 2022. </w:t>
      </w:r>
    </w:p>
    <w:p w14:paraId="03CC6C6A" w14:textId="77777777" w:rsidR="004D63F3"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En cuanto</w:t>
      </w:r>
      <w:r>
        <w:rPr>
          <w:rFonts w:ascii="Open Sans" w:eastAsia="Open Sans" w:hAnsi="Open Sans" w:cs="Open Sans"/>
          <w:b/>
          <w:color w:val="000000"/>
          <w:sz w:val="22"/>
          <w:szCs w:val="22"/>
        </w:rPr>
        <w:t xml:space="preserve"> </w:t>
      </w:r>
      <w:r>
        <w:rPr>
          <w:rFonts w:ascii="Open Sans" w:eastAsia="Open Sans" w:hAnsi="Open Sans" w:cs="Open Sans"/>
          <w:color w:val="000000"/>
          <w:sz w:val="22"/>
          <w:szCs w:val="22"/>
        </w:rPr>
        <w:t>a</w:t>
      </w:r>
      <w:r>
        <w:rPr>
          <w:rFonts w:ascii="Open Sans" w:eastAsia="Open Sans" w:hAnsi="Open Sans" w:cs="Open Sans"/>
          <w:b/>
          <w:color w:val="000000"/>
          <w:sz w:val="22"/>
          <w:szCs w:val="22"/>
        </w:rPr>
        <w:t xml:space="preserve"> Madrid capital</w:t>
      </w:r>
      <w:r>
        <w:rPr>
          <w:rFonts w:ascii="Open Sans" w:eastAsia="Open Sans" w:hAnsi="Open Sans" w:cs="Open Sans"/>
          <w:color w:val="000000"/>
          <w:sz w:val="22"/>
          <w:szCs w:val="22"/>
        </w:rPr>
        <w:t>, el distrito de Villaverde es el más rentable de Madrid capital con un 7,9% en 2022. Le siguen los distritos de Usera (7,4%), Puente de Vallecas (6,6%), Carabanchel (6,1%), Latina (6,0%), Villa de Vallecas (5,8%), Moratalaz (5,4%), Vicálvaro (5,3%), San Blas (5,2%), Ciudad Lineal (4,9%), Tetuán (4,8%), Barajas (4,6%), Arganzuela (4,5%), Hortaleza (4,5%), Centro (4,4%), Fuencarral - El Pardo (4,3%), Moncloa – Aravaca (4,1%), Retiro (4,1%), Chamberí (3,9%), Chamartín (3,7%) y Barrio de Salamanca (3,5%).</w:t>
      </w:r>
    </w:p>
    <w:p w14:paraId="5467CC10" w14:textId="77777777" w:rsidR="004D63F3" w:rsidRDefault="00000000">
      <w:pPr>
        <w:pBdr>
          <w:top w:val="nil"/>
          <w:left w:val="nil"/>
          <w:bottom w:val="nil"/>
          <w:right w:val="nil"/>
          <w:between w:val="nil"/>
        </w:pBdr>
        <w:shd w:val="clear" w:color="auto" w:fill="FFFFFF"/>
        <w:spacing w:before="280" w:after="280" w:line="276" w:lineRule="auto"/>
        <w:ind w:right="-574"/>
        <w:jc w:val="center"/>
        <w:rPr>
          <w:rFonts w:ascii="Open Sans" w:eastAsia="Open Sans" w:hAnsi="Open Sans" w:cs="Open Sans"/>
          <w:color w:val="000000"/>
          <w:sz w:val="22"/>
          <w:szCs w:val="22"/>
        </w:rPr>
      </w:pPr>
      <w:r>
        <w:rPr>
          <w:rFonts w:ascii="Open Sans Light" w:eastAsia="Open Sans Light" w:hAnsi="Open Sans Light" w:cs="Open Sans Light"/>
          <w:b/>
          <w:color w:val="303AB2"/>
          <w:sz w:val="30"/>
          <w:szCs w:val="30"/>
        </w:rPr>
        <w:t>Mapa - Rentabilidad por distritos en 2022</w:t>
      </w:r>
    </w:p>
    <w:p w14:paraId="50A8CA5F" w14:textId="77777777" w:rsidR="004D63F3" w:rsidRDefault="00000000">
      <w:pPr>
        <w:pBdr>
          <w:top w:val="nil"/>
          <w:left w:val="nil"/>
          <w:bottom w:val="nil"/>
          <w:right w:val="nil"/>
          <w:between w:val="nil"/>
        </w:pBdr>
        <w:shd w:val="clear" w:color="auto" w:fill="FFFFFF"/>
        <w:spacing w:before="280" w:after="280" w:line="276" w:lineRule="auto"/>
        <w:ind w:left="-142" w:right="-574"/>
        <w:jc w:val="center"/>
        <w:rPr>
          <w:rFonts w:ascii="Open Sans" w:eastAsia="Open Sans" w:hAnsi="Open Sans" w:cs="Open Sans"/>
          <w:color w:val="000000"/>
          <w:sz w:val="22"/>
          <w:szCs w:val="22"/>
        </w:rPr>
      </w:pPr>
      <w:r>
        <w:rPr>
          <w:rFonts w:ascii="Open Sans" w:eastAsia="Open Sans" w:hAnsi="Open Sans" w:cs="Open Sans"/>
          <w:noProof/>
          <w:color w:val="000000"/>
          <w:sz w:val="22"/>
          <w:szCs w:val="22"/>
        </w:rPr>
        <w:drawing>
          <wp:inline distT="0" distB="0" distL="0" distR="0" wp14:anchorId="28FCAAD5" wp14:editId="003286EC">
            <wp:extent cx="3410163" cy="4467642"/>
            <wp:effectExtent l="0" t="0" r="0" b="0"/>
            <wp:docPr id="339" name="image11.pn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1.png" descr="Mapa&#10;&#10;Descripción generada automáticamente"/>
                    <pic:cNvPicPr preferRelativeResize="0"/>
                  </pic:nvPicPr>
                  <pic:blipFill>
                    <a:blip r:embed="rId25"/>
                    <a:srcRect/>
                    <a:stretch>
                      <a:fillRect/>
                    </a:stretch>
                  </pic:blipFill>
                  <pic:spPr>
                    <a:xfrm>
                      <a:off x="0" y="0"/>
                      <a:ext cx="3410163" cy="4467642"/>
                    </a:xfrm>
                    <a:prstGeom prst="rect">
                      <a:avLst/>
                    </a:prstGeom>
                    <a:ln/>
                  </pic:spPr>
                </pic:pic>
              </a:graphicData>
            </a:graphic>
          </wp:inline>
        </w:drawing>
      </w:r>
    </w:p>
    <w:p w14:paraId="38D12900" w14:textId="77777777" w:rsidR="00D16C88" w:rsidRDefault="00D16C88">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2"/>
          <w:szCs w:val="22"/>
        </w:rPr>
      </w:pPr>
    </w:p>
    <w:p w14:paraId="76687580" w14:textId="2A34709E" w:rsidR="004D63F3" w:rsidRPr="00D16C88"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2"/>
          <w:szCs w:val="22"/>
        </w:rPr>
      </w:pPr>
      <w:r w:rsidRPr="00D16C88">
        <w:rPr>
          <w:rFonts w:ascii="Open Sans Light" w:eastAsia="Open Sans Light" w:hAnsi="Open Sans Light" w:cs="Open Sans Light"/>
          <w:b/>
          <w:color w:val="303AB2"/>
          <w:sz w:val="22"/>
          <w:szCs w:val="22"/>
        </w:rPr>
        <w:lastRenderedPageBreak/>
        <w:t>Mapas comparativos de la rentabilidad de los distritos de Madrid de 2012, 2017 y 2021</w:t>
      </w:r>
    </w:p>
    <w:p w14:paraId="2070AB49" w14:textId="77777777" w:rsidR="004D63F3" w:rsidRDefault="00000000">
      <w:pPr>
        <w:jc w:val="center"/>
        <w:rPr>
          <w:rFonts w:ascii="Open Sans Light" w:eastAsia="Open Sans Light" w:hAnsi="Open Sans Light" w:cs="Open Sans Light"/>
          <w:color w:val="404040"/>
        </w:rPr>
      </w:pPr>
      <w:r>
        <w:rPr>
          <w:noProof/>
        </w:rPr>
        <w:drawing>
          <wp:inline distT="0" distB="0" distL="0" distR="0" wp14:anchorId="2D6EC189" wp14:editId="0D036849">
            <wp:extent cx="4578577" cy="187047"/>
            <wp:effectExtent l="0" t="0" r="0" b="0"/>
            <wp:docPr id="34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4578577" cy="187047"/>
                    </a:xfrm>
                    <a:prstGeom prst="rect">
                      <a:avLst/>
                    </a:prstGeom>
                    <a:ln/>
                  </pic:spPr>
                </pic:pic>
              </a:graphicData>
            </a:graphic>
          </wp:inline>
        </w:drawing>
      </w:r>
    </w:p>
    <w:p w14:paraId="1D67C5B2" w14:textId="77777777" w:rsidR="004D63F3" w:rsidRDefault="00000000">
      <w:pPr>
        <w:jc w:val="both"/>
        <w:rPr>
          <w:rFonts w:ascii="Open Sans Light" w:eastAsia="Open Sans Light" w:hAnsi="Open Sans Light" w:cs="Open Sans Light"/>
          <w:color w:val="404040"/>
        </w:rPr>
      </w:pPr>
      <w:r>
        <w:rPr>
          <w:rFonts w:ascii="Open Sans Light" w:eastAsia="Open Sans Light" w:hAnsi="Open Sans Light" w:cs="Open Sans Light"/>
          <w:noProof/>
          <w:color w:val="404040"/>
        </w:rPr>
        <w:drawing>
          <wp:inline distT="0" distB="0" distL="0" distR="0" wp14:anchorId="56C46D45" wp14:editId="2F10B9B7">
            <wp:extent cx="5783580" cy="2575560"/>
            <wp:effectExtent l="0" t="0" r="7620" b="0"/>
            <wp:docPr id="341" name="image3.pn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Mapa&#10;&#10;Descripción generada automáticamente"/>
                    <pic:cNvPicPr preferRelativeResize="0"/>
                  </pic:nvPicPr>
                  <pic:blipFill>
                    <a:blip r:embed="rId26"/>
                    <a:srcRect/>
                    <a:stretch>
                      <a:fillRect/>
                    </a:stretch>
                  </pic:blipFill>
                  <pic:spPr>
                    <a:xfrm>
                      <a:off x="0" y="0"/>
                      <a:ext cx="5784209" cy="2575840"/>
                    </a:xfrm>
                    <a:prstGeom prst="rect">
                      <a:avLst/>
                    </a:prstGeom>
                    <a:ln/>
                  </pic:spPr>
                </pic:pic>
              </a:graphicData>
            </a:graphic>
          </wp:inline>
        </w:drawing>
      </w:r>
    </w:p>
    <w:p w14:paraId="3117FDA7" w14:textId="77777777" w:rsidR="004D63F3"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En cuanto a</w:t>
      </w:r>
      <w:r>
        <w:rPr>
          <w:rFonts w:ascii="Open Sans" w:eastAsia="Open Sans" w:hAnsi="Open Sans" w:cs="Open Sans"/>
          <w:b/>
          <w:color w:val="000000"/>
          <w:sz w:val="22"/>
          <w:szCs w:val="22"/>
        </w:rPr>
        <w:t xml:space="preserve"> Barcelona capital</w:t>
      </w:r>
      <w:r>
        <w:rPr>
          <w:rFonts w:ascii="Open Sans" w:eastAsia="Open Sans" w:hAnsi="Open Sans" w:cs="Open Sans"/>
          <w:color w:val="000000"/>
          <w:sz w:val="22"/>
          <w:szCs w:val="22"/>
        </w:rPr>
        <w:t xml:space="preserve">, el distrito de Nou Barris ha pasado en 5 años del 6,4% al 6,5% de rentabilidad, convirtiéndose en el más rentable de la capital catalana. Le siguen, Sants - Montjuïc (6,3%), Sant Martí (6,2%), Horta - Guinardó (6,0%), Sant Andreu (5,7%), </w:t>
      </w:r>
      <w:proofErr w:type="spellStart"/>
      <w:r>
        <w:rPr>
          <w:rFonts w:ascii="Open Sans" w:eastAsia="Open Sans" w:hAnsi="Open Sans" w:cs="Open Sans"/>
          <w:color w:val="000000"/>
          <w:sz w:val="22"/>
          <w:szCs w:val="22"/>
        </w:rPr>
        <w:t>Ciutat</w:t>
      </w:r>
      <w:proofErr w:type="spellEnd"/>
      <w:r>
        <w:rPr>
          <w:rFonts w:ascii="Open Sans" w:eastAsia="Open Sans" w:hAnsi="Open Sans" w:cs="Open Sans"/>
          <w:color w:val="000000"/>
          <w:sz w:val="22"/>
          <w:szCs w:val="22"/>
        </w:rPr>
        <w:t xml:space="preserve"> Vella (5,6%), Gràcia (5,3%), Eixample (4,4%), Les Corts (4,1%) y Sarrià - Sant Gervasi (4,0%).</w:t>
      </w:r>
    </w:p>
    <w:p w14:paraId="006ACE28" w14:textId="77777777" w:rsidR="004D63F3" w:rsidRPr="00D16C88" w:rsidRDefault="00000000">
      <w:pPr>
        <w:pBdr>
          <w:top w:val="nil"/>
          <w:left w:val="nil"/>
          <w:bottom w:val="nil"/>
          <w:right w:val="nil"/>
          <w:between w:val="nil"/>
        </w:pBdr>
        <w:shd w:val="clear" w:color="auto" w:fill="FFFFFF"/>
        <w:spacing w:before="280" w:after="280" w:line="276" w:lineRule="auto"/>
        <w:ind w:right="-574"/>
        <w:jc w:val="center"/>
        <w:rPr>
          <w:rFonts w:ascii="Open Sans" w:eastAsia="Open Sans" w:hAnsi="Open Sans" w:cs="Open Sans"/>
          <w:color w:val="000000"/>
          <w:sz w:val="18"/>
          <w:szCs w:val="18"/>
        </w:rPr>
      </w:pPr>
      <w:r w:rsidRPr="00D16C88">
        <w:rPr>
          <w:rFonts w:ascii="Open Sans Light" w:eastAsia="Open Sans Light" w:hAnsi="Open Sans Light" w:cs="Open Sans Light"/>
          <w:b/>
          <w:color w:val="303AB2"/>
          <w:sz w:val="26"/>
          <w:szCs w:val="26"/>
        </w:rPr>
        <w:t>Mapa - Rentabilidad por distritos de Barcelona en 2022</w:t>
      </w:r>
    </w:p>
    <w:p w14:paraId="1C7389E2" w14:textId="77777777" w:rsidR="004D63F3" w:rsidRDefault="00000000">
      <w:pPr>
        <w:pBdr>
          <w:top w:val="nil"/>
          <w:left w:val="nil"/>
          <w:bottom w:val="nil"/>
          <w:right w:val="nil"/>
          <w:between w:val="nil"/>
        </w:pBdr>
        <w:shd w:val="clear" w:color="auto" w:fill="FFFFFF"/>
        <w:spacing w:before="280" w:after="280" w:line="276" w:lineRule="auto"/>
        <w:ind w:left="-142" w:right="-574"/>
        <w:jc w:val="center"/>
        <w:rPr>
          <w:rFonts w:ascii="Open Sans Light" w:eastAsia="Open Sans Light" w:hAnsi="Open Sans Light" w:cs="Open Sans Light"/>
          <w:b/>
          <w:color w:val="303AB2"/>
          <w:sz w:val="28"/>
          <w:szCs w:val="28"/>
        </w:rPr>
      </w:pPr>
      <w:r>
        <w:rPr>
          <w:rFonts w:ascii="Open Sans Light" w:eastAsia="Open Sans Light" w:hAnsi="Open Sans Light" w:cs="Open Sans Light"/>
          <w:b/>
          <w:noProof/>
          <w:color w:val="303AB2"/>
          <w:sz w:val="28"/>
          <w:szCs w:val="28"/>
        </w:rPr>
        <w:drawing>
          <wp:inline distT="0" distB="0" distL="0" distR="0" wp14:anchorId="5AB6A33B" wp14:editId="7484EAE6">
            <wp:extent cx="4107180" cy="3550920"/>
            <wp:effectExtent l="0" t="0" r="7620" b="0"/>
            <wp:docPr id="342" name="image9.pn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9.png" descr="Mapa&#10;&#10;Descripción generada automáticamente"/>
                    <pic:cNvPicPr preferRelativeResize="0"/>
                  </pic:nvPicPr>
                  <pic:blipFill>
                    <a:blip r:embed="rId27"/>
                    <a:srcRect/>
                    <a:stretch>
                      <a:fillRect/>
                    </a:stretch>
                  </pic:blipFill>
                  <pic:spPr>
                    <a:xfrm>
                      <a:off x="0" y="0"/>
                      <a:ext cx="4107830" cy="3551482"/>
                    </a:xfrm>
                    <a:prstGeom prst="rect">
                      <a:avLst/>
                    </a:prstGeom>
                    <a:ln/>
                  </pic:spPr>
                </pic:pic>
              </a:graphicData>
            </a:graphic>
          </wp:inline>
        </w:drawing>
      </w:r>
    </w:p>
    <w:p w14:paraId="177D632B" w14:textId="77777777" w:rsidR="004D63F3" w:rsidRPr="00D16C88"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6"/>
          <w:szCs w:val="26"/>
        </w:rPr>
      </w:pPr>
      <w:r w:rsidRPr="00D16C88">
        <w:rPr>
          <w:rFonts w:ascii="Open Sans Light" w:eastAsia="Open Sans Light" w:hAnsi="Open Sans Light" w:cs="Open Sans Light"/>
          <w:b/>
          <w:color w:val="303AB2"/>
          <w:sz w:val="26"/>
          <w:szCs w:val="26"/>
        </w:rPr>
        <w:lastRenderedPageBreak/>
        <w:t>Mapas comparativos de la rentabilidad de los distritos de Barcelona en junio</w:t>
      </w:r>
      <w:r w:rsidRPr="00D16C88">
        <w:rPr>
          <w:rFonts w:ascii="Open Sans Light" w:eastAsia="Open Sans Light" w:hAnsi="Open Sans Light" w:cs="Open Sans Light"/>
          <w:b/>
          <w:color w:val="303AB2"/>
          <w:sz w:val="28"/>
          <w:szCs w:val="28"/>
        </w:rPr>
        <w:t xml:space="preserve"> </w:t>
      </w:r>
      <w:r w:rsidRPr="00D16C88">
        <w:rPr>
          <w:rFonts w:ascii="Open Sans Light" w:eastAsia="Open Sans Light" w:hAnsi="Open Sans Light" w:cs="Open Sans Light"/>
          <w:b/>
          <w:color w:val="303AB2"/>
          <w:sz w:val="26"/>
          <w:szCs w:val="26"/>
        </w:rPr>
        <w:t>de 2012, 2017 y 2021</w:t>
      </w:r>
    </w:p>
    <w:p w14:paraId="40523336" w14:textId="77777777" w:rsidR="004D63F3" w:rsidRDefault="00000000">
      <w:pPr>
        <w:pBdr>
          <w:top w:val="nil"/>
          <w:left w:val="nil"/>
          <w:bottom w:val="nil"/>
          <w:right w:val="nil"/>
          <w:between w:val="nil"/>
        </w:pBdr>
        <w:shd w:val="clear" w:color="auto" w:fill="FFFFFF"/>
        <w:spacing w:before="280" w:after="280" w:line="276" w:lineRule="auto"/>
        <w:ind w:left="-142" w:right="-574"/>
        <w:jc w:val="center"/>
        <w:rPr>
          <w:rFonts w:ascii="Open Sans Light" w:eastAsia="Open Sans Light" w:hAnsi="Open Sans Light" w:cs="Open Sans Light"/>
          <w:b/>
          <w:color w:val="303AB2"/>
          <w:sz w:val="28"/>
          <w:szCs w:val="28"/>
        </w:rPr>
      </w:pPr>
      <w:r>
        <w:rPr>
          <w:rFonts w:ascii="Times New Roman" w:eastAsia="Times New Roman" w:hAnsi="Times New Roman" w:cs="Times New Roman"/>
          <w:noProof/>
          <w:color w:val="000000"/>
        </w:rPr>
        <w:drawing>
          <wp:inline distT="0" distB="0" distL="0" distR="0" wp14:anchorId="56326027" wp14:editId="659FA57D">
            <wp:extent cx="5362575" cy="219075"/>
            <wp:effectExtent l="0" t="0" r="0" b="0"/>
            <wp:docPr id="34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5362575" cy="219075"/>
                    </a:xfrm>
                    <a:prstGeom prst="rect">
                      <a:avLst/>
                    </a:prstGeom>
                    <a:ln/>
                  </pic:spPr>
                </pic:pic>
              </a:graphicData>
            </a:graphic>
          </wp:inline>
        </w:drawing>
      </w:r>
      <w:r>
        <w:rPr>
          <w:rFonts w:ascii="Times New Roman" w:eastAsia="Times New Roman" w:hAnsi="Times New Roman" w:cs="Times New Roman"/>
          <w:color w:val="000000"/>
        </w:rPr>
        <w:t xml:space="preserve"> </w:t>
      </w:r>
    </w:p>
    <w:p w14:paraId="2C8384DC" w14:textId="77777777" w:rsidR="004D63F3" w:rsidRDefault="00000000">
      <w:pPr>
        <w:pBdr>
          <w:top w:val="nil"/>
          <w:left w:val="nil"/>
          <w:bottom w:val="nil"/>
          <w:right w:val="nil"/>
          <w:between w:val="nil"/>
        </w:pBdr>
        <w:shd w:val="clear" w:color="auto" w:fill="FFFFFF"/>
        <w:spacing w:before="280" w:after="280" w:line="276" w:lineRule="auto"/>
        <w:ind w:left="-142" w:right="-574"/>
        <w:rPr>
          <w:rFonts w:ascii="Open Sans Light" w:eastAsia="Open Sans Light" w:hAnsi="Open Sans Light" w:cs="Open Sans Light"/>
          <w:b/>
          <w:color w:val="303AB2"/>
          <w:sz w:val="28"/>
          <w:szCs w:val="28"/>
        </w:rPr>
      </w:pPr>
      <w:r>
        <w:rPr>
          <w:noProof/>
        </w:rPr>
        <w:drawing>
          <wp:anchor distT="0" distB="0" distL="114300" distR="114300" simplePos="0" relativeHeight="251659264" behindDoc="0" locked="0" layoutInCell="1" hidden="0" allowOverlap="1" wp14:anchorId="389C86C6" wp14:editId="67EB3604">
            <wp:simplePos x="0" y="0"/>
            <wp:positionH relativeFrom="column">
              <wp:posOffset>-523432</wp:posOffset>
            </wp:positionH>
            <wp:positionV relativeFrom="paragraph">
              <wp:posOffset>0</wp:posOffset>
            </wp:positionV>
            <wp:extent cx="6464410" cy="2191571"/>
            <wp:effectExtent l="0" t="0" r="0" b="0"/>
            <wp:wrapSquare wrapText="bothSides" distT="0" distB="0" distL="114300" distR="114300"/>
            <wp:docPr id="329" name="image2.pn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Mapa&#10;&#10;Descripción generada automáticamente"/>
                    <pic:cNvPicPr preferRelativeResize="0"/>
                  </pic:nvPicPr>
                  <pic:blipFill>
                    <a:blip r:embed="rId28"/>
                    <a:srcRect/>
                    <a:stretch>
                      <a:fillRect/>
                    </a:stretch>
                  </pic:blipFill>
                  <pic:spPr>
                    <a:xfrm>
                      <a:off x="0" y="0"/>
                      <a:ext cx="6464410" cy="2191571"/>
                    </a:xfrm>
                    <a:prstGeom prst="rect">
                      <a:avLst/>
                    </a:prstGeom>
                    <a:ln/>
                  </pic:spPr>
                </pic:pic>
              </a:graphicData>
            </a:graphic>
          </wp:anchor>
        </w:drawing>
      </w:r>
    </w:p>
    <w:p w14:paraId="31887C6E" w14:textId="77777777" w:rsidR="001B58CE" w:rsidRDefault="001B58CE">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bookmarkStart w:id="4" w:name="_heading=h.3znysh7" w:colFirst="0" w:colLast="0"/>
      <w:bookmarkEnd w:id="4"/>
    </w:p>
    <w:p w14:paraId="4C8CACCF" w14:textId="51186FDE" w:rsidR="004D63F3"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t>Por barrios</w:t>
      </w:r>
    </w:p>
    <w:p w14:paraId="4BCE6694" w14:textId="77777777" w:rsidR="004D63F3"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El análisis de </w:t>
      </w:r>
      <w:hyperlink r:id="rId29">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 xml:space="preserve"> también ofrece datos de los barrios más rentables para comprar una vivienda y ponerla en alquiler en España. Así, del análisis se desprende que el barrio más rentable del país en 2022 es el barrio Centro de Laredo (Cantabria) con 9,8%, seguido del Casco Antiguo de Algeciras con un 8,5% de rentabilidad en 2022.</w:t>
      </w:r>
    </w:p>
    <w:p w14:paraId="48420C63" w14:textId="77777777" w:rsidR="004D63F3"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En cuanto a</w:t>
      </w:r>
      <w:r>
        <w:rPr>
          <w:rFonts w:ascii="Open Sans" w:eastAsia="Open Sans" w:hAnsi="Open Sans" w:cs="Open Sans"/>
          <w:b/>
          <w:color w:val="000000"/>
          <w:sz w:val="22"/>
          <w:szCs w:val="22"/>
        </w:rPr>
        <w:t xml:space="preserve"> Madrid capital</w:t>
      </w:r>
      <w:r>
        <w:rPr>
          <w:rFonts w:ascii="Open Sans" w:eastAsia="Open Sans" w:hAnsi="Open Sans" w:cs="Open Sans"/>
          <w:color w:val="000000"/>
          <w:sz w:val="22"/>
          <w:szCs w:val="22"/>
        </w:rPr>
        <w:t xml:space="preserve">, el barrio más rentable es Embajadores – Lavapiés con un 5,6% de rentabilidad, seguido del barrio de Pueblo Nuevo con 5,3%. Por otro lado, el barrio de la capital con menos rentabilidad es Recoletos y Castellana con un 3%, cada uno.  </w:t>
      </w:r>
    </w:p>
    <w:p w14:paraId="28E21CE4" w14:textId="4B1EC967" w:rsidR="004D63F3"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En cuanto</w:t>
      </w:r>
      <w:r>
        <w:rPr>
          <w:rFonts w:ascii="Open Sans" w:eastAsia="Open Sans" w:hAnsi="Open Sans" w:cs="Open Sans"/>
          <w:b/>
          <w:color w:val="000000"/>
          <w:sz w:val="22"/>
          <w:szCs w:val="22"/>
        </w:rPr>
        <w:t xml:space="preserve"> </w:t>
      </w:r>
      <w:r>
        <w:rPr>
          <w:rFonts w:ascii="Open Sans" w:eastAsia="Open Sans" w:hAnsi="Open Sans" w:cs="Open Sans"/>
          <w:color w:val="000000"/>
          <w:sz w:val="22"/>
          <w:szCs w:val="22"/>
        </w:rPr>
        <w:t>a</w:t>
      </w:r>
      <w:r>
        <w:rPr>
          <w:rFonts w:ascii="Open Sans" w:eastAsia="Open Sans" w:hAnsi="Open Sans" w:cs="Open Sans"/>
          <w:b/>
          <w:color w:val="000000"/>
          <w:sz w:val="22"/>
          <w:szCs w:val="22"/>
        </w:rPr>
        <w:t xml:space="preserve"> Barcelona capital</w:t>
      </w:r>
      <w:r>
        <w:rPr>
          <w:rFonts w:ascii="Open Sans" w:eastAsia="Open Sans" w:hAnsi="Open Sans" w:cs="Open Sans"/>
          <w:color w:val="000000"/>
          <w:sz w:val="22"/>
          <w:szCs w:val="22"/>
        </w:rPr>
        <w:t xml:space="preserve">, el barrio más rentable es Sant Martí de </w:t>
      </w:r>
      <w:proofErr w:type="spellStart"/>
      <w:r>
        <w:rPr>
          <w:rFonts w:ascii="Open Sans" w:eastAsia="Open Sans" w:hAnsi="Open Sans" w:cs="Open Sans"/>
          <w:color w:val="000000"/>
          <w:sz w:val="22"/>
          <w:szCs w:val="22"/>
        </w:rPr>
        <w:t>Provençals</w:t>
      </w:r>
      <w:proofErr w:type="spellEnd"/>
      <w:r>
        <w:rPr>
          <w:rFonts w:ascii="Open Sans" w:eastAsia="Open Sans" w:hAnsi="Open Sans" w:cs="Open Sans"/>
          <w:color w:val="000000"/>
          <w:sz w:val="22"/>
          <w:szCs w:val="22"/>
        </w:rPr>
        <w:t xml:space="preserve"> de Sant Martí con un 7,8%, seguido de El Poble </w:t>
      </w:r>
      <w:proofErr w:type="spellStart"/>
      <w:r>
        <w:rPr>
          <w:rFonts w:ascii="Open Sans" w:eastAsia="Open Sans" w:hAnsi="Open Sans" w:cs="Open Sans"/>
          <w:color w:val="000000"/>
          <w:sz w:val="22"/>
          <w:szCs w:val="22"/>
        </w:rPr>
        <w:t>Sec</w:t>
      </w:r>
      <w:proofErr w:type="spellEnd"/>
      <w:r>
        <w:rPr>
          <w:rFonts w:ascii="Open Sans" w:eastAsia="Open Sans" w:hAnsi="Open Sans" w:cs="Open Sans"/>
          <w:color w:val="000000"/>
          <w:sz w:val="22"/>
          <w:szCs w:val="22"/>
        </w:rPr>
        <w:t xml:space="preserve"> - </w:t>
      </w:r>
      <w:proofErr w:type="spellStart"/>
      <w:r>
        <w:rPr>
          <w:rFonts w:ascii="Open Sans" w:eastAsia="Open Sans" w:hAnsi="Open Sans" w:cs="Open Sans"/>
          <w:color w:val="000000"/>
          <w:sz w:val="22"/>
          <w:szCs w:val="22"/>
        </w:rPr>
        <w:t>Parc</w:t>
      </w:r>
      <w:proofErr w:type="spellEnd"/>
      <w:r>
        <w:rPr>
          <w:rFonts w:ascii="Open Sans" w:eastAsia="Open Sans" w:hAnsi="Open Sans" w:cs="Open Sans"/>
          <w:color w:val="000000"/>
          <w:sz w:val="22"/>
          <w:szCs w:val="22"/>
        </w:rPr>
        <w:t xml:space="preserve"> de Montjuïc con 7,4%. Por otro lado, los barrios de la capital catalana con menos rentabilidad son Diagonal Mar i el Front </w:t>
      </w:r>
      <w:proofErr w:type="spellStart"/>
      <w:r>
        <w:rPr>
          <w:rFonts w:ascii="Open Sans" w:eastAsia="Open Sans" w:hAnsi="Open Sans" w:cs="Open Sans"/>
          <w:color w:val="000000"/>
          <w:sz w:val="22"/>
          <w:szCs w:val="22"/>
        </w:rPr>
        <w:t>Marítim</w:t>
      </w:r>
      <w:proofErr w:type="spellEnd"/>
      <w:r>
        <w:rPr>
          <w:rFonts w:ascii="Open Sans" w:eastAsia="Open Sans" w:hAnsi="Open Sans" w:cs="Open Sans"/>
          <w:color w:val="000000"/>
          <w:sz w:val="22"/>
          <w:szCs w:val="22"/>
        </w:rPr>
        <w:t xml:space="preserve"> del Poblenou y Pedralbes con un 3,5%, cada uno.</w:t>
      </w:r>
    </w:p>
    <w:p w14:paraId="77215D8A" w14:textId="560E7144" w:rsidR="00D16C88" w:rsidRDefault="00D16C88">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031C1A8B" w14:textId="6832FBFE" w:rsidR="00D16C88" w:rsidRDefault="00D16C88">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4330933C" w14:textId="77777777" w:rsidR="00D16C88" w:rsidRDefault="00D16C88">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057B1206" w14:textId="77777777" w:rsidR="004D63F3"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Light" w:eastAsia="Open Sans Light" w:hAnsi="Open Sans Light" w:cs="Open Sans Light"/>
          <w:b/>
          <w:color w:val="303AB2"/>
        </w:rPr>
        <w:lastRenderedPageBreak/>
        <w:t>Tablas (6)</w:t>
      </w:r>
    </w:p>
    <w:p w14:paraId="5D6F36B0" w14:textId="77777777" w:rsidR="004D63F3"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rPr>
        <w:t>Tabla 1. Rentabilidad de la vivienda por CCAA en 2012, 2017, 2021 y 2022</w:t>
      </w:r>
    </w:p>
    <w:tbl>
      <w:tblPr>
        <w:tblStyle w:val="a"/>
        <w:tblW w:w="9019"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263"/>
        <w:gridCol w:w="1985"/>
        <w:gridCol w:w="1559"/>
        <w:gridCol w:w="1701"/>
        <w:gridCol w:w="1511"/>
      </w:tblGrid>
      <w:tr w:rsidR="004D63F3" w14:paraId="01FB16DF" w14:textId="77777777">
        <w:trPr>
          <w:trHeight w:val="549"/>
        </w:trPr>
        <w:tc>
          <w:tcPr>
            <w:tcW w:w="2263" w:type="dxa"/>
            <w:tcBorders>
              <w:top w:val="single" w:sz="4" w:space="0" w:color="FFFFFF"/>
              <w:left w:val="single" w:sz="4" w:space="0" w:color="FFFFFF"/>
              <w:right w:val="nil"/>
            </w:tcBorders>
            <w:shd w:val="clear" w:color="auto" w:fill="4472C4"/>
            <w:vAlign w:val="center"/>
          </w:tcPr>
          <w:p w14:paraId="0E91D4DC"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Comunidades Autónomas</w:t>
            </w:r>
          </w:p>
        </w:tc>
        <w:tc>
          <w:tcPr>
            <w:tcW w:w="1985" w:type="dxa"/>
            <w:tcBorders>
              <w:top w:val="single" w:sz="4" w:space="0" w:color="FFFFFF"/>
              <w:left w:val="nil"/>
              <w:right w:val="nil"/>
            </w:tcBorders>
            <w:shd w:val="clear" w:color="auto" w:fill="4472C4"/>
            <w:vAlign w:val="center"/>
          </w:tcPr>
          <w:p w14:paraId="0B9FA403" w14:textId="77777777" w:rsidR="004D63F3"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Rentabilidad</w:t>
            </w:r>
          </w:p>
          <w:p w14:paraId="0663C163" w14:textId="77777777" w:rsidR="004D63F3"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2012</w:t>
            </w:r>
          </w:p>
          <w:p w14:paraId="3BFEB294" w14:textId="77777777" w:rsidR="004D63F3"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(10 años)</w:t>
            </w:r>
          </w:p>
        </w:tc>
        <w:tc>
          <w:tcPr>
            <w:tcW w:w="1559" w:type="dxa"/>
            <w:tcBorders>
              <w:top w:val="single" w:sz="4" w:space="0" w:color="FFFFFF"/>
              <w:left w:val="nil"/>
              <w:right w:val="nil"/>
            </w:tcBorders>
            <w:shd w:val="clear" w:color="auto" w:fill="4472C4"/>
            <w:vAlign w:val="center"/>
          </w:tcPr>
          <w:p w14:paraId="3515B9C6" w14:textId="77777777" w:rsidR="004D63F3"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Rentabilidad</w:t>
            </w:r>
          </w:p>
          <w:p w14:paraId="1D84AAE3" w14:textId="77777777" w:rsidR="004D63F3"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2017</w:t>
            </w:r>
          </w:p>
          <w:p w14:paraId="059C84A9" w14:textId="77777777" w:rsidR="004D63F3"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(5 años)</w:t>
            </w:r>
          </w:p>
        </w:tc>
        <w:tc>
          <w:tcPr>
            <w:tcW w:w="1701" w:type="dxa"/>
            <w:tcBorders>
              <w:top w:val="single" w:sz="4" w:space="0" w:color="FFFFFF"/>
              <w:left w:val="nil"/>
              <w:right w:val="nil"/>
            </w:tcBorders>
            <w:shd w:val="clear" w:color="auto" w:fill="4472C4"/>
            <w:vAlign w:val="center"/>
          </w:tcPr>
          <w:p w14:paraId="6099F1BA" w14:textId="77777777" w:rsidR="004D63F3"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Rentabilidad</w:t>
            </w:r>
          </w:p>
          <w:p w14:paraId="0CDB5E77" w14:textId="77777777" w:rsidR="004D63F3"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2021</w:t>
            </w:r>
          </w:p>
          <w:p w14:paraId="56C3B24D" w14:textId="77777777" w:rsidR="004D63F3" w:rsidRDefault="00000000">
            <w:pPr>
              <w:pBdr>
                <w:top w:val="nil"/>
                <w:left w:val="nil"/>
                <w:bottom w:val="nil"/>
                <w:right w:val="nil"/>
                <w:between w:val="nil"/>
              </w:pBdr>
              <w:jc w:val="center"/>
              <w:rPr>
                <w:rFonts w:ascii="Open Sans" w:eastAsia="Open Sans" w:hAnsi="Open Sans" w:cs="Open Sans"/>
                <w:i/>
                <w:color w:val="FFFFFF"/>
                <w:sz w:val="22"/>
                <w:szCs w:val="22"/>
              </w:rPr>
            </w:pPr>
            <w:r>
              <w:rPr>
                <w:rFonts w:ascii="Open Sans" w:eastAsia="Open Sans" w:hAnsi="Open Sans" w:cs="Open Sans"/>
                <w:color w:val="FFFFFF"/>
                <w:sz w:val="22"/>
                <w:szCs w:val="22"/>
              </w:rPr>
              <w:t>(1 año)</w:t>
            </w:r>
          </w:p>
        </w:tc>
        <w:tc>
          <w:tcPr>
            <w:tcW w:w="1511" w:type="dxa"/>
            <w:tcBorders>
              <w:top w:val="single" w:sz="4" w:space="0" w:color="FFFFFF"/>
              <w:left w:val="nil"/>
              <w:right w:val="nil"/>
            </w:tcBorders>
            <w:shd w:val="clear" w:color="auto" w:fill="4472C4"/>
            <w:vAlign w:val="center"/>
          </w:tcPr>
          <w:p w14:paraId="2C9C2138" w14:textId="77777777" w:rsidR="004D63F3"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Rentabilidad</w:t>
            </w:r>
          </w:p>
          <w:p w14:paraId="7CB334BC" w14:textId="77777777" w:rsidR="004D63F3"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2022</w:t>
            </w:r>
          </w:p>
        </w:tc>
      </w:tr>
      <w:tr w:rsidR="004D63F3" w14:paraId="3FA7A020" w14:textId="77777777">
        <w:trPr>
          <w:trHeight w:val="273"/>
        </w:trPr>
        <w:tc>
          <w:tcPr>
            <w:tcW w:w="2263" w:type="dxa"/>
            <w:tcBorders>
              <w:left w:val="single" w:sz="4" w:space="0" w:color="FFFFFF"/>
            </w:tcBorders>
            <w:shd w:val="clear" w:color="auto" w:fill="4472C4"/>
            <w:vAlign w:val="bottom"/>
          </w:tcPr>
          <w:p w14:paraId="18A9252F"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Comunitat Valenciana</w:t>
            </w:r>
          </w:p>
        </w:tc>
        <w:tc>
          <w:tcPr>
            <w:tcW w:w="1985" w:type="dxa"/>
            <w:shd w:val="clear" w:color="auto" w:fill="B4C6E7"/>
            <w:vAlign w:val="bottom"/>
          </w:tcPr>
          <w:p w14:paraId="2C042A16"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4,4%</w:t>
            </w:r>
          </w:p>
        </w:tc>
        <w:tc>
          <w:tcPr>
            <w:tcW w:w="1559" w:type="dxa"/>
            <w:shd w:val="clear" w:color="auto" w:fill="B4C6E7"/>
            <w:vAlign w:val="bottom"/>
          </w:tcPr>
          <w:p w14:paraId="36CF4657"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5,9%</w:t>
            </w:r>
          </w:p>
        </w:tc>
        <w:tc>
          <w:tcPr>
            <w:tcW w:w="1701" w:type="dxa"/>
            <w:shd w:val="clear" w:color="auto" w:fill="B4C6E7"/>
            <w:vAlign w:val="bottom"/>
          </w:tcPr>
          <w:p w14:paraId="48CA41DC"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7,3%</w:t>
            </w:r>
          </w:p>
        </w:tc>
        <w:tc>
          <w:tcPr>
            <w:tcW w:w="1511" w:type="dxa"/>
            <w:shd w:val="clear" w:color="auto" w:fill="B4C6E7"/>
            <w:vAlign w:val="bottom"/>
          </w:tcPr>
          <w:p w14:paraId="124D6EFD"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7,7%</w:t>
            </w:r>
          </w:p>
        </w:tc>
      </w:tr>
      <w:tr w:rsidR="004D63F3" w14:paraId="3D27772C" w14:textId="77777777">
        <w:trPr>
          <w:trHeight w:val="273"/>
        </w:trPr>
        <w:tc>
          <w:tcPr>
            <w:tcW w:w="2263" w:type="dxa"/>
            <w:tcBorders>
              <w:left w:val="single" w:sz="4" w:space="0" w:color="FFFFFF"/>
            </w:tcBorders>
            <w:shd w:val="clear" w:color="auto" w:fill="4472C4"/>
            <w:vAlign w:val="bottom"/>
          </w:tcPr>
          <w:p w14:paraId="1CB6B8A7"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Región de Murcia</w:t>
            </w:r>
          </w:p>
        </w:tc>
        <w:tc>
          <w:tcPr>
            <w:tcW w:w="1985" w:type="dxa"/>
            <w:shd w:val="clear" w:color="auto" w:fill="D9E2F3"/>
            <w:vAlign w:val="bottom"/>
          </w:tcPr>
          <w:p w14:paraId="28D6AE05"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4,7%</w:t>
            </w:r>
          </w:p>
        </w:tc>
        <w:tc>
          <w:tcPr>
            <w:tcW w:w="1559" w:type="dxa"/>
            <w:shd w:val="clear" w:color="auto" w:fill="D9E2F3"/>
            <w:vAlign w:val="bottom"/>
          </w:tcPr>
          <w:p w14:paraId="4EDEB701"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5,7%</w:t>
            </w:r>
          </w:p>
        </w:tc>
        <w:tc>
          <w:tcPr>
            <w:tcW w:w="1701" w:type="dxa"/>
            <w:shd w:val="clear" w:color="auto" w:fill="D9E2F3"/>
            <w:vAlign w:val="bottom"/>
          </w:tcPr>
          <w:p w14:paraId="511F7C40"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7,5%</w:t>
            </w:r>
          </w:p>
        </w:tc>
        <w:tc>
          <w:tcPr>
            <w:tcW w:w="1511" w:type="dxa"/>
            <w:shd w:val="clear" w:color="auto" w:fill="D9E2F3"/>
            <w:vAlign w:val="bottom"/>
          </w:tcPr>
          <w:p w14:paraId="3FEE89C1"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7,7%</w:t>
            </w:r>
          </w:p>
        </w:tc>
      </w:tr>
      <w:tr w:rsidR="004D63F3" w14:paraId="78F6912A" w14:textId="77777777">
        <w:trPr>
          <w:trHeight w:val="288"/>
        </w:trPr>
        <w:tc>
          <w:tcPr>
            <w:tcW w:w="2263" w:type="dxa"/>
            <w:tcBorders>
              <w:left w:val="single" w:sz="4" w:space="0" w:color="FFFFFF"/>
            </w:tcBorders>
            <w:shd w:val="clear" w:color="auto" w:fill="4472C4"/>
            <w:vAlign w:val="bottom"/>
          </w:tcPr>
          <w:p w14:paraId="2E13A675"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Cantabria</w:t>
            </w:r>
          </w:p>
        </w:tc>
        <w:tc>
          <w:tcPr>
            <w:tcW w:w="1985" w:type="dxa"/>
            <w:shd w:val="clear" w:color="auto" w:fill="B4C6E7"/>
            <w:vAlign w:val="bottom"/>
          </w:tcPr>
          <w:p w14:paraId="42E59751"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3,9%</w:t>
            </w:r>
          </w:p>
        </w:tc>
        <w:tc>
          <w:tcPr>
            <w:tcW w:w="1559" w:type="dxa"/>
            <w:shd w:val="clear" w:color="auto" w:fill="B4C6E7"/>
            <w:vAlign w:val="bottom"/>
          </w:tcPr>
          <w:p w14:paraId="7CEADCD5"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5,4%</w:t>
            </w:r>
          </w:p>
        </w:tc>
        <w:tc>
          <w:tcPr>
            <w:tcW w:w="1701" w:type="dxa"/>
            <w:shd w:val="clear" w:color="auto" w:fill="B4C6E7"/>
            <w:vAlign w:val="bottom"/>
          </w:tcPr>
          <w:p w14:paraId="5926D27C"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6,1%</w:t>
            </w:r>
          </w:p>
        </w:tc>
        <w:tc>
          <w:tcPr>
            <w:tcW w:w="1511" w:type="dxa"/>
            <w:shd w:val="clear" w:color="auto" w:fill="B4C6E7"/>
            <w:vAlign w:val="bottom"/>
          </w:tcPr>
          <w:p w14:paraId="4165C9AC" w14:textId="77777777" w:rsidR="004D63F3" w:rsidRDefault="00000000">
            <w:pPr>
              <w:jc w:val="center"/>
              <w:rPr>
                <w:rFonts w:ascii="Open Sans" w:eastAsia="Open Sans" w:hAnsi="Open Sans" w:cs="Open Sans"/>
                <w:color w:val="9C0006"/>
                <w:sz w:val="22"/>
                <w:szCs w:val="22"/>
              </w:rPr>
            </w:pPr>
            <w:r>
              <w:rPr>
                <w:rFonts w:ascii="Open Sans" w:eastAsia="Open Sans" w:hAnsi="Open Sans" w:cs="Open Sans"/>
                <w:color w:val="000000"/>
                <w:sz w:val="22"/>
                <w:szCs w:val="22"/>
              </w:rPr>
              <w:t>6,9%</w:t>
            </w:r>
          </w:p>
        </w:tc>
      </w:tr>
      <w:tr w:rsidR="004D63F3" w14:paraId="1C2E8B2C" w14:textId="77777777">
        <w:trPr>
          <w:trHeight w:val="273"/>
        </w:trPr>
        <w:tc>
          <w:tcPr>
            <w:tcW w:w="2263" w:type="dxa"/>
            <w:tcBorders>
              <w:left w:val="single" w:sz="4" w:space="0" w:color="FFFFFF"/>
            </w:tcBorders>
            <w:shd w:val="clear" w:color="auto" w:fill="4472C4"/>
            <w:vAlign w:val="bottom"/>
          </w:tcPr>
          <w:p w14:paraId="262BF59D"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Canarias</w:t>
            </w:r>
          </w:p>
        </w:tc>
        <w:tc>
          <w:tcPr>
            <w:tcW w:w="1985" w:type="dxa"/>
            <w:shd w:val="clear" w:color="auto" w:fill="D9E2F3"/>
            <w:vAlign w:val="bottom"/>
          </w:tcPr>
          <w:p w14:paraId="7F7A5D86"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4,7%</w:t>
            </w:r>
          </w:p>
        </w:tc>
        <w:tc>
          <w:tcPr>
            <w:tcW w:w="1559" w:type="dxa"/>
            <w:shd w:val="clear" w:color="auto" w:fill="D9E2F3"/>
            <w:vAlign w:val="bottom"/>
          </w:tcPr>
          <w:p w14:paraId="1462E78D"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6,6%</w:t>
            </w:r>
          </w:p>
        </w:tc>
        <w:tc>
          <w:tcPr>
            <w:tcW w:w="1701" w:type="dxa"/>
            <w:shd w:val="clear" w:color="auto" w:fill="D9E2F3"/>
            <w:vAlign w:val="bottom"/>
          </w:tcPr>
          <w:p w14:paraId="3159C817"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6,5%</w:t>
            </w:r>
          </w:p>
        </w:tc>
        <w:tc>
          <w:tcPr>
            <w:tcW w:w="1511" w:type="dxa"/>
            <w:shd w:val="clear" w:color="auto" w:fill="D9E2F3"/>
            <w:vAlign w:val="bottom"/>
          </w:tcPr>
          <w:p w14:paraId="5C5DF937"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6,8%</w:t>
            </w:r>
          </w:p>
        </w:tc>
      </w:tr>
      <w:tr w:rsidR="004D63F3" w14:paraId="2C1AE55B" w14:textId="77777777">
        <w:trPr>
          <w:trHeight w:val="273"/>
        </w:trPr>
        <w:tc>
          <w:tcPr>
            <w:tcW w:w="2263" w:type="dxa"/>
            <w:tcBorders>
              <w:left w:val="single" w:sz="4" w:space="0" w:color="FFFFFF"/>
            </w:tcBorders>
            <w:shd w:val="clear" w:color="auto" w:fill="4472C4"/>
            <w:vAlign w:val="bottom"/>
          </w:tcPr>
          <w:p w14:paraId="409DE8CE"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Cataluña</w:t>
            </w:r>
          </w:p>
        </w:tc>
        <w:tc>
          <w:tcPr>
            <w:tcW w:w="1985" w:type="dxa"/>
            <w:shd w:val="clear" w:color="auto" w:fill="B4C6E7"/>
            <w:vAlign w:val="bottom"/>
          </w:tcPr>
          <w:p w14:paraId="04F90E2A"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4,5%</w:t>
            </w:r>
          </w:p>
        </w:tc>
        <w:tc>
          <w:tcPr>
            <w:tcW w:w="1559" w:type="dxa"/>
            <w:shd w:val="clear" w:color="auto" w:fill="B4C6E7"/>
            <w:vAlign w:val="bottom"/>
          </w:tcPr>
          <w:p w14:paraId="61A1273D"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7,1%</w:t>
            </w:r>
          </w:p>
        </w:tc>
        <w:tc>
          <w:tcPr>
            <w:tcW w:w="1701" w:type="dxa"/>
            <w:shd w:val="clear" w:color="auto" w:fill="B4C6E7"/>
            <w:vAlign w:val="bottom"/>
          </w:tcPr>
          <w:p w14:paraId="7E6B4206"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6,6%</w:t>
            </w:r>
          </w:p>
        </w:tc>
        <w:tc>
          <w:tcPr>
            <w:tcW w:w="1511" w:type="dxa"/>
            <w:shd w:val="clear" w:color="auto" w:fill="B4C6E7"/>
            <w:vAlign w:val="bottom"/>
          </w:tcPr>
          <w:p w14:paraId="73D0CB79" w14:textId="77777777" w:rsidR="004D63F3" w:rsidRDefault="00000000">
            <w:pPr>
              <w:jc w:val="center"/>
              <w:rPr>
                <w:rFonts w:ascii="Open Sans" w:eastAsia="Open Sans" w:hAnsi="Open Sans" w:cs="Open Sans"/>
                <w:color w:val="9C0006"/>
                <w:sz w:val="22"/>
                <w:szCs w:val="22"/>
              </w:rPr>
            </w:pPr>
            <w:r>
              <w:rPr>
                <w:rFonts w:ascii="Open Sans" w:eastAsia="Open Sans" w:hAnsi="Open Sans" w:cs="Open Sans"/>
                <w:color w:val="000000"/>
                <w:sz w:val="22"/>
                <w:szCs w:val="22"/>
              </w:rPr>
              <w:t>6,8%</w:t>
            </w:r>
          </w:p>
        </w:tc>
      </w:tr>
      <w:tr w:rsidR="004D63F3" w14:paraId="2CA1A0E2" w14:textId="77777777">
        <w:trPr>
          <w:trHeight w:val="273"/>
        </w:trPr>
        <w:tc>
          <w:tcPr>
            <w:tcW w:w="2263" w:type="dxa"/>
            <w:tcBorders>
              <w:left w:val="single" w:sz="4" w:space="0" w:color="FFFFFF"/>
            </w:tcBorders>
            <w:shd w:val="clear" w:color="auto" w:fill="4472C4"/>
            <w:vAlign w:val="bottom"/>
          </w:tcPr>
          <w:p w14:paraId="1EDDAC67"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Navarra</w:t>
            </w:r>
          </w:p>
        </w:tc>
        <w:tc>
          <w:tcPr>
            <w:tcW w:w="1985" w:type="dxa"/>
            <w:shd w:val="clear" w:color="auto" w:fill="D9E2F3"/>
            <w:vAlign w:val="bottom"/>
          </w:tcPr>
          <w:p w14:paraId="392BA4D0"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4,2%</w:t>
            </w:r>
          </w:p>
        </w:tc>
        <w:tc>
          <w:tcPr>
            <w:tcW w:w="1559" w:type="dxa"/>
            <w:shd w:val="clear" w:color="auto" w:fill="D9E2F3"/>
            <w:vAlign w:val="bottom"/>
          </w:tcPr>
          <w:p w14:paraId="5A5E9EA5"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5,5%</w:t>
            </w:r>
          </w:p>
        </w:tc>
        <w:tc>
          <w:tcPr>
            <w:tcW w:w="1701" w:type="dxa"/>
            <w:shd w:val="clear" w:color="auto" w:fill="D9E2F3"/>
            <w:vAlign w:val="bottom"/>
          </w:tcPr>
          <w:p w14:paraId="7AF90D09"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7,3%</w:t>
            </w:r>
          </w:p>
        </w:tc>
        <w:tc>
          <w:tcPr>
            <w:tcW w:w="1511" w:type="dxa"/>
            <w:shd w:val="clear" w:color="auto" w:fill="D9E2F3"/>
            <w:vAlign w:val="bottom"/>
          </w:tcPr>
          <w:p w14:paraId="3F75FE17" w14:textId="77777777" w:rsidR="004D63F3" w:rsidRDefault="00000000">
            <w:pPr>
              <w:jc w:val="center"/>
              <w:rPr>
                <w:rFonts w:ascii="Open Sans" w:eastAsia="Open Sans" w:hAnsi="Open Sans" w:cs="Open Sans"/>
                <w:color w:val="9C0006"/>
                <w:sz w:val="22"/>
                <w:szCs w:val="22"/>
              </w:rPr>
            </w:pPr>
            <w:r>
              <w:rPr>
                <w:rFonts w:ascii="Open Sans" w:eastAsia="Open Sans" w:hAnsi="Open Sans" w:cs="Open Sans"/>
                <w:color w:val="000000"/>
                <w:sz w:val="22"/>
                <w:szCs w:val="22"/>
              </w:rPr>
              <w:t>6,6%</w:t>
            </w:r>
          </w:p>
        </w:tc>
      </w:tr>
      <w:tr w:rsidR="004D63F3" w14:paraId="56400D67" w14:textId="77777777">
        <w:trPr>
          <w:trHeight w:val="273"/>
        </w:trPr>
        <w:tc>
          <w:tcPr>
            <w:tcW w:w="2263" w:type="dxa"/>
            <w:tcBorders>
              <w:left w:val="single" w:sz="4" w:space="0" w:color="FFFFFF"/>
            </w:tcBorders>
            <w:shd w:val="clear" w:color="auto" w:fill="4472C4"/>
            <w:vAlign w:val="bottom"/>
          </w:tcPr>
          <w:p w14:paraId="4FA5C07D"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Castilla y León</w:t>
            </w:r>
          </w:p>
        </w:tc>
        <w:tc>
          <w:tcPr>
            <w:tcW w:w="1985" w:type="dxa"/>
            <w:shd w:val="clear" w:color="auto" w:fill="B4C6E7"/>
            <w:vAlign w:val="bottom"/>
          </w:tcPr>
          <w:p w14:paraId="24D652B4"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4,1%</w:t>
            </w:r>
          </w:p>
        </w:tc>
        <w:tc>
          <w:tcPr>
            <w:tcW w:w="1559" w:type="dxa"/>
            <w:shd w:val="clear" w:color="auto" w:fill="B4C6E7"/>
            <w:vAlign w:val="bottom"/>
          </w:tcPr>
          <w:p w14:paraId="4D2F8E52"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5,1%</w:t>
            </w:r>
          </w:p>
        </w:tc>
        <w:tc>
          <w:tcPr>
            <w:tcW w:w="1701" w:type="dxa"/>
            <w:shd w:val="clear" w:color="auto" w:fill="B4C6E7"/>
            <w:vAlign w:val="bottom"/>
          </w:tcPr>
          <w:p w14:paraId="3473ABD8"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6,1%</w:t>
            </w:r>
          </w:p>
        </w:tc>
        <w:tc>
          <w:tcPr>
            <w:tcW w:w="1511" w:type="dxa"/>
            <w:shd w:val="clear" w:color="auto" w:fill="B4C6E7"/>
            <w:vAlign w:val="bottom"/>
          </w:tcPr>
          <w:p w14:paraId="54943EF5" w14:textId="77777777" w:rsidR="004D63F3" w:rsidRDefault="00000000">
            <w:pPr>
              <w:jc w:val="center"/>
              <w:rPr>
                <w:rFonts w:ascii="Open Sans" w:eastAsia="Open Sans" w:hAnsi="Open Sans" w:cs="Open Sans"/>
                <w:color w:val="9C0006"/>
                <w:sz w:val="22"/>
                <w:szCs w:val="22"/>
              </w:rPr>
            </w:pPr>
            <w:r>
              <w:rPr>
                <w:rFonts w:ascii="Open Sans" w:eastAsia="Open Sans" w:hAnsi="Open Sans" w:cs="Open Sans"/>
                <w:color w:val="000000"/>
                <w:sz w:val="22"/>
                <w:szCs w:val="22"/>
              </w:rPr>
              <w:t>6,5%</w:t>
            </w:r>
          </w:p>
        </w:tc>
      </w:tr>
      <w:tr w:rsidR="004D63F3" w14:paraId="17F83FD3" w14:textId="77777777">
        <w:trPr>
          <w:trHeight w:val="273"/>
        </w:trPr>
        <w:tc>
          <w:tcPr>
            <w:tcW w:w="2263" w:type="dxa"/>
            <w:tcBorders>
              <w:left w:val="single" w:sz="4" w:space="0" w:color="FFFFFF"/>
            </w:tcBorders>
            <w:shd w:val="clear" w:color="auto" w:fill="FFC000"/>
            <w:vAlign w:val="bottom"/>
          </w:tcPr>
          <w:p w14:paraId="724EFE6F" w14:textId="77777777" w:rsidR="004D63F3" w:rsidRDefault="00000000">
            <w:pPr>
              <w:rPr>
                <w:rFonts w:ascii="Open Sans" w:eastAsia="Open Sans" w:hAnsi="Open Sans" w:cs="Open Sans"/>
                <w:color w:val="FFFFFF"/>
                <w:sz w:val="22"/>
                <w:szCs w:val="22"/>
              </w:rPr>
            </w:pPr>
            <w:r>
              <w:rPr>
                <w:rFonts w:ascii="Open Sans" w:eastAsia="Open Sans" w:hAnsi="Open Sans" w:cs="Open Sans"/>
                <w:b/>
                <w:sz w:val="22"/>
                <w:szCs w:val="22"/>
              </w:rPr>
              <w:t>España</w:t>
            </w:r>
          </w:p>
        </w:tc>
        <w:tc>
          <w:tcPr>
            <w:tcW w:w="1985" w:type="dxa"/>
            <w:shd w:val="clear" w:color="auto" w:fill="FFC000"/>
            <w:vAlign w:val="bottom"/>
          </w:tcPr>
          <w:p w14:paraId="5B83D63E" w14:textId="77777777" w:rsidR="004D63F3" w:rsidRDefault="00000000">
            <w:pPr>
              <w:jc w:val="center"/>
              <w:rPr>
                <w:rFonts w:ascii="Open Sans" w:eastAsia="Open Sans" w:hAnsi="Open Sans" w:cs="Open Sans"/>
                <w:sz w:val="22"/>
                <w:szCs w:val="22"/>
              </w:rPr>
            </w:pPr>
            <w:r>
              <w:rPr>
                <w:rFonts w:ascii="Open Sans" w:eastAsia="Open Sans" w:hAnsi="Open Sans" w:cs="Open Sans"/>
                <w:b/>
                <w:color w:val="000000"/>
                <w:sz w:val="22"/>
                <w:szCs w:val="22"/>
              </w:rPr>
              <w:t>4,6%</w:t>
            </w:r>
          </w:p>
        </w:tc>
        <w:tc>
          <w:tcPr>
            <w:tcW w:w="1559" w:type="dxa"/>
            <w:shd w:val="clear" w:color="auto" w:fill="FFC000"/>
            <w:vAlign w:val="bottom"/>
          </w:tcPr>
          <w:p w14:paraId="6BBEF458" w14:textId="77777777" w:rsidR="004D63F3" w:rsidRDefault="00000000">
            <w:pPr>
              <w:jc w:val="center"/>
              <w:rPr>
                <w:rFonts w:ascii="Open Sans" w:eastAsia="Open Sans" w:hAnsi="Open Sans" w:cs="Open Sans"/>
                <w:sz w:val="22"/>
                <w:szCs w:val="22"/>
              </w:rPr>
            </w:pPr>
            <w:r>
              <w:rPr>
                <w:rFonts w:ascii="Open Sans" w:eastAsia="Open Sans" w:hAnsi="Open Sans" w:cs="Open Sans"/>
                <w:b/>
                <w:color w:val="000000"/>
                <w:sz w:val="22"/>
                <w:szCs w:val="22"/>
              </w:rPr>
              <w:t>6,2%</w:t>
            </w:r>
          </w:p>
        </w:tc>
        <w:tc>
          <w:tcPr>
            <w:tcW w:w="1701" w:type="dxa"/>
            <w:shd w:val="clear" w:color="auto" w:fill="FFC000"/>
            <w:vAlign w:val="bottom"/>
          </w:tcPr>
          <w:p w14:paraId="17B0BC6C" w14:textId="77777777" w:rsidR="004D63F3" w:rsidRDefault="00000000">
            <w:pPr>
              <w:jc w:val="center"/>
              <w:rPr>
                <w:rFonts w:ascii="Open Sans" w:eastAsia="Open Sans" w:hAnsi="Open Sans" w:cs="Open Sans"/>
                <w:b/>
                <w:sz w:val="22"/>
                <w:szCs w:val="22"/>
              </w:rPr>
            </w:pPr>
            <w:r>
              <w:rPr>
                <w:rFonts w:ascii="Open Sans" w:eastAsia="Open Sans" w:hAnsi="Open Sans" w:cs="Open Sans"/>
                <w:b/>
                <w:color w:val="000000"/>
                <w:sz w:val="22"/>
                <w:szCs w:val="22"/>
              </w:rPr>
              <w:t>6,5%</w:t>
            </w:r>
          </w:p>
        </w:tc>
        <w:tc>
          <w:tcPr>
            <w:tcW w:w="1511" w:type="dxa"/>
            <w:shd w:val="clear" w:color="auto" w:fill="FFC000"/>
            <w:vAlign w:val="bottom"/>
          </w:tcPr>
          <w:p w14:paraId="723936CD" w14:textId="77777777" w:rsidR="004D63F3" w:rsidRDefault="00000000">
            <w:pPr>
              <w:jc w:val="center"/>
              <w:rPr>
                <w:rFonts w:ascii="Open Sans" w:eastAsia="Open Sans" w:hAnsi="Open Sans" w:cs="Open Sans"/>
                <w:sz w:val="22"/>
                <w:szCs w:val="22"/>
              </w:rPr>
            </w:pPr>
            <w:r>
              <w:rPr>
                <w:rFonts w:ascii="Open Sans" w:eastAsia="Open Sans" w:hAnsi="Open Sans" w:cs="Open Sans"/>
                <w:b/>
                <w:color w:val="000000"/>
                <w:sz w:val="22"/>
                <w:szCs w:val="22"/>
              </w:rPr>
              <w:t>6,5%</w:t>
            </w:r>
          </w:p>
        </w:tc>
      </w:tr>
      <w:tr w:rsidR="004D63F3" w14:paraId="1A74A5D9" w14:textId="77777777">
        <w:trPr>
          <w:trHeight w:val="288"/>
        </w:trPr>
        <w:tc>
          <w:tcPr>
            <w:tcW w:w="2263" w:type="dxa"/>
            <w:tcBorders>
              <w:left w:val="single" w:sz="4" w:space="0" w:color="FFFFFF"/>
            </w:tcBorders>
            <w:shd w:val="clear" w:color="auto" w:fill="4472C4"/>
            <w:vAlign w:val="bottom"/>
          </w:tcPr>
          <w:p w14:paraId="29B5441E"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Aragón</w:t>
            </w:r>
          </w:p>
        </w:tc>
        <w:tc>
          <w:tcPr>
            <w:tcW w:w="1985" w:type="dxa"/>
            <w:shd w:val="clear" w:color="auto" w:fill="B4C6E7"/>
            <w:vAlign w:val="bottom"/>
          </w:tcPr>
          <w:p w14:paraId="2A02EACC"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4,4%</w:t>
            </w:r>
          </w:p>
        </w:tc>
        <w:tc>
          <w:tcPr>
            <w:tcW w:w="1559" w:type="dxa"/>
            <w:shd w:val="clear" w:color="auto" w:fill="B4C6E7"/>
            <w:vAlign w:val="bottom"/>
          </w:tcPr>
          <w:p w14:paraId="4CF65AEB"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5,5%</w:t>
            </w:r>
          </w:p>
        </w:tc>
        <w:tc>
          <w:tcPr>
            <w:tcW w:w="1701" w:type="dxa"/>
            <w:shd w:val="clear" w:color="auto" w:fill="B4C6E7"/>
            <w:vAlign w:val="bottom"/>
          </w:tcPr>
          <w:p w14:paraId="220AB5CD"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6,4%</w:t>
            </w:r>
          </w:p>
        </w:tc>
        <w:tc>
          <w:tcPr>
            <w:tcW w:w="1511" w:type="dxa"/>
            <w:shd w:val="clear" w:color="auto" w:fill="B4C6E7"/>
            <w:vAlign w:val="bottom"/>
          </w:tcPr>
          <w:p w14:paraId="0FED3771"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6,4%</w:t>
            </w:r>
          </w:p>
        </w:tc>
      </w:tr>
      <w:tr w:rsidR="004D63F3" w14:paraId="4A566B93" w14:textId="77777777">
        <w:trPr>
          <w:trHeight w:val="273"/>
        </w:trPr>
        <w:tc>
          <w:tcPr>
            <w:tcW w:w="2263" w:type="dxa"/>
            <w:tcBorders>
              <w:left w:val="single" w:sz="4" w:space="0" w:color="FFFFFF"/>
            </w:tcBorders>
            <w:shd w:val="clear" w:color="auto" w:fill="4472C4"/>
            <w:vAlign w:val="bottom"/>
          </w:tcPr>
          <w:p w14:paraId="080B275D"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Asturias</w:t>
            </w:r>
          </w:p>
        </w:tc>
        <w:tc>
          <w:tcPr>
            <w:tcW w:w="1985" w:type="dxa"/>
            <w:shd w:val="clear" w:color="auto" w:fill="D9E2F3"/>
            <w:vAlign w:val="bottom"/>
          </w:tcPr>
          <w:p w14:paraId="2EF1D0BC"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4,1%</w:t>
            </w:r>
          </w:p>
        </w:tc>
        <w:tc>
          <w:tcPr>
            <w:tcW w:w="1559" w:type="dxa"/>
            <w:shd w:val="clear" w:color="auto" w:fill="D9E2F3"/>
            <w:vAlign w:val="bottom"/>
          </w:tcPr>
          <w:p w14:paraId="0DE18DBF"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5,1%</w:t>
            </w:r>
          </w:p>
        </w:tc>
        <w:tc>
          <w:tcPr>
            <w:tcW w:w="1701" w:type="dxa"/>
            <w:shd w:val="clear" w:color="auto" w:fill="D9E2F3"/>
            <w:vAlign w:val="bottom"/>
          </w:tcPr>
          <w:p w14:paraId="21079CE0"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6,2%</w:t>
            </w:r>
          </w:p>
        </w:tc>
        <w:tc>
          <w:tcPr>
            <w:tcW w:w="1511" w:type="dxa"/>
            <w:shd w:val="clear" w:color="auto" w:fill="D9E2F3"/>
            <w:vAlign w:val="bottom"/>
          </w:tcPr>
          <w:p w14:paraId="3C19F19A" w14:textId="77777777" w:rsidR="004D63F3" w:rsidRDefault="00000000">
            <w:pPr>
              <w:jc w:val="center"/>
              <w:rPr>
                <w:rFonts w:ascii="Open Sans" w:eastAsia="Open Sans" w:hAnsi="Open Sans" w:cs="Open Sans"/>
                <w:color w:val="9C0006"/>
                <w:sz w:val="22"/>
                <w:szCs w:val="22"/>
              </w:rPr>
            </w:pPr>
            <w:r>
              <w:rPr>
                <w:rFonts w:ascii="Open Sans" w:eastAsia="Open Sans" w:hAnsi="Open Sans" w:cs="Open Sans"/>
                <w:color w:val="000000"/>
                <w:sz w:val="22"/>
                <w:szCs w:val="22"/>
              </w:rPr>
              <w:t>6,3%</w:t>
            </w:r>
          </w:p>
        </w:tc>
      </w:tr>
      <w:tr w:rsidR="004D63F3" w14:paraId="15999701" w14:textId="77777777">
        <w:trPr>
          <w:trHeight w:val="273"/>
        </w:trPr>
        <w:tc>
          <w:tcPr>
            <w:tcW w:w="2263" w:type="dxa"/>
            <w:tcBorders>
              <w:left w:val="single" w:sz="4" w:space="0" w:color="FFFFFF"/>
            </w:tcBorders>
            <w:shd w:val="clear" w:color="auto" w:fill="4472C4"/>
            <w:vAlign w:val="bottom"/>
          </w:tcPr>
          <w:p w14:paraId="7069BCF1"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La Rioja</w:t>
            </w:r>
          </w:p>
        </w:tc>
        <w:tc>
          <w:tcPr>
            <w:tcW w:w="1985" w:type="dxa"/>
            <w:shd w:val="clear" w:color="auto" w:fill="B4C6E7"/>
            <w:vAlign w:val="bottom"/>
          </w:tcPr>
          <w:p w14:paraId="238261E3"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4,0%</w:t>
            </w:r>
          </w:p>
        </w:tc>
        <w:tc>
          <w:tcPr>
            <w:tcW w:w="1559" w:type="dxa"/>
            <w:shd w:val="clear" w:color="auto" w:fill="B4C6E7"/>
            <w:vAlign w:val="bottom"/>
          </w:tcPr>
          <w:p w14:paraId="5BF21083"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5,0%</w:t>
            </w:r>
          </w:p>
        </w:tc>
        <w:tc>
          <w:tcPr>
            <w:tcW w:w="1701" w:type="dxa"/>
            <w:shd w:val="clear" w:color="auto" w:fill="B4C6E7"/>
            <w:vAlign w:val="bottom"/>
          </w:tcPr>
          <w:p w14:paraId="707063A1"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6,0%</w:t>
            </w:r>
          </w:p>
        </w:tc>
        <w:tc>
          <w:tcPr>
            <w:tcW w:w="1511" w:type="dxa"/>
            <w:shd w:val="clear" w:color="auto" w:fill="B4C6E7"/>
            <w:vAlign w:val="bottom"/>
          </w:tcPr>
          <w:p w14:paraId="22AB02DD"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6,1%</w:t>
            </w:r>
          </w:p>
        </w:tc>
      </w:tr>
      <w:tr w:rsidR="004D63F3" w14:paraId="27DA9554" w14:textId="77777777">
        <w:trPr>
          <w:trHeight w:val="273"/>
        </w:trPr>
        <w:tc>
          <w:tcPr>
            <w:tcW w:w="2263" w:type="dxa"/>
            <w:tcBorders>
              <w:left w:val="single" w:sz="4" w:space="0" w:color="FFFFFF"/>
            </w:tcBorders>
            <w:shd w:val="clear" w:color="auto" w:fill="4472C4"/>
            <w:vAlign w:val="bottom"/>
          </w:tcPr>
          <w:p w14:paraId="4042B61D"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Castilla-La Mancha</w:t>
            </w:r>
          </w:p>
        </w:tc>
        <w:tc>
          <w:tcPr>
            <w:tcW w:w="1985" w:type="dxa"/>
            <w:shd w:val="clear" w:color="auto" w:fill="D9E2F3"/>
            <w:vAlign w:val="bottom"/>
          </w:tcPr>
          <w:p w14:paraId="5A514B94"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4,6%</w:t>
            </w:r>
          </w:p>
        </w:tc>
        <w:tc>
          <w:tcPr>
            <w:tcW w:w="1559" w:type="dxa"/>
            <w:shd w:val="clear" w:color="auto" w:fill="D9E2F3"/>
            <w:vAlign w:val="bottom"/>
          </w:tcPr>
          <w:p w14:paraId="7BCD4CD2"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5,4%</w:t>
            </w:r>
          </w:p>
        </w:tc>
        <w:tc>
          <w:tcPr>
            <w:tcW w:w="1701" w:type="dxa"/>
            <w:shd w:val="clear" w:color="auto" w:fill="D9E2F3"/>
            <w:vAlign w:val="bottom"/>
          </w:tcPr>
          <w:p w14:paraId="0E090F40"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6,3%</w:t>
            </w:r>
          </w:p>
        </w:tc>
        <w:tc>
          <w:tcPr>
            <w:tcW w:w="1511" w:type="dxa"/>
            <w:shd w:val="clear" w:color="auto" w:fill="D9E2F3"/>
            <w:vAlign w:val="bottom"/>
          </w:tcPr>
          <w:p w14:paraId="0C9AC094" w14:textId="77777777" w:rsidR="004D63F3" w:rsidRDefault="00000000">
            <w:pPr>
              <w:jc w:val="center"/>
              <w:rPr>
                <w:rFonts w:ascii="Open Sans" w:eastAsia="Open Sans" w:hAnsi="Open Sans" w:cs="Open Sans"/>
                <w:color w:val="9C0006"/>
                <w:sz w:val="22"/>
                <w:szCs w:val="22"/>
              </w:rPr>
            </w:pPr>
            <w:r>
              <w:rPr>
                <w:rFonts w:ascii="Open Sans" w:eastAsia="Open Sans" w:hAnsi="Open Sans" w:cs="Open Sans"/>
                <w:color w:val="000000"/>
                <w:sz w:val="22"/>
                <w:szCs w:val="22"/>
              </w:rPr>
              <w:t>6,1%</w:t>
            </w:r>
          </w:p>
        </w:tc>
      </w:tr>
      <w:tr w:rsidR="004D63F3" w14:paraId="6E81CEBD" w14:textId="77777777">
        <w:trPr>
          <w:trHeight w:val="273"/>
        </w:trPr>
        <w:tc>
          <w:tcPr>
            <w:tcW w:w="2263" w:type="dxa"/>
            <w:tcBorders>
              <w:left w:val="single" w:sz="4" w:space="0" w:color="FFFFFF"/>
            </w:tcBorders>
            <w:shd w:val="clear" w:color="auto" w:fill="4472C4"/>
            <w:vAlign w:val="bottom"/>
          </w:tcPr>
          <w:p w14:paraId="079F8DC3"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Extremadura</w:t>
            </w:r>
          </w:p>
        </w:tc>
        <w:tc>
          <w:tcPr>
            <w:tcW w:w="1985" w:type="dxa"/>
            <w:shd w:val="clear" w:color="auto" w:fill="B4C6E7"/>
            <w:vAlign w:val="bottom"/>
          </w:tcPr>
          <w:p w14:paraId="0F0E27F1"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4,2%</w:t>
            </w:r>
          </w:p>
        </w:tc>
        <w:tc>
          <w:tcPr>
            <w:tcW w:w="1559" w:type="dxa"/>
            <w:shd w:val="clear" w:color="auto" w:fill="B4C6E7"/>
            <w:vAlign w:val="bottom"/>
          </w:tcPr>
          <w:p w14:paraId="2D1F0193"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5,0%</w:t>
            </w:r>
          </w:p>
        </w:tc>
        <w:tc>
          <w:tcPr>
            <w:tcW w:w="1701" w:type="dxa"/>
            <w:shd w:val="clear" w:color="auto" w:fill="B4C6E7"/>
            <w:vAlign w:val="bottom"/>
          </w:tcPr>
          <w:p w14:paraId="198C20A6"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5,8%</w:t>
            </w:r>
          </w:p>
        </w:tc>
        <w:tc>
          <w:tcPr>
            <w:tcW w:w="1511" w:type="dxa"/>
            <w:shd w:val="clear" w:color="auto" w:fill="B4C6E7"/>
            <w:vAlign w:val="bottom"/>
          </w:tcPr>
          <w:p w14:paraId="2FCD3548" w14:textId="77777777" w:rsidR="004D63F3" w:rsidRDefault="00000000">
            <w:pPr>
              <w:jc w:val="center"/>
              <w:rPr>
                <w:rFonts w:ascii="Open Sans" w:eastAsia="Open Sans" w:hAnsi="Open Sans" w:cs="Open Sans"/>
                <w:color w:val="9C0006"/>
                <w:sz w:val="22"/>
                <w:szCs w:val="22"/>
              </w:rPr>
            </w:pPr>
            <w:r>
              <w:rPr>
                <w:rFonts w:ascii="Open Sans" w:eastAsia="Open Sans" w:hAnsi="Open Sans" w:cs="Open Sans"/>
                <w:color w:val="000000"/>
                <w:sz w:val="22"/>
                <w:szCs w:val="22"/>
              </w:rPr>
              <w:t>6,0%</w:t>
            </w:r>
          </w:p>
        </w:tc>
      </w:tr>
      <w:tr w:rsidR="004D63F3" w14:paraId="689A7EA4" w14:textId="77777777">
        <w:trPr>
          <w:trHeight w:val="273"/>
        </w:trPr>
        <w:tc>
          <w:tcPr>
            <w:tcW w:w="2263" w:type="dxa"/>
            <w:tcBorders>
              <w:left w:val="single" w:sz="4" w:space="0" w:color="FFFFFF"/>
            </w:tcBorders>
            <w:shd w:val="clear" w:color="auto" w:fill="4472C4"/>
            <w:vAlign w:val="bottom"/>
          </w:tcPr>
          <w:p w14:paraId="04E522B9"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Andalucía</w:t>
            </w:r>
          </w:p>
        </w:tc>
        <w:tc>
          <w:tcPr>
            <w:tcW w:w="1985" w:type="dxa"/>
            <w:shd w:val="clear" w:color="auto" w:fill="D9E2F3"/>
            <w:vAlign w:val="bottom"/>
          </w:tcPr>
          <w:p w14:paraId="6571C2A2"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4,6%</w:t>
            </w:r>
          </w:p>
        </w:tc>
        <w:tc>
          <w:tcPr>
            <w:tcW w:w="1559" w:type="dxa"/>
            <w:shd w:val="clear" w:color="auto" w:fill="D9E2F3"/>
            <w:vAlign w:val="bottom"/>
          </w:tcPr>
          <w:p w14:paraId="5844C03A"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5,4%</w:t>
            </w:r>
          </w:p>
        </w:tc>
        <w:tc>
          <w:tcPr>
            <w:tcW w:w="1701" w:type="dxa"/>
            <w:shd w:val="clear" w:color="auto" w:fill="D9E2F3"/>
            <w:vAlign w:val="bottom"/>
          </w:tcPr>
          <w:p w14:paraId="608F692E"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6,0%</w:t>
            </w:r>
          </w:p>
        </w:tc>
        <w:tc>
          <w:tcPr>
            <w:tcW w:w="1511" w:type="dxa"/>
            <w:shd w:val="clear" w:color="auto" w:fill="D9E2F3"/>
            <w:vAlign w:val="bottom"/>
          </w:tcPr>
          <w:p w14:paraId="78C2EA11"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6,0%</w:t>
            </w:r>
          </w:p>
        </w:tc>
      </w:tr>
      <w:tr w:rsidR="004D63F3" w14:paraId="0C5F6231" w14:textId="77777777">
        <w:trPr>
          <w:trHeight w:val="288"/>
        </w:trPr>
        <w:tc>
          <w:tcPr>
            <w:tcW w:w="2263" w:type="dxa"/>
            <w:tcBorders>
              <w:left w:val="single" w:sz="4" w:space="0" w:color="FFFFFF"/>
            </w:tcBorders>
            <w:shd w:val="clear" w:color="auto" w:fill="4472C4"/>
            <w:vAlign w:val="bottom"/>
          </w:tcPr>
          <w:p w14:paraId="09F94C26"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Galicia</w:t>
            </w:r>
          </w:p>
        </w:tc>
        <w:tc>
          <w:tcPr>
            <w:tcW w:w="1985" w:type="dxa"/>
            <w:shd w:val="clear" w:color="auto" w:fill="B4C6E7"/>
            <w:vAlign w:val="bottom"/>
          </w:tcPr>
          <w:p w14:paraId="3BEAF6DE"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3,9%</w:t>
            </w:r>
          </w:p>
        </w:tc>
        <w:tc>
          <w:tcPr>
            <w:tcW w:w="1559" w:type="dxa"/>
            <w:shd w:val="clear" w:color="auto" w:fill="B4C6E7"/>
            <w:vAlign w:val="bottom"/>
          </w:tcPr>
          <w:p w14:paraId="400D6ACE"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4,3%</w:t>
            </w:r>
          </w:p>
        </w:tc>
        <w:tc>
          <w:tcPr>
            <w:tcW w:w="1701" w:type="dxa"/>
            <w:shd w:val="clear" w:color="auto" w:fill="B4C6E7"/>
            <w:vAlign w:val="bottom"/>
          </w:tcPr>
          <w:p w14:paraId="5DC7379A"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5,5%</w:t>
            </w:r>
          </w:p>
        </w:tc>
        <w:tc>
          <w:tcPr>
            <w:tcW w:w="1511" w:type="dxa"/>
            <w:shd w:val="clear" w:color="auto" w:fill="B4C6E7"/>
            <w:vAlign w:val="bottom"/>
          </w:tcPr>
          <w:p w14:paraId="3EACF5D2" w14:textId="77777777" w:rsidR="004D63F3" w:rsidRDefault="00000000">
            <w:pPr>
              <w:jc w:val="center"/>
              <w:rPr>
                <w:rFonts w:ascii="Open Sans" w:eastAsia="Open Sans" w:hAnsi="Open Sans" w:cs="Open Sans"/>
                <w:color w:val="9C0006"/>
                <w:sz w:val="22"/>
                <w:szCs w:val="22"/>
              </w:rPr>
            </w:pPr>
            <w:r>
              <w:rPr>
                <w:rFonts w:ascii="Open Sans" w:eastAsia="Open Sans" w:hAnsi="Open Sans" w:cs="Open Sans"/>
                <w:color w:val="000000"/>
                <w:sz w:val="22"/>
                <w:szCs w:val="22"/>
              </w:rPr>
              <w:t>5,7%</w:t>
            </w:r>
          </w:p>
        </w:tc>
      </w:tr>
      <w:tr w:rsidR="004D63F3" w14:paraId="741CD583" w14:textId="77777777">
        <w:trPr>
          <w:trHeight w:val="273"/>
        </w:trPr>
        <w:tc>
          <w:tcPr>
            <w:tcW w:w="2263" w:type="dxa"/>
            <w:tcBorders>
              <w:left w:val="single" w:sz="4" w:space="0" w:color="FFFFFF"/>
            </w:tcBorders>
            <w:shd w:val="clear" w:color="auto" w:fill="4472C4"/>
            <w:vAlign w:val="bottom"/>
          </w:tcPr>
          <w:p w14:paraId="4246B0AA"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País Vasco</w:t>
            </w:r>
          </w:p>
        </w:tc>
        <w:tc>
          <w:tcPr>
            <w:tcW w:w="1985" w:type="dxa"/>
            <w:shd w:val="clear" w:color="auto" w:fill="D9E2F3"/>
            <w:vAlign w:val="bottom"/>
          </w:tcPr>
          <w:p w14:paraId="2CF452CF"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3,8%</w:t>
            </w:r>
          </w:p>
        </w:tc>
        <w:tc>
          <w:tcPr>
            <w:tcW w:w="1559" w:type="dxa"/>
            <w:shd w:val="clear" w:color="auto" w:fill="D9E2F3"/>
            <w:vAlign w:val="bottom"/>
          </w:tcPr>
          <w:p w14:paraId="34199C00"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4,9%</w:t>
            </w:r>
          </w:p>
        </w:tc>
        <w:tc>
          <w:tcPr>
            <w:tcW w:w="1701" w:type="dxa"/>
            <w:shd w:val="clear" w:color="auto" w:fill="D9E2F3"/>
            <w:vAlign w:val="bottom"/>
          </w:tcPr>
          <w:p w14:paraId="55828CCE"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5,5%</w:t>
            </w:r>
          </w:p>
        </w:tc>
        <w:tc>
          <w:tcPr>
            <w:tcW w:w="1511" w:type="dxa"/>
            <w:shd w:val="clear" w:color="auto" w:fill="D9E2F3"/>
            <w:vAlign w:val="bottom"/>
          </w:tcPr>
          <w:p w14:paraId="0C60AEC1" w14:textId="77777777" w:rsidR="004D63F3" w:rsidRDefault="00000000">
            <w:pPr>
              <w:jc w:val="center"/>
              <w:rPr>
                <w:rFonts w:ascii="Open Sans" w:eastAsia="Open Sans" w:hAnsi="Open Sans" w:cs="Open Sans"/>
                <w:color w:val="9C0006"/>
                <w:sz w:val="22"/>
                <w:szCs w:val="22"/>
              </w:rPr>
            </w:pPr>
            <w:r>
              <w:rPr>
                <w:rFonts w:ascii="Open Sans" w:eastAsia="Open Sans" w:hAnsi="Open Sans" w:cs="Open Sans"/>
                <w:color w:val="000000"/>
                <w:sz w:val="22"/>
                <w:szCs w:val="22"/>
              </w:rPr>
              <w:t>5,7%</w:t>
            </w:r>
          </w:p>
        </w:tc>
      </w:tr>
      <w:tr w:rsidR="004D63F3" w14:paraId="472DAB35" w14:textId="77777777">
        <w:trPr>
          <w:trHeight w:val="273"/>
        </w:trPr>
        <w:tc>
          <w:tcPr>
            <w:tcW w:w="2263" w:type="dxa"/>
            <w:tcBorders>
              <w:left w:val="single" w:sz="4" w:space="0" w:color="FFFFFF"/>
            </w:tcBorders>
            <w:shd w:val="clear" w:color="auto" w:fill="4472C4"/>
            <w:vAlign w:val="bottom"/>
          </w:tcPr>
          <w:p w14:paraId="1137F3A9"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Madrid</w:t>
            </w:r>
          </w:p>
        </w:tc>
        <w:tc>
          <w:tcPr>
            <w:tcW w:w="1985" w:type="dxa"/>
            <w:shd w:val="clear" w:color="auto" w:fill="B4C6E7"/>
            <w:vAlign w:val="bottom"/>
          </w:tcPr>
          <w:p w14:paraId="2A8B519E"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4,5%</w:t>
            </w:r>
          </w:p>
        </w:tc>
        <w:tc>
          <w:tcPr>
            <w:tcW w:w="1559" w:type="dxa"/>
            <w:shd w:val="clear" w:color="auto" w:fill="B4C6E7"/>
            <w:vAlign w:val="bottom"/>
          </w:tcPr>
          <w:p w14:paraId="3DC6EF38"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6,5%</w:t>
            </w:r>
          </w:p>
        </w:tc>
        <w:tc>
          <w:tcPr>
            <w:tcW w:w="1701" w:type="dxa"/>
            <w:shd w:val="clear" w:color="auto" w:fill="B4C6E7"/>
            <w:vAlign w:val="bottom"/>
          </w:tcPr>
          <w:p w14:paraId="13D40280"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5,2%</w:t>
            </w:r>
          </w:p>
        </w:tc>
        <w:tc>
          <w:tcPr>
            <w:tcW w:w="1511" w:type="dxa"/>
            <w:shd w:val="clear" w:color="auto" w:fill="B4C6E7"/>
            <w:vAlign w:val="bottom"/>
          </w:tcPr>
          <w:p w14:paraId="4770A318" w14:textId="77777777" w:rsidR="004D63F3" w:rsidRDefault="00000000">
            <w:pPr>
              <w:jc w:val="center"/>
              <w:rPr>
                <w:rFonts w:ascii="Open Sans" w:eastAsia="Open Sans" w:hAnsi="Open Sans" w:cs="Open Sans"/>
                <w:color w:val="9C0006"/>
                <w:sz w:val="22"/>
                <w:szCs w:val="22"/>
              </w:rPr>
            </w:pPr>
            <w:r>
              <w:rPr>
                <w:rFonts w:ascii="Open Sans" w:eastAsia="Open Sans" w:hAnsi="Open Sans" w:cs="Open Sans"/>
                <w:color w:val="000000"/>
                <w:sz w:val="22"/>
                <w:szCs w:val="22"/>
              </w:rPr>
              <w:t>5,5%</w:t>
            </w:r>
          </w:p>
        </w:tc>
      </w:tr>
      <w:tr w:rsidR="004D63F3" w14:paraId="58204A9B" w14:textId="77777777">
        <w:trPr>
          <w:trHeight w:val="273"/>
        </w:trPr>
        <w:tc>
          <w:tcPr>
            <w:tcW w:w="2263" w:type="dxa"/>
            <w:tcBorders>
              <w:left w:val="single" w:sz="4" w:space="0" w:color="FFFFFF"/>
              <w:bottom w:val="single" w:sz="4" w:space="0" w:color="FFFFFF"/>
            </w:tcBorders>
            <w:shd w:val="clear" w:color="auto" w:fill="4472C4"/>
            <w:vAlign w:val="bottom"/>
          </w:tcPr>
          <w:p w14:paraId="3E0DE1C7"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Baleares</w:t>
            </w:r>
          </w:p>
        </w:tc>
        <w:tc>
          <w:tcPr>
            <w:tcW w:w="1985" w:type="dxa"/>
            <w:shd w:val="clear" w:color="auto" w:fill="D9E2F3"/>
            <w:vAlign w:val="bottom"/>
          </w:tcPr>
          <w:p w14:paraId="359B5ABF"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4,4%</w:t>
            </w:r>
          </w:p>
        </w:tc>
        <w:tc>
          <w:tcPr>
            <w:tcW w:w="1559" w:type="dxa"/>
            <w:shd w:val="clear" w:color="auto" w:fill="D9E2F3"/>
            <w:vAlign w:val="bottom"/>
          </w:tcPr>
          <w:p w14:paraId="23F527DB"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6,0%</w:t>
            </w:r>
          </w:p>
        </w:tc>
        <w:tc>
          <w:tcPr>
            <w:tcW w:w="1701" w:type="dxa"/>
            <w:shd w:val="clear" w:color="auto" w:fill="D9E2F3"/>
            <w:vAlign w:val="bottom"/>
          </w:tcPr>
          <w:p w14:paraId="0F06C791"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5,0%</w:t>
            </w:r>
          </w:p>
        </w:tc>
        <w:tc>
          <w:tcPr>
            <w:tcW w:w="1511" w:type="dxa"/>
            <w:shd w:val="clear" w:color="auto" w:fill="D9E2F3"/>
            <w:vAlign w:val="bottom"/>
          </w:tcPr>
          <w:p w14:paraId="1222B256" w14:textId="77777777" w:rsidR="004D63F3" w:rsidRDefault="00000000">
            <w:pPr>
              <w:jc w:val="center"/>
              <w:rPr>
                <w:rFonts w:ascii="Open Sans" w:eastAsia="Open Sans" w:hAnsi="Open Sans" w:cs="Open Sans"/>
                <w:color w:val="9C0006"/>
                <w:sz w:val="22"/>
                <w:szCs w:val="22"/>
              </w:rPr>
            </w:pPr>
            <w:r>
              <w:rPr>
                <w:rFonts w:ascii="Open Sans" w:eastAsia="Open Sans" w:hAnsi="Open Sans" w:cs="Open Sans"/>
                <w:color w:val="000000"/>
                <w:sz w:val="22"/>
                <w:szCs w:val="22"/>
              </w:rPr>
              <w:t>5,2%</w:t>
            </w:r>
          </w:p>
        </w:tc>
      </w:tr>
    </w:tbl>
    <w:p w14:paraId="69DB1371" w14:textId="77777777" w:rsidR="004D63F3"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rPr>
        <w:t>Tabla 2. Rentabilidad de la vivienda por provincias en 2012, 2017, 2021 y 2022</w:t>
      </w:r>
    </w:p>
    <w:tbl>
      <w:tblPr>
        <w:tblStyle w:val="a0"/>
        <w:tblW w:w="9123"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63"/>
        <w:gridCol w:w="1701"/>
        <w:gridCol w:w="1701"/>
        <w:gridCol w:w="1843"/>
        <w:gridCol w:w="1615"/>
      </w:tblGrid>
      <w:tr w:rsidR="004D63F3" w14:paraId="3AC145E6" w14:textId="77777777" w:rsidTr="004D63F3">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485CEEA"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Provincia</w:t>
            </w:r>
          </w:p>
        </w:tc>
        <w:tc>
          <w:tcPr>
            <w:tcW w:w="1701" w:type="dxa"/>
            <w:vAlign w:val="center"/>
          </w:tcPr>
          <w:p w14:paraId="6C5F99F5"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2AA239A0"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2012</w:t>
            </w:r>
          </w:p>
          <w:p w14:paraId="2C897F13"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(10 años)</w:t>
            </w:r>
          </w:p>
        </w:tc>
        <w:tc>
          <w:tcPr>
            <w:tcW w:w="1701" w:type="dxa"/>
            <w:vAlign w:val="center"/>
          </w:tcPr>
          <w:p w14:paraId="31DCCE79"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7EE9D83D"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2017</w:t>
            </w:r>
          </w:p>
          <w:p w14:paraId="6C1985A8"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(5 años)</w:t>
            </w:r>
          </w:p>
        </w:tc>
        <w:tc>
          <w:tcPr>
            <w:tcW w:w="1843" w:type="dxa"/>
            <w:vAlign w:val="center"/>
          </w:tcPr>
          <w:p w14:paraId="2A2974A5"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136CA61A"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2021</w:t>
            </w:r>
          </w:p>
          <w:p w14:paraId="4A2CE3D9"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i/>
                <w:color w:val="000000"/>
                <w:sz w:val="22"/>
                <w:szCs w:val="22"/>
              </w:rPr>
            </w:pPr>
            <w:r>
              <w:rPr>
                <w:rFonts w:ascii="Open Sans" w:eastAsia="Open Sans" w:hAnsi="Open Sans" w:cs="Open Sans"/>
                <w:b w:val="0"/>
                <w:color w:val="000000"/>
                <w:sz w:val="22"/>
                <w:szCs w:val="22"/>
              </w:rPr>
              <w:t>(1 año)</w:t>
            </w:r>
          </w:p>
        </w:tc>
        <w:tc>
          <w:tcPr>
            <w:tcW w:w="1615" w:type="dxa"/>
            <w:vAlign w:val="center"/>
          </w:tcPr>
          <w:p w14:paraId="372DE2B6"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765F22A7"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2022</w:t>
            </w:r>
          </w:p>
        </w:tc>
      </w:tr>
      <w:tr w:rsidR="004D63F3" w14:paraId="427DB953"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23A34B51"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Valencia</w:t>
            </w:r>
          </w:p>
        </w:tc>
        <w:tc>
          <w:tcPr>
            <w:tcW w:w="1701" w:type="dxa"/>
            <w:vAlign w:val="bottom"/>
          </w:tcPr>
          <w:p w14:paraId="4A8D363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4,3%</w:t>
            </w:r>
          </w:p>
        </w:tc>
        <w:tc>
          <w:tcPr>
            <w:tcW w:w="1701" w:type="dxa"/>
            <w:vAlign w:val="bottom"/>
          </w:tcPr>
          <w:p w14:paraId="2664F8D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6,1%</w:t>
            </w:r>
          </w:p>
        </w:tc>
        <w:tc>
          <w:tcPr>
            <w:tcW w:w="1843" w:type="dxa"/>
            <w:vAlign w:val="bottom"/>
          </w:tcPr>
          <w:p w14:paraId="0AAB912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7,9%</w:t>
            </w:r>
          </w:p>
        </w:tc>
        <w:tc>
          <w:tcPr>
            <w:tcW w:w="1615" w:type="dxa"/>
            <w:vAlign w:val="bottom"/>
          </w:tcPr>
          <w:p w14:paraId="72EB288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8,8%</w:t>
            </w:r>
          </w:p>
        </w:tc>
      </w:tr>
      <w:tr w:rsidR="004D63F3" w14:paraId="154B8B87"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6C3B84AF"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Segovia</w:t>
            </w:r>
          </w:p>
        </w:tc>
        <w:tc>
          <w:tcPr>
            <w:tcW w:w="1701" w:type="dxa"/>
            <w:vAlign w:val="bottom"/>
          </w:tcPr>
          <w:p w14:paraId="425E1E1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4,2%</w:t>
            </w:r>
          </w:p>
        </w:tc>
        <w:tc>
          <w:tcPr>
            <w:tcW w:w="1701" w:type="dxa"/>
            <w:vAlign w:val="bottom"/>
          </w:tcPr>
          <w:p w14:paraId="2FB6382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5,7%</w:t>
            </w:r>
          </w:p>
        </w:tc>
        <w:tc>
          <w:tcPr>
            <w:tcW w:w="1843" w:type="dxa"/>
            <w:vAlign w:val="bottom"/>
          </w:tcPr>
          <w:p w14:paraId="7C94B5B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7,0%</w:t>
            </w:r>
          </w:p>
        </w:tc>
        <w:tc>
          <w:tcPr>
            <w:tcW w:w="1615" w:type="dxa"/>
            <w:vAlign w:val="bottom"/>
          </w:tcPr>
          <w:p w14:paraId="700BF1E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7,8%</w:t>
            </w:r>
          </w:p>
        </w:tc>
      </w:tr>
      <w:tr w:rsidR="004D63F3" w14:paraId="7426E82F"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0E34697A"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Murcia</w:t>
            </w:r>
          </w:p>
        </w:tc>
        <w:tc>
          <w:tcPr>
            <w:tcW w:w="1701" w:type="dxa"/>
            <w:vAlign w:val="bottom"/>
          </w:tcPr>
          <w:p w14:paraId="0BBF1FF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4,7%</w:t>
            </w:r>
          </w:p>
        </w:tc>
        <w:tc>
          <w:tcPr>
            <w:tcW w:w="1701" w:type="dxa"/>
            <w:vAlign w:val="bottom"/>
          </w:tcPr>
          <w:p w14:paraId="3E3A6534"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5,7%</w:t>
            </w:r>
          </w:p>
        </w:tc>
        <w:tc>
          <w:tcPr>
            <w:tcW w:w="1843" w:type="dxa"/>
            <w:vAlign w:val="bottom"/>
          </w:tcPr>
          <w:p w14:paraId="61495C3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7,5%</w:t>
            </w:r>
          </w:p>
        </w:tc>
        <w:tc>
          <w:tcPr>
            <w:tcW w:w="1615" w:type="dxa"/>
            <w:vAlign w:val="bottom"/>
          </w:tcPr>
          <w:p w14:paraId="5664CD5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7,7%</w:t>
            </w:r>
          </w:p>
        </w:tc>
      </w:tr>
      <w:tr w:rsidR="004D63F3" w14:paraId="1B423A98"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13A641E5"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Huelva</w:t>
            </w:r>
          </w:p>
        </w:tc>
        <w:tc>
          <w:tcPr>
            <w:tcW w:w="1701" w:type="dxa"/>
            <w:vAlign w:val="bottom"/>
          </w:tcPr>
          <w:p w14:paraId="6C3ABA8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5,0%</w:t>
            </w:r>
          </w:p>
        </w:tc>
        <w:tc>
          <w:tcPr>
            <w:tcW w:w="1701" w:type="dxa"/>
            <w:vAlign w:val="bottom"/>
          </w:tcPr>
          <w:p w14:paraId="241343D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5,6%</w:t>
            </w:r>
          </w:p>
        </w:tc>
        <w:tc>
          <w:tcPr>
            <w:tcW w:w="1843" w:type="dxa"/>
            <w:vAlign w:val="bottom"/>
          </w:tcPr>
          <w:p w14:paraId="121F0EF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8,0%</w:t>
            </w:r>
          </w:p>
        </w:tc>
        <w:tc>
          <w:tcPr>
            <w:tcW w:w="1615" w:type="dxa"/>
            <w:vAlign w:val="bottom"/>
          </w:tcPr>
          <w:p w14:paraId="4C8EBF00"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7,6%</w:t>
            </w:r>
          </w:p>
        </w:tc>
      </w:tr>
      <w:tr w:rsidR="004D63F3" w14:paraId="2A01048E"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56CE99A8"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Las Palmas</w:t>
            </w:r>
          </w:p>
        </w:tc>
        <w:tc>
          <w:tcPr>
            <w:tcW w:w="1701" w:type="dxa"/>
            <w:vAlign w:val="bottom"/>
          </w:tcPr>
          <w:p w14:paraId="4EE9A3F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4,9%</w:t>
            </w:r>
          </w:p>
        </w:tc>
        <w:tc>
          <w:tcPr>
            <w:tcW w:w="1701" w:type="dxa"/>
            <w:vAlign w:val="bottom"/>
          </w:tcPr>
          <w:p w14:paraId="7443FDB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7,1%</w:t>
            </w:r>
          </w:p>
        </w:tc>
        <w:tc>
          <w:tcPr>
            <w:tcW w:w="1843" w:type="dxa"/>
            <w:vAlign w:val="bottom"/>
          </w:tcPr>
          <w:p w14:paraId="6F693E2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7,0%</w:t>
            </w:r>
          </w:p>
        </w:tc>
        <w:tc>
          <w:tcPr>
            <w:tcW w:w="1615" w:type="dxa"/>
            <w:vAlign w:val="bottom"/>
          </w:tcPr>
          <w:p w14:paraId="338254E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7,6%</w:t>
            </w:r>
          </w:p>
        </w:tc>
      </w:tr>
      <w:tr w:rsidR="004D63F3" w14:paraId="3E9EE00B"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04188A1D"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Ávila</w:t>
            </w:r>
          </w:p>
        </w:tc>
        <w:tc>
          <w:tcPr>
            <w:tcW w:w="1701" w:type="dxa"/>
            <w:vAlign w:val="bottom"/>
          </w:tcPr>
          <w:p w14:paraId="3C773BC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4,4%</w:t>
            </w:r>
          </w:p>
        </w:tc>
        <w:tc>
          <w:tcPr>
            <w:tcW w:w="1701" w:type="dxa"/>
            <w:vAlign w:val="bottom"/>
          </w:tcPr>
          <w:p w14:paraId="453DE2F7"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5,0%</w:t>
            </w:r>
          </w:p>
        </w:tc>
        <w:tc>
          <w:tcPr>
            <w:tcW w:w="1843" w:type="dxa"/>
            <w:vAlign w:val="bottom"/>
          </w:tcPr>
          <w:p w14:paraId="7239001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7,0%</w:t>
            </w:r>
          </w:p>
        </w:tc>
        <w:tc>
          <w:tcPr>
            <w:tcW w:w="1615" w:type="dxa"/>
            <w:vAlign w:val="bottom"/>
          </w:tcPr>
          <w:p w14:paraId="0FC61EF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7,6%</w:t>
            </w:r>
          </w:p>
        </w:tc>
      </w:tr>
      <w:tr w:rsidR="004D63F3" w14:paraId="712E4C66"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7005D891"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Toledo</w:t>
            </w:r>
          </w:p>
        </w:tc>
        <w:tc>
          <w:tcPr>
            <w:tcW w:w="1701" w:type="dxa"/>
            <w:vAlign w:val="bottom"/>
          </w:tcPr>
          <w:p w14:paraId="2B5212F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5,0%</w:t>
            </w:r>
          </w:p>
        </w:tc>
        <w:tc>
          <w:tcPr>
            <w:tcW w:w="1701" w:type="dxa"/>
            <w:vAlign w:val="bottom"/>
          </w:tcPr>
          <w:p w14:paraId="06AE2A9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6,0%</w:t>
            </w:r>
          </w:p>
        </w:tc>
        <w:tc>
          <w:tcPr>
            <w:tcW w:w="1843" w:type="dxa"/>
            <w:vAlign w:val="bottom"/>
          </w:tcPr>
          <w:p w14:paraId="62A446F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8,2%</w:t>
            </w:r>
          </w:p>
        </w:tc>
        <w:tc>
          <w:tcPr>
            <w:tcW w:w="1615" w:type="dxa"/>
            <w:vAlign w:val="bottom"/>
          </w:tcPr>
          <w:p w14:paraId="5343F58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7,6%</w:t>
            </w:r>
          </w:p>
        </w:tc>
      </w:tr>
      <w:tr w:rsidR="004D63F3" w14:paraId="2348435A"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1835CC89"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Lleida</w:t>
            </w:r>
          </w:p>
        </w:tc>
        <w:tc>
          <w:tcPr>
            <w:tcW w:w="1701" w:type="dxa"/>
            <w:vAlign w:val="bottom"/>
          </w:tcPr>
          <w:p w14:paraId="62F4516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4,7%</w:t>
            </w:r>
          </w:p>
        </w:tc>
        <w:tc>
          <w:tcPr>
            <w:tcW w:w="1701" w:type="dxa"/>
            <w:vAlign w:val="bottom"/>
          </w:tcPr>
          <w:p w14:paraId="51E3A7A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6,0%</w:t>
            </w:r>
          </w:p>
        </w:tc>
        <w:tc>
          <w:tcPr>
            <w:tcW w:w="1843" w:type="dxa"/>
            <w:vAlign w:val="bottom"/>
          </w:tcPr>
          <w:p w14:paraId="25A34CD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7,3%</w:t>
            </w:r>
          </w:p>
        </w:tc>
        <w:tc>
          <w:tcPr>
            <w:tcW w:w="1615" w:type="dxa"/>
            <w:vAlign w:val="bottom"/>
          </w:tcPr>
          <w:p w14:paraId="04C8B80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7,4%</w:t>
            </w:r>
          </w:p>
        </w:tc>
      </w:tr>
      <w:tr w:rsidR="004D63F3" w14:paraId="466EC232"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264C9BA1"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Cuenca</w:t>
            </w:r>
          </w:p>
        </w:tc>
        <w:tc>
          <w:tcPr>
            <w:tcW w:w="1701" w:type="dxa"/>
            <w:vAlign w:val="bottom"/>
          </w:tcPr>
          <w:p w14:paraId="63FB315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5,0%</w:t>
            </w:r>
          </w:p>
        </w:tc>
        <w:tc>
          <w:tcPr>
            <w:tcW w:w="1701" w:type="dxa"/>
            <w:vAlign w:val="bottom"/>
          </w:tcPr>
          <w:p w14:paraId="36A1169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5,2%</w:t>
            </w:r>
          </w:p>
        </w:tc>
        <w:tc>
          <w:tcPr>
            <w:tcW w:w="1843" w:type="dxa"/>
            <w:vAlign w:val="bottom"/>
          </w:tcPr>
          <w:p w14:paraId="5CEBC6D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0,0%</w:t>
            </w:r>
          </w:p>
        </w:tc>
        <w:tc>
          <w:tcPr>
            <w:tcW w:w="1615" w:type="dxa"/>
            <w:vAlign w:val="bottom"/>
          </w:tcPr>
          <w:p w14:paraId="5C37095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7,3%</w:t>
            </w:r>
          </w:p>
        </w:tc>
      </w:tr>
      <w:tr w:rsidR="004D63F3" w14:paraId="7AFFD852"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221CE5B6"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Castellón</w:t>
            </w:r>
          </w:p>
        </w:tc>
        <w:tc>
          <w:tcPr>
            <w:tcW w:w="1701" w:type="dxa"/>
            <w:vAlign w:val="bottom"/>
          </w:tcPr>
          <w:p w14:paraId="49A5400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4,4%</w:t>
            </w:r>
          </w:p>
        </w:tc>
        <w:tc>
          <w:tcPr>
            <w:tcW w:w="1701" w:type="dxa"/>
            <w:vAlign w:val="bottom"/>
          </w:tcPr>
          <w:p w14:paraId="6395F5E7"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5,6%</w:t>
            </w:r>
          </w:p>
        </w:tc>
        <w:tc>
          <w:tcPr>
            <w:tcW w:w="1843" w:type="dxa"/>
            <w:vAlign w:val="bottom"/>
          </w:tcPr>
          <w:p w14:paraId="0B0782F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7,4%</w:t>
            </w:r>
          </w:p>
        </w:tc>
        <w:tc>
          <w:tcPr>
            <w:tcW w:w="1615" w:type="dxa"/>
            <w:vAlign w:val="bottom"/>
          </w:tcPr>
          <w:p w14:paraId="3A376A90"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7,2%</w:t>
            </w:r>
          </w:p>
        </w:tc>
      </w:tr>
      <w:tr w:rsidR="004D63F3" w14:paraId="166D7AF1"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441AC2F7"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Sevilla</w:t>
            </w:r>
          </w:p>
        </w:tc>
        <w:tc>
          <w:tcPr>
            <w:tcW w:w="1701" w:type="dxa"/>
            <w:vAlign w:val="bottom"/>
          </w:tcPr>
          <w:p w14:paraId="51B65D4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4,7%</w:t>
            </w:r>
          </w:p>
        </w:tc>
        <w:tc>
          <w:tcPr>
            <w:tcW w:w="1701" w:type="dxa"/>
            <w:vAlign w:val="bottom"/>
          </w:tcPr>
          <w:p w14:paraId="5C24C3E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6,0%</w:t>
            </w:r>
          </w:p>
        </w:tc>
        <w:tc>
          <w:tcPr>
            <w:tcW w:w="1843" w:type="dxa"/>
            <w:vAlign w:val="bottom"/>
          </w:tcPr>
          <w:p w14:paraId="097B883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7,0%</w:t>
            </w:r>
          </w:p>
        </w:tc>
        <w:tc>
          <w:tcPr>
            <w:tcW w:w="1615" w:type="dxa"/>
            <w:vAlign w:val="bottom"/>
          </w:tcPr>
          <w:p w14:paraId="6324D0D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7,2%</w:t>
            </w:r>
          </w:p>
        </w:tc>
      </w:tr>
      <w:tr w:rsidR="004D63F3" w14:paraId="14B52657"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01121C10"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Almería</w:t>
            </w:r>
          </w:p>
        </w:tc>
        <w:tc>
          <w:tcPr>
            <w:tcW w:w="1701" w:type="dxa"/>
            <w:vAlign w:val="bottom"/>
          </w:tcPr>
          <w:p w14:paraId="2ECB413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4,1%</w:t>
            </w:r>
          </w:p>
        </w:tc>
        <w:tc>
          <w:tcPr>
            <w:tcW w:w="1701" w:type="dxa"/>
            <w:vAlign w:val="bottom"/>
          </w:tcPr>
          <w:p w14:paraId="4692C08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5,1%</w:t>
            </w:r>
          </w:p>
        </w:tc>
        <w:tc>
          <w:tcPr>
            <w:tcW w:w="1843" w:type="dxa"/>
            <w:vAlign w:val="bottom"/>
          </w:tcPr>
          <w:p w14:paraId="06F14B6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7,3%</w:t>
            </w:r>
          </w:p>
        </w:tc>
        <w:tc>
          <w:tcPr>
            <w:tcW w:w="1615" w:type="dxa"/>
            <w:vAlign w:val="bottom"/>
          </w:tcPr>
          <w:p w14:paraId="71E5B747"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7,2%</w:t>
            </w:r>
          </w:p>
        </w:tc>
      </w:tr>
      <w:tr w:rsidR="004D63F3" w14:paraId="0F8AD0F0"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048CA1B7"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Cantabria</w:t>
            </w:r>
          </w:p>
        </w:tc>
        <w:tc>
          <w:tcPr>
            <w:tcW w:w="1701" w:type="dxa"/>
            <w:vAlign w:val="bottom"/>
          </w:tcPr>
          <w:p w14:paraId="22248F3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3,9%</w:t>
            </w:r>
          </w:p>
        </w:tc>
        <w:tc>
          <w:tcPr>
            <w:tcW w:w="1701" w:type="dxa"/>
            <w:vAlign w:val="bottom"/>
          </w:tcPr>
          <w:p w14:paraId="6F982C5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5,4%</w:t>
            </w:r>
          </w:p>
        </w:tc>
        <w:tc>
          <w:tcPr>
            <w:tcW w:w="1843" w:type="dxa"/>
            <w:vAlign w:val="bottom"/>
          </w:tcPr>
          <w:p w14:paraId="3BE9F83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6,1%</w:t>
            </w:r>
          </w:p>
        </w:tc>
        <w:tc>
          <w:tcPr>
            <w:tcW w:w="1615" w:type="dxa"/>
            <w:vAlign w:val="bottom"/>
          </w:tcPr>
          <w:p w14:paraId="19E55F6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6,9%</w:t>
            </w:r>
          </w:p>
        </w:tc>
      </w:tr>
      <w:tr w:rsidR="004D63F3" w14:paraId="0386F40D"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5B7E2FB9"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lastRenderedPageBreak/>
              <w:t>Tarragona</w:t>
            </w:r>
          </w:p>
        </w:tc>
        <w:tc>
          <w:tcPr>
            <w:tcW w:w="1701" w:type="dxa"/>
            <w:vAlign w:val="bottom"/>
          </w:tcPr>
          <w:p w14:paraId="12F9B050"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4,5%</w:t>
            </w:r>
          </w:p>
        </w:tc>
        <w:tc>
          <w:tcPr>
            <w:tcW w:w="1701" w:type="dxa"/>
            <w:vAlign w:val="bottom"/>
          </w:tcPr>
          <w:p w14:paraId="0FEDBA5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5,6%</w:t>
            </w:r>
          </w:p>
        </w:tc>
        <w:tc>
          <w:tcPr>
            <w:tcW w:w="1843" w:type="dxa"/>
            <w:vAlign w:val="bottom"/>
          </w:tcPr>
          <w:p w14:paraId="2E11735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6,4%</w:t>
            </w:r>
          </w:p>
        </w:tc>
        <w:tc>
          <w:tcPr>
            <w:tcW w:w="1615" w:type="dxa"/>
            <w:vAlign w:val="bottom"/>
          </w:tcPr>
          <w:p w14:paraId="6E81C59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6,7%</w:t>
            </w:r>
          </w:p>
        </w:tc>
      </w:tr>
      <w:tr w:rsidR="004D63F3" w14:paraId="49D90C01"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6B4D4C4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Navarra</w:t>
            </w:r>
          </w:p>
        </w:tc>
        <w:tc>
          <w:tcPr>
            <w:tcW w:w="1701" w:type="dxa"/>
            <w:vAlign w:val="bottom"/>
          </w:tcPr>
          <w:p w14:paraId="0F74D49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4,2%</w:t>
            </w:r>
          </w:p>
        </w:tc>
        <w:tc>
          <w:tcPr>
            <w:tcW w:w="1701" w:type="dxa"/>
            <w:vAlign w:val="bottom"/>
          </w:tcPr>
          <w:p w14:paraId="100C0B0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5,5%</w:t>
            </w:r>
          </w:p>
        </w:tc>
        <w:tc>
          <w:tcPr>
            <w:tcW w:w="1843" w:type="dxa"/>
            <w:vAlign w:val="bottom"/>
          </w:tcPr>
          <w:p w14:paraId="390F0C04"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7,3%</w:t>
            </w:r>
          </w:p>
        </w:tc>
        <w:tc>
          <w:tcPr>
            <w:tcW w:w="1615" w:type="dxa"/>
            <w:vAlign w:val="bottom"/>
          </w:tcPr>
          <w:p w14:paraId="114CC97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6,6%</w:t>
            </w:r>
          </w:p>
        </w:tc>
      </w:tr>
      <w:tr w:rsidR="004D63F3" w14:paraId="42EEA38E"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26AE6A4A"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1701" w:type="dxa"/>
            <w:vAlign w:val="bottom"/>
          </w:tcPr>
          <w:p w14:paraId="0C30704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4,3%</w:t>
            </w:r>
          </w:p>
        </w:tc>
        <w:tc>
          <w:tcPr>
            <w:tcW w:w="1701" w:type="dxa"/>
            <w:vAlign w:val="bottom"/>
          </w:tcPr>
          <w:p w14:paraId="394F192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5,7%</w:t>
            </w:r>
          </w:p>
        </w:tc>
        <w:tc>
          <w:tcPr>
            <w:tcW w:w="1843" w:type="dxa"/>
            <w:vAlign w:val="bottom"/>
          </w:tcPr>
          <w:p w14:paraId="2A848EB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6,1%</w:t>
            </w:r>
          </w:p>
        </w:tc>
        <w:tc>
          <w:tcPr>
            <w:tcW w:w="1615" w:type="dxa"/>
            <w:vAlign w:val="bottom"/>
          </w:tcPr>
          <w:p w14:paraId="3A64AA8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6,6%</w:t>
            </w:r>
          </w:p>
        </w:tc>
      </w:tr>
      <w:tr w:rsidR="004D63F3" w14:paraId="28A17A84"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5805665C"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Teruel</w:t>
            </w:r>
          </w:p>
        </w:tc>
        <w:tc>
          <w:tcPr>
            <w:tcW w:w="1701" w:type="dxa"/>
            <w:vAlign w:val="bottom"/>
          </w:tcPr>
          <w:p w14:paraId="6234C73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3,8%</w:t>
            </w:r>
          </w:p>
        </w:tc>
        <w:tc>
          <w:tcPr>
            <w:tcW w:w="1701" w:type="dxa"/>
            <w:vAlign w:val="bottom"/>
          </w:tcPr>
          <w:p w14:paraId="1DCB631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w:t>
            </w:r>
          </w:p>
        </w:tc>
        <w:tc>
          <w:tcPr>
            <w:tcW w:w="1843" w:type="dxa"/>
            <w:vAlign w:val="bottom"/>
          </w:tcPr>
          <w:p w14:paraId="1EA6637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w:t>
            </w:r>
          </w:p>
        </w:tc>
        <w:tc>
          <w:tcPr>
            <w:tcW w:w="1615" w:type="dxa"/>
            <w:vAlign w:val="bottom"/>
          </w:tcPr>
          <w:p w14:paraId="7041D55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6,6%</w:t>
            </w:r>
          </w:p>
        </w:tc>
      </w:tr>
      <w:tr w:rsidR="004D63F3" w14:paraId="1958C0E1"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55E5D79E"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Ciudad Real</w:t>
            </w:r>
          </w:p>
        </w:tc>
        <w:tc>
          <w:tcPr>
            <w:tcW w:w="1701" w:type="dxa"/>
            <w:vAlign w:val="bottom"/>
          </w:tcPr>
          <w:p w14:paraId="6D8DB50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4,5%</w:t>
            </w:r>
          </w:p>
        </w:tc>
        <w:tc>
          <w:tcPr>
            <w:tcW w:w="1701" w:type="dxa"/>
            <w:vAlign w:val="bottom"/>
          </w:tcPr>
          <w:p w14:paraId="70674F5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5,8%</w:t>
            </w:r>
          </w:p>
        </w:tc>
        <w:tc>
          <w:tcPr>
            <w:tcW w:w="1843" w:type="dxa"/>
            <w:vAlign w:val="bottom"/>
          </w:tcPr>
          <w:p w14:paraId="465CCA6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6,6%</w:t>
            </w:r>
          </w:p>
        </w:tc>
        <w:tc>
          <w:tcPr>
            <w:tcW w:w="1615" w:type="dxa"/>
            <w:vAlign w:val="bottom"/>
          </w:tcPr>
          <w:p w14:paraId="70CD91A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6,5%</w:t>
            </w:r>
          </w:p>
        </w:tc>
      </w:tr>
      <w:tr w:rsidR="004D63F3" w14:paraId="05503487"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7CEC4715"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1701" w:type="dxa"/>
            <w:vAlign w:val="bottom"/>
          </w:tcPr>
          <w:p w14:paraId="0F6FFE8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4,4%</w:t>
            </w:r>
          </w:p>
        </w:tc>
        <w:tc>
          <w:tcPr>
            <w:tcW w:w="1701" w:type="dxa"/>
            <w:vAlign w:val="bottom"/>
          </w:tcPr>
          <w:p w14:paraId="5684F58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6,8%</w:t>
            </w:r>
          </w:p>
        </w:tc>
        <w:tc>
          <w:tcPr>
            <w:tcW w:w="1843" w:type="dxa"/>
            <w:vAlign w:val="bottom"/>
          </w:tcPr>
          <w:p w14:paraId="45CC56D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6,1%</w:t>
            </w:r>
          </w:p>
        </w:tc>
        <w:tc>
          <w:tcPr>
            <w:tcW w:w="1615" w:type="dxa"/>
            <w:vAlign w:val="bottom"/>
          </w:tcPr>
          <w:p w14:paraId="4B2C80A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6,5%</w:t>
            </w:r>
          </w:p>
        </w:tc>
      </w:tr>
      <w:tr w:rsidR="004D63F3" w14:paraId="08A41AAF"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70FBD8CF"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Lugo</w:t>
            </w:r>
          </w:p>
        </w:tc>
        <w:tc>
          <w:tcPr>
            <w:tcW w:w="1701" w:type="dxa"/>
            <w:vAlign w:val="bottom"/>
          </w:tcPr>
          <w:p w14:paraId="08B97F2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4,2%</w:t>
            </w:r>
          </w:p>
        </w:tc>
        <w:tc>
          <w:tcPr>
            <w:tcW w:w="1701" w:type="dxa"/>
            <w:vAlign w:val="bottom"/>
          </w:tcPr>
          <w:p w14:paraId="4F4EC74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4,7%</w:t>
            </w:r>
          </w:p>
        </w:tc>
        <w:tc>
          <w:tcPr>
            <w:tcW w:w="1843" w:type="dxa"/>
            <w:vAlign w:val="bottom"/>
          </w:tcPr>
          <w:p w14:paraId="1C3F50F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6,3%</w:t>
            </w:r>
          </w:p>
        </w:tc>
        <w:tc>
          <w:tcPr>
            <w:tcW w:w="1615" w:type="dxa"/>
            <w:vAlign w:val="bottom"/>
          </w:tcPr>
          <w:p w14:paraId="44122F0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6,4%</w:t>
            </w:r>
          </w:p>
        </w:tc>
      </w:tr>
      <w:tr w:rsidR="004D63F3" w14:paraId="663D172C"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1AA062F3"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Jaén</w:t>
            </w:r>
          </w:p>
        </w:tc>
        <w:tc>
          <w:tcPr>
            <w:tcW w:w="1701" w:type="dxa"/>
            <w:vAlign w:val="bottom"/>
          </w:tcPr>
          <w:p w14:paraId="1600C0A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4,3%</w:t>
            </w:r>
          </w:p>
        </w:tc>
        <w:tc>
          <w:tcPr>
            <w:tcW w:w="1701" w:type="dxa"/>
            <w:vAlign w:val="bottom"/>
          </w:tcPr>
          <w:p w14:paraId="35EC496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4,8%</w:t>
            </w:r>
          </w:p>
        </w:tc>
        <w:tc>
          <w:tcPr>
            <w:tcW w:w="1843" w:type="dxa"/>
            <w:vAlign w:val="bottom"/>
          </w:tcPr>
          <w:p w14:paraId="44C8896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6,2%</w:t>
            </w:r>
          </w:p>
        </w:tc>
        <w:tc>
          <w:tcPr>
            <w:tcW w:w="1615" w:type="dxa"/>
            <w:vAlign w:val="bottom"/>
          </w:tcPr>
          <w:p w14:paraId="5C4BE27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6,4%</w:t>
            </w:r>
          </w:p>
        </w:tc>
      </w:tr>
      <w:tr w:rsidR="004D63F3" w14:paraId="5BD13BCD"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50AEE88C"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Zaragoza</w:t>
            </w:r>
          </w:p>
        </w:tc>
        <w:tc>
          <w:tcPr>
            <w:tcW w:w="1701" w:type="dxa"/>
            <w:vAlign w:val="bottom"/>
          </w:tcPr>
          <w:p w14:paraId="611C1C7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4,3%</w:t>
            </w:r>
          </w:p>
        </w:tc>
        <w:tc>
          <w:tcPr>
            <w:tcW w:w="1701" w:type="dxa"/>
            <w:vAlign w:val="bottom"/>
          </w:tcPr>
          <w:p w14:paraId="0E7D3117"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5,5%</w:t>
            </w:r>
          </w:p>
        </w:tc>
        <w:tc>
          <w:tcPr>
            <w:tcW w:w="1843" w:type="dxa"/>
            <w:vAlign w:val="bottom"/>
          </w:tcPr>
          <w:p w14:paraId="73D0FEB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6,4%</w:t>
            </w:r>
          </w:p>
        </w:tc>
        <w:tc>
          <w:tcPr>
            <w:tcW w:w="1615" w:type="dxa"/>
            <w:vAlign w:val="bottom"/>
          </w:tcPr>
          <w:p w14:paraId="33C9B27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6,4%</w:t>
            </w:r>
          </w:p>
        </w:tc>
      </w:tr>
      <w:tr w:rsidR="004D63F3" w14:paraId="652BAE63"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04F011E0"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Guadalajara</w:t>
            </w:r>
          </w:p>
        </w:tc>
        <w:tc>
          <w:tcPr>
            <w:tcW w:w="1701" w:type="dxa"/>
            <w:vAlign w:val="bottom"/>
          </w:tcPr>
          <w:p w14:paraId="08EA6F2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4,6%</w:t>
            </w:r>
          </w:p>
        </w:tc>
        <w:tc>
          <w:tcPr>
            <w:tcW w:w="1701" w:type="dxa"/>
            <w:vAlign w:val="bottom"/>
          </w:tcPr>
          <w:p w14:paraId="24B70E8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5,7%</w:t>
            </w:r>
          </w:p>
        </w:tc>
        <w:tc>
          <w:tcPr>
            <w:tcW w:w="1843" w:type="dxa"/>
            <w:vAlign w:val="bottom"/>
          </w:tcPr>
          <w:p w14:paraId="1DB4FEF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6,7%</w:t>
            </w:r>
          </w:p>
        </w:tc>
        <w:tc>
          <w:tcPr>
            <w:tcW w:w="1615" w:type="dxa"/>
            <w:vAlign w:val="bottom"/>
          </w:tcPr>
          <w:p w14:paraId="43A67D8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6,3%</w:t>
            </w:r>
          </w:p>
        </w:tc>
      </w:tr>
      <w:tr w:rsidR="004D63F3" w14:paraId="7B156707"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57CE0B31"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Asturias</w:t>
            </w:r>
          </w:p>
        </w:tc>
        <w:tc>
          <w:tcPr>
            <w:tcW w:w="1701" w:type="dxa"/>
            <w:vAlign w:val="bottom"/>
          </w:tcPr>
          <w:p w14:paraId="169040F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4,1%</w:t>
            </w:r>
          </w:p>
        </w:tc>
        <w:tc>
          <w:tcPr>
            <w:tcW w:w="1701" w:type="dxa"/>
            <w:vAlign w:val="bottom"/>
          </w:tcPr>
          <w:p w14:paraId="3719790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5,1%</w:t>
            </w:r>
          </w:p>
        </w:tc>
        <w:tc>
          <w:tcPr>
            <w:tcW w:w="1843" w:type="dxa"/>
            <w:vAlign w:val="bottom"/>
          </w:tcPr>
          <w:p w14:paraId="6745FDC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6,2%</w:t>
            </w:r>
          </w:p>
        </w:tc>
        <w:tc>
          <w:tcPr>
            <w:tcW w:w="1615" w:type="dxa"/>
            <w:vAlign w:val="bottom"/>
          </w:tcPr>
          <w:p w14:paraId="03269B0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6,3%</w:t>
            </w:r>
          </w:p>
        </w:tc>
      </w:tr>
      <w:tr w:rsidR="004D63F3" w14:paraId="77DC235E"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7F1E6670"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Cádiz</w:t>
            </w:r>
          </w:p>
        </w:tc>
        <w:tc>
          <w:tcPr>
            <w:tcW w:w="1701" w:type="dxa"/>
            <w:vAlign w:val="bottom"/>
          </w:tcPr>
          <w:p w14:paraId="4C4CC10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4,9%</w:t>
            </w:r>
          </w:p>
        </w:tc>
        <w:tc>
          <w:tcPr>
            <w:tcW w:w="1701" w:type="dxa"/>
            <w:vAlign w:val="bottom"/>
          </w:tcPr>
          <w:p w14:paraId="3795605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5,5%</w:t>
            </w:r>
          </w:p>
        </w:tc>
        <w:tc>
          <w:tcPr>
            <w:tcW w:w="1843" w:type="dxa"/>
            <w:vAlign w:val="bottom"/>
          </w:tcPr>
          <w:p w14:paraId="789DB1A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6,4%</w:t>
            </w:r>
          </w:p>
        </w:tc>
        <w:tc>
          <w:tcPr>
            <w:tcW w:w="1615" w:type="dxa"/>
            <w:vAlign w:val="bottom"/>
          </w:tcPr>
          <w:p w14:paraId="54B67CB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6,3%</w:t>
            </w:r>
          </w:p>
        </w:tc>
      </w:tr>
      <w:tr w:rsidR="004D63F3" w14:paraId="13E0E131"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5345BCA4"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Badajoz</w:t>
            </w:r>
          </w:p>
        </w:tc>
        <w:tc>
          <w:tcPr>
            <w:tcW w:w="1701" w:type="dxa"/>
            <w:vAlign w:val="bottom"/>
          </w:tcPr>
          <w:p w14:paraId="3562C43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4,2%</w:t>
            </w:r>
          </w:p>
        </w:tc>
        <w:tc>
          <w:tcPr>
            <w:tcW w:w="1701" w:type="dxa"/>
            <w:vAlign w:val="bottom"/>
          </w:tcPr>
          <w:p w14:paraId="290DFCE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5,1%</w:t>
            </w:r>
          </w:p>
        </w:tc>
        <w:tc>
          <w:tcPr>
            <w:tcW w:w="1843" w:type="dxa"/>
            <w:vAlign w:val="bottom"/>
          </w:tcPr>
          <w:p w14:paraId="18ACB12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6,4%</w:t>
            </w:r>
          </w:p>
        </w:tc>
        <w:tc>
          <w:tcPr>
            <w:tcW w:w="1615" w:type="dxa"/>
            <w:vAlign w:val="bottom"/>
          </w:tcPr>
          <w:p w14:paraId="34148FE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6,3%</w:t>
            </w:r>
          </w:p>
        </w:tc>
      </w:tr>
      <w:tr w:rsidR="004D63F3" w14:paraId="198BF9C3"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352BD397"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Burgos</w:t>
            </w:r>
          </w:p>
        </w:tc>
        <w:tc>
          <w:tcPr>
            <w:tcW w:w="1701" w:type="dxa"/>
            <w:vAlign w:val="bottom"/>
          </w:tcPr>
          <w:p w14:paraId="6D6129E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4,1%</w:t>
            </w:r>
          </w:p>
        </w:tc>
        <w:tc>
          <w:tcPr>
            <w:tcW w:w="1701" w:type="dxa"/>
            <w:vAlign w:val="bottom"/>
          </w:tcPr>
          <w:p w14:paraId="4392AD1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4,7%</w:t>
            </w:r>
          </w:p>
        </w:tc>
        <w:tc>
          <w:tcPr>
            <w:tcW w:w="1843" w:type="dxa"/>
            <w:vAlign w:val="bottom"/>
          </w:tcPr>
          <w:p w14:paraId="6D07EB9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6,0%</w:t>
            </w:r>
          </w:p>
        </w:tc>
        <w:tc>
          <w:tcPr>
            <w:tcW w:w="1615" w:type="dxa"/>
            <w:vAlign w:val="bottom"/>
          </w:tcPr>
          <w:p w14:paraId="63E66A6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6,2%</w:t>
            </w:r>
          </w:p>
        </w:tc>
      </w:tr>
      <w:tr w:rsidR="004D63F3" w14:paraId="7A62B1C5"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29F95E3F"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Santa Cruz de Tenerife</w:t>
            </w:r>
          </w:p>
        </w:tc>
        <w:tc>
          <w:tcPr>
            <w:tcW w:w="1701" w:type="dxa"/>
            <w:vAlign w:val="bottom"/>
          </w:tcPr>
          <w:p w14:paraId="5EA1576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4,5%</w:t>
            </w:r>
          </w:p>
        </w:tc>
        <w:tc>
          <w:tcPr>
            <w:tcW w:w="1701" w:type="dxa"/>
            <w:vAlign w:val="bottom"/>
          </w:tcPr>
          <w:p w14:paraId="6EA2CCF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6,2%</w:t>
            </w:r>
          </w:p>
        </w:tc>
        <w:tc>
          <w:tcPr>
            <w:tcW w:w="1843" w:type="dxa"/>
            <w:vAlign w:val="bottom"/>
          </w:tcPr>
          <w:p w14:paraId="769D91D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6,0%</w:t>
            </w:r>
          </w:p>
        </w:tc>
        <w:tc>
          <w:tcPr>
            <w:tcW w:w="1615" w:type="dxa"/>
            <w:vAlign w:val="bottom"/>
          </w:tcPr>
          <w:p w14:paraId="15F1DAC7"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r>
      <w:tr w:rsidR="004D63F3" w14:paraId="60E5ACDD"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374ADC96"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La Rioja</w:t>
            </w:r>
          </w:p>
        </w:tc>
        <w:tc>
          <w:tcPr>
            <w:tcW w:w="1701" w:type="dxa"/>
            <w:vAlign w:val="bottom"/>
          </w:tcPr>
          <w:p w14:paraId="4DFD307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4,0%</w:t>
            </w:r>
          </w:p>
        </w:tc>
        <w:tc>
          <w:tcPr>
            <w:tcW w:w="1701" w:type="dxa"/>
            <w:vAlign w:val="bottom"/>
          </w:tcPr>
          <w:p w14:paraId="053869F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5,0%</w:t>
            </w:r>
          </w:p>
        </w:tc>
        <w:tc>
          <w:tcPr>
            <w:tcW w:w="1843" w:type="dxa"/>
            <w:vAlign w:val="bottom"/>
          </w:tcPr>
          <w:p w14:paraId="60461FC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6,0%</w:t>
            </w:r>
          </w:p>
        </w:tc>
        <w:tc>
          <w:tcPr>
            <w:tcW w:w="1615" w:type="dxa"/>
            <w:vAlign w:val="bottom"/>
          </w:tcPr>
          <w:p w14:paraId="7D3E7A4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r>
      <w:tr w:rsidR="004D63F3" w14:paraId="04EBEA4F"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6625879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Córdoba</w:t>
            </w:r>
          </w:p>
        </w:tc>
        <w:tc>
          <w:tcPr>
            <w:tcW w:w="1701" w:type="dxa"/>
            <w:vAlign w:val="bottom"/>
          </w:tcPr>
          <w:p w14:paraId="48D01FA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4,6%</w:t>
            </w:r>
          </w:p>
        </w:tc>
        <w:tc>
          <w:tcPr>
            <w:tcW w:w="1701" w:type="dxa"/>
            <w:vAlign w:val="bottom"/>
          </w:tcPr>
          <w:p w14:paraId="735BE59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5,8%</w:t>
            </w:r>
          </w:p>
        </w:tc>
        <w:tc>
          <w:tcPr>
            <w:tcW w:w="1843" w:type="dxa"/>
            <w:vAlign w:val="bottom"/>
          </w:tcPr>
          <w:p w14:paraId="2782F4F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6,3%</w:t>
            </w:r>
          </w:p>
        </w:tc>
        <w:tc>
          <w:tcPr>
            <w:tcW w:w="1615" w:type="dxa"/>
            <w:vAlign w:val="bottom"/>
          </w:tcPr>
          <w:p w14:paraId="65FBB8C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r>
      <w:tr w:rsidR="004D63F3" w14:paraId="0288928B"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69888787"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Salamanca</w:t>
            </w:r>
          </w:p>
        </w:tc>
        <w:tc>
          <w:tcPr>
            <w:tcW w:w="1701" w:type="dxa"/>
            <w:vAlign w:val="bottom"/>
          </w:tcPr>
          <w:p w14:paraId="35C4340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3,8%</w:t>
            </w:r>
          </w:p>
        </w:tc>
        <w:tc>
          <w:tcPr>
            <w:tcW w:w="1701" w:type="dxa"/>
            <w:vAlign w:val="bottom"/>
          </w:tcPr>
          <w:p w14:paraId="430D2FF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5,0%</w:t>
            </w:r>
          </w:p>
        </w:tc>
        <w:tc>
          <w:tcPr>
            <w:tcW w:w="1843" w:type="dxa"/>
            <w:vAlign w:val="bottom"/>
          </w:tcPr>
          <w:p w14:paraId="6BF6B3E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5,7%</w:t>
            </w:r>
          </w:p>
        </w:tc>
        <w:tc>
          <w:tcPr>
            <w:tcW w:w="1615" w:type="dxa"/>
            <w:vAlign w:val="bottom"/>
          </w:tcPr>
          <w:p w14:paraId="7260B18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r>
      <w:tr w:rsidR="004D63F3" w14:paraId="797B9C7E"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4C6A9F02"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Gipuzkoa</w:t>
            </w:r>
          </w:p>
        </w:tc>
        <w:tc>
          <w:tcPr>
            <w:tcW w:w="1701" w:type="dxa"/>
            <w:vAlign w:val="bottom"/>
          </w:tcPr>
          <w:p w14:paraId="3162F8A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3,5%</w:t>
            </w:r>
          </w:p>
        </w:tc>
        <w:tc>
          <w:tcPr>
            <w:tcW w:w="1701" w:type="dxa"/>
            <w:vAlign w:val="bottom"/>
          </w:tcPr>
          <w:p w14:paraId="3CE90E5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4,7%</w:t>
            </w:r>
          </w:p>
        </w:tc>
        <w:tc>
          <w:tcPr>
            <w:tcW w:w="1843" w:type="dxa"/>
            <w:vAlign w:val="bottom"/>
          </w:tcPr>
          <w:p w14:paraId="53D8990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6,0%</w:t>
            </w:r>
          </w:p>
        </w:tc>
        <w:tc>
          <w:tcPr>
            <w:tcW w:w="1615" w:type="dxa"/>
            <w:vAlign w:val="bottom"/>
          </w:tcPr>
          <w:p w14:paraId="3774089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r>
      <w:tr w:rsidR="004D63F3" w14:paraId="2C2D611B"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162F7AB9"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Huesca</w:t>
            </w:r>
          </w:p>
        </w:tc>
        <w:tc>
          <w:tcPr>
            <w:tcW w:w="1701" w:type="dxa"/>
            <w:vAlign w:val="bottom"/>
          </w:tcPr>
          <w:p w14:paraId="3683C2E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4,1%</w:t>
            </w:r>
          </w:p>
        </w:tc>
        <w:tc>
          <w:tcPr>
            <w:tcW w:w="1701" w:type="dxa"/>
            <w:vAlign w:val="bottom"/>
          </w:tcPr>
          <w:p w14:paraId="77D80A0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5,9%</w:t>
            </w:r>
          </w:p>
        </w:tc>
        <w:tc>
          <w:tcPr>
            <w:tcW w:w="1843" w:type="dxa"/>
            <w:vAlign w:val="bottom"/>
          </w:tcPr>
          <w:p w14:paraId="3604A12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5,9%</w:t>
            </w:r>
          </w:p>
        </w:tc>
        <w:tc>
          <w:tcPr>
            <w:tcW w:w="1615" w:type="dxa"/>
            <w:vAlign w:val="bottom"/>
          </w:tcPr>
          <w:p w14:paraId="6AA7387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6,0%</w:t>
            </w:r>
          </w:p>
        </w:tc>
      </w:tr>
      <w:tr w:rsidR="004D63F3" w14:paraId="64262CC5"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63F30DAA"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León</w:t>
            </w:r>
          </w:p>
        </w:tc>
        <w:tc>
          <w:tcPr>
            <w:tcW w:w="1701" w:type="dxa"/>
            <w:vAlign w:val="bottom"/>
          </w:tcPr>
          <w:p w14:paraId="7E60302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4,1%</w:t>
            </w:r>
          </w:p>
        </w:tc>
        <w:tc>
          <w:tcPr>
            <w:tcW w:w="1701" w:type="dxa"/>
            <w:vAlign w:val="bottom"/>
          </w:tcPr>
          <w:p w14:paraId="4B257DD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4,8%</w:t>
            </w:r>
          </w:p>
        </w:tc>
        <w:tc>
          <w:tcPr>
            <w:tcW w:w="1843" w:type="dxa"/>
            <w:vAlign w:val="bottom"/>
          </w:tcPr>
          <w:p w14:paraId="7858E02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6,0%</w:t>
            </w:r>
          </w:p>
        </w:tc>
        <w:tc>
          <w:tcPr>
            <w:tcW w:w="1615" w:type="dxa"/>
            <w:vAlign w:val="bottom"/>
          </w:tcPr>
          <w:p w14:paraId="049BB2C7"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5,9%</w:t>
            </w:r>
          </w:p>
        </w:tc>
      </w:tr>
      <w:tr w:rsidR="004D63F3" w14:paraId="0C78BC4F"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27906F6A"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Girona</w:t>
            </w:r>
          </w:p>
        </w:tc>
        <w:tc>
          <w:tcPr>
            <w:tcW w:w="1701" w:type="dxa"/>
            <w:vAlign w:val="bottom"/>
          </w:tcPr>
          <w:p w14:paraId="6B0EF3E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4,2%</w:t>
            </w:r>
          </w:p>
        </w:tc>
        <w:tc>
          <w:tcPr>
            <w:tcW w:w="1701" w:type="dxa"/>
            <w:vAlign w:val="bottom"/>
          </w:tcPr>
          <w:p w14:paraId="37B08A5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5,3%</w:t>
            </w:r>
          </w:p>
        </w:tc>
        <w:tc>
          <w:tcPr>
            <w:tcW w:w="1843" w:type="dxa"/>
            <w:vAlign w:val="bottom"/>
          </w:tcPr>
          <w:p w14:paraId="0AB7EAC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5,6%</w:t>
            </w:r>
          </w:p>
        </w:tc>
        <w:tc>
          <w:tcPr>
            <w:tcW w:w="1615" w:type="dxa"/>
            <w:vAlign w:val="bottom"/>
          </w:tcPr>
          <w:p w14:paraId="4CB6662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5,8%</w:t>
            </w:r>
          </w:p>
        </w:tc>
      </w:tr>
      <w:tr w:rsidR="004D63F3" w14:paraId="41D0D118"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0EDCDEA5"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Zamora</w:t>
            </w:r>
          </w:p>
        </w:tc>
        <w:tc>
          <w:tcPr>
            <w:tcW w:w="1701" w:type="dxa"/>
            <w:vAlign w:val="bottom"/>
          </w:tcPr>
          <w:p w14:paraId="4A561F6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3,8%</w:t>
            </w:r>
          </w:p>
        </w:tc>
        <w:tc>
          <w:tcPr>
            <w:tcW w:w="1701" w:type="dxa"/>
            <w:vAlign w:val="bottom"/>
          </w:tcPr>
          <w:p w14:paraId="64FFACD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4,7%</w:t>
            </w:r>
          </w:p>
        </w:tc>
        <w:tc>
          <w:tcPr>
            <w:tcW w:w="1843" w:type="dxa"/>
            <w:vAlign w:val="bottom"/>
          </w:tcPr>
          <w:p w14:paraId="3F96F96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0,0%</w:t>
            </w:r>
          </w:p>
        </w:tc>
        <w:tc>
          <w:tcPr>
            <w:tcW w:w="1615" w:type="dxa"/>
            <w:vAlign w:val="bottom"/>
          </w:tcPr>
          <w:p w14:paraId="1DEA552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5,8%</w:t>
            </w:r>
          </w:p>
        </w:tc>
      </w:tr>
      <w:tr w:rsidR="004D63F3" w14:paraId="51707024" w14:textId="77777777" w:rsidTr="004D63F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02F25419"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Granada</w:t>
            </w:r>
          </w:p>
        </w:tc>
        <w:tc>
          <w:tcPr>
            <w:tcW w:w="1701" w:type="dxa"/>
            <w:vAlign w:val="bottom"/>
          </w:tcPr>
          <w:p w14:paraId="2590F66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4,1%</w:t>
            </w:r>
          </w:p>
        </w:tc>
        <w:tc>
          <w:tcPr>
            <w:tcW w:w="1701" w:type="dxa"/>
            <w:vAlign w:val="bottom"/>
          </w:tcPr>
          <w:p w14:paraId="4549DDE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5,1%</w:t>
            </w:r>
          </w:p>
        </w:tc>
        <w:tc>
          <w:tcPr>
            <w:tcW w:w="1843" w:type="dxa"/>
            <w:vAlign w:val="bottom"/>
          </w:tcPr>
          <w:p w14:paraId="3DD1F96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5,9%</w:t>
            </w:r>
          </w:p>
        </w:tc>
        <w:tc>
          <w:tcPr>
            <w:tcW w:w="1615" w:type="dxa"/>
            <w:vAlign w:val="bottom"/>
          </w:tcPr>
          <w:p w14:paraId="3B589C4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5,8%</w:t>
            </w:r>
          </w:p>
        </w:tc>
      </w:tr>
      <w:tr w:rsidR="004D63F3" w14:paraId="660B0A68"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618AE3D3"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Albacete</w:t>
            </w:r>
          </w:p>
        </w:tc>
        <w:tc>
          <w:tcPr>
            <w:tcW w:w="1701" w:type="dxa"/>
            <w:vAlign w:val="bottom"/>
          </w:tcPr>
          <w:p w14:paraId="2853122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4,0%</w:t>
            </w:r>
          </w:p>
        </w:tc>
        <w:tc>
          <w:tcPr>
            <w:tcW w:w="1701" w:type="dxa"/>
            <w:vAlign w:val="bottom"/>
          </w:tcPr>
          <w:p w14:paraId="15ED6A9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5,1%</w:t>
            </w:r>
          </w:p>
        </w:tc>
        <w:tc>
          <w:tcPr>
            <w:tcW w:w="1843" w:type="dxa"/>
            <w:vAlign w:val="bottom"/>
          </w:tcPr>
          <w:p w14:paraId="501E202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c>
          <w:tcPr>
            <w:tcW w:w="1615" w:type="dxa"/>
            <w:vAlign w:val="bottom"/>
          </w:tcPr>
          <w:p w14:paraId="2EC566F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5,7%</w:t>
            </w:r>
          </w:p>
        </w:tc>
      </w:tr>
      <w:tr w:rsidR="004D63F3" w14:paraId="38F3631F"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509B3656"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Palencia</w:t>
            </w:r>
          </w:p>
        </w:tc>
        <w:tc>
          <w:tcPr>
            <w:tcW w:w="1701" w:type="dxa"/>
            <w:vAlign w:val="bottom"/>
          </w:tcPr>
          <w:p w14:paraId="6D80531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4,0%</w:t>
            </w:r>
          </w:p>
        </w:tc>
        <w:tc>
          <w:tcPr>
            <w:tcW w:w="1701" w:type="dxa"/>
            <w:vAlign w:val="bottom"/>
          </w:tcPr>
          <w:p w14:paraId="6EFF742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5,0%</w:t>
            </w:r>
          </w:p>
        </w:tc>
        <w:tc>
          <w:tcPr>
            <w:tcW w:w="1843" w:type="dxa"/>
            <w:vAlign w:val="bottom"/>
          </w:tcPr>
          <w:p w14:paraId="59174F2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5,5%</w:t>
            </w:r>
          </w:p>
        </w:tc>
        <w:tc>
          <w:tcPr>
            <w:tcW w:w="1615" w:type="dxa"/>
            <w:vAlign w:val="bottom"/>
          </w:tcPr>
          <w:p w14:paraId="6E43C54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5,7%</w:t>
            </w:r>
          </w:p>
        </w:tc>
      </w:tr>
      <w:tr w:rsidR="004D63F3" w14:paraId="4C911ABB"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6C2E76B3"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Valladolid</w:t>
            </w:r>
          </w:p>
        </w:tc>
        <w:tc>
          <w:tcPr>
            <w:tcW w:w="1701" w:type="dxa"/>
            <w:vAlign w:val="bottom"/>
          </w:tcPr>
          <w:p w14:paraId="4D8C941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4,0%</w:t>
            </w:r>
          </w:p>
        </w:tc>
        <w:tc>
          <w:tcPr>
            <w:tcW w:w="1701" w:type="dxa"/>
            <w:vAlign w:val="bottom"/>
          </w:tcPr>
          <w:p w14:paraId="2519C89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5,2%</w:t>
            </w:r>
          </w:p>
        </w:tc>
        <w:tc>
          <w:tcPr>
            <w:tcW w:w="1843" w:type="dxa"/>
            <w:vAlign w:val="bottom"/>
          </w:tcPr>
          <w:p w14:paraId="69301B7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5,5%</w:t>
            </w:r>
          </w:p>
        </w:tc>
        <w:tc>
          <w:tcPr>
            <w:tcW w:w="1615" w:type="dxa"/>
            <w:vAlign w:val="bottom"/>
          </w:tcPr>
          <w:p w14:paraId="759ABEA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5,7%</w:t>
            </w:r>
          </w:p>
        </w:tc>
      </w:tr>
      <w:tr w:rsidR="004D63F3" w14:paraId="5CE4F700"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75BB60C1"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 Coruña</w:t>
            </w:r>
          </w:p>
        </w:tc>
        <w:tc>
          <w:tcPr>
            <w:tcW w:w="1701" w:type="dxa"/>
            <w:vAlign w:val="bottom"/>
          </w:tcPr>
          <w:p w14:paraId="307BD0B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3,7%</w:t>
            </w:r>
          </w:p>
        </w:tc>
        <w:tc>
          <w:tcPr>
            <w:tcW w:w="1701" w:type="dxa"/>
            <w:vAlign w:val="bottom"/>
          </w:tcPr>
          <w:p w14:paraId="1903A99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4,1%</w:t>
            </w:r>
          </w:p>
        </w:tc>
        <w:tc>
          <w:tcPr>
            <w:tcW w:w="1843" w:type="dxa"/>
            <w:vAlign w:val="bottom"/>
          </w:tcPr>
          <w:p w14:paraId="3C8EECC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5,6%</w:t>
            </w:r>
          </w:p>
        </w:tc>
        <w:tc>
          <w:tcPr>
            <w:tcW w:w="1615" w:type="dxa"/>
            <w:vAlign w:val="bottom"/>
          </w:tcPr>
          <w:p w14:paraId="521DD0E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5,7%</w:t>
            </w:r>
          </w:p>
        </w:tc>
      </w:tr>
      <w:tr w:rsidR="004D63F3" w14:paraId="4A001772"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56E4B236"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Bizkaia</w:t>
            </w:r>
          </w:p>
        </w:tc>
        <w:tc>
          <w:tcPr>
            <w:tcW w:w="1701" w:type="dxa"/>
            <w:vAlign w:val="bottom"/>
          </w:tcPr>
          <w:p w14:paraId="1E959B1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3,8%</w:t>
            </w:r>
          </w:p>
        </w:tc>
        <w:tc>
          <w:tcPr>
            <w:tcW w:w="1701" w:type="dxa"/>
            <w:vAlign w:val="bottom"/>
          </w:tcPr>
          <w:p w14:paraId="6C6B49D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4,9%</w:t>
            </w:r>
          </w:p>
        </w:tc>
        <w:tc>
          <w:tcPr>
            <w:tcW w:w="1843" w:type="dxa"/>
            <w:vAlign w:val="bottom"/>
          </w:tcPr>
          <w:p w14:paraId="6AFBEB4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5,2%</w:t>
            </w:r>
          </w:p>
        </w:tc>
        <w:tc>
          <w:tcPr>
            <w:tcW w:w="1615" w:type="dxa"/>
            <w:vAlign w:val="bottom"/>
          </w:tcPr>
          <w:p w14:paraId="5D7E1BD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5,6%</w:t>
            </w:r>
          </w:p>
        </w:tc>
      </w:tr>
      <w:tr w:rsidR="004D63F3" w14:paraId="7A316938" w14:textId="77777777" w:rsidTr="004D63F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00905DAA"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Cáceres</w:t>
            </w:r>
          </w:p>
        </w:tc>
        <w:tc>
          <w:tcPr>
            <w:tcW w:w="1701" w:type="dxa"/>
            <w:vAlign w:val="bottom"/>
          </w:tcPr>
          <w:p w14:paraId="3D65EFC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4,1%</w:t>
            </w:r>
          </w:p>
        </w:tc>
        <w:tc>
          <w:tcPr>
            <w:tcW w:w="1701" w:type="dxa"/>
            <w:vAlign w:val="bottom"/>
          </w:tcPr>
          <w:p w14:paraId="0AACF89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4,7%</w:t>
            </w:r>
          </w:p>
        </w:tc>
        <w:tc>
          <w:tcPr>
            <w:tcW w:w="1843" w:type="dxa"/>
            <w:vAlign w:val="bottom"/>
          </w:tcPr>
          <w:p w14:paraId="28C9A6D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5,3%</w:t>
            </w:r>
          </w:p>
        </w:tc>
        <w:tc>
          <w:tcPr>
            <w:tcW w:w="1615" w:type="dxa"/>
            <w:vAlign w:val="bottom"/>
          </w:tcPr>
          <w:p w14:paraId="5B12C58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5,6%</w:t>
            </w:r>
          </w:p>
        </w:tc>
      </w:tr>
      <w:tr w:rsidR="004D63F3" w14:paraId="56B6855A"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549E6F9F"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1701" w:type="dxa"/>
            <w:vAlign w:val="bottom"/>
          </w:tcPr>
          <w:p w14:paraId="5D2CFE5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4,5%</w:t>
            </w:r>
          </w:p>
        </w:tc>
        <w:tc>
          <w:tcPr>
            <w:tcW w:w="1701" w:type="dxa"/>
            <w:vAlign w:val="bottom"/>
          </w:tcPr>
          <w:p w14:paraId="2226A980"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5,4%</w:t>
            </w:r>
          </w:p>
        </w:tc>
        <w:tc>
          <w:tcPr>
            <w:tcW w:w="1843" w:type="dxa"/>
            <w:vAlign w:val="bottom"/>
          </w:tcPr>
          <w:p w14:paraId="40414F1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4,9%</w:t>
            </w:r>
          </w:p>
        </w:tc>
        <w:tc>
          <w:tcPr>
            <w:tcW w:w="1615" w:type="dxa"/>
            <w:vAlign w:val="bottom"/>
          </w:tcPr>
          <w:p w14:paraId="24832887"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5,5%</w:t>
            </w:r>
          </w:p>
        </w:tc>
      </w:tr>
      <w:tr w:rsidR="004D63F3" w14:paraId="01A31D9A"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3326C462"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Pontevedra</w:t>
            </w:r>
          </w:p>
        </w:tc>
        <w:tc>
          <w:tcPr>
            <w:tcW w:w="1701" w:type="dxa"/>
            <w:vAlign w:val="bottom"/>
          </w:tcPr>
          <w:p w14:paraId="7148B2A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4,0%</w:t>
            </w:r>
          </w:p>
        </w:tc>
        <w:tc>
          <w:tcPr>
            <w:tcW w:w="1701" w:type="dxa"/>
            <w:vAlign w:val="bottom"/>
          </w:tcPr>
          <w:p w14:paraId="0CFA7C5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4,5%</w:t>
            </w:r>
          </w:p>
        </w:tc>
        <w:tc>
          <w:tcPr>
            <w:tcW w:w="1843" w:type="dxa"/>
            <w:vAlign w:val="bottom"/>
          </w:tcPr>
          <w:p w14:paraId="0081277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5,3%</w:t>
            </w:r>
          </w:p>
        </w:tc>
        <w:tc>
          <w:tcPr>
            <w:tcW w:w="1615" w:type="dxa"/>
            <w:vAlign w:val="bottom"/>
          </w:tcPr>
          <w:p w14:paraId="75D4D95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5,5%</w:t>
            </w:r>
          </w:p>
        </w:tc>
      </w:tr>
      <w:tr w:rsidR="004D63F3" w14:paraId="13C16D6C"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69B35C1C"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1701" w:type="dxa"/>
            <w:vAlign w:val="bottom"/>
          </w:tcPr>
          <w:p w14:paraId="20E17CB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4,5%</w:t>
            </w:r>
          </w:p>
        </w:tc>
        <w:tc>
          <w:tcPr>
            <w:tcW w:w="1701" w:type="dxa"/>
            <w:vAlign w:val="bottom"/>
          </w:tcPr>
          <w:p w14:paraId="057B001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6,5%</w:t>
            </w:r>
          </w:p>
        </w:tc>
        <w:tc>
          <w:tcPr>
            <w:tcW w:w="1843" w:type="dxa"/>
            <w:vAlign w:val="bottom"/>
          </w:tcPr>
          <w:p w14:paraId="5ABED98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5,2%</w:t>
            </w:r>
          </w:p>
        </w:tc>
        <w:tc>
          <w:tcPr>
            <w:tcW w:w="1615" w:type="dxa"/>
            <w:vAlign w:val="bottom"/>
          </w:tcPr>
          <w:p w14:paraId="66ACF1B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5,5%</w:t>
            </w:r>
          </w:p>
        </w:tc>
      </w:tr>
      <w:tr w:rsidR="004D63F3" w14:paraId="5C1CC965" w14:textId="77777777" w:rsidTr="004D63F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7E8F7257"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Ourense</w:t>
            </w:r>
          </w:p>
        </w:tc>
        <w:tc>
          <w:tcPr>
            <w:tcW w:w="1701" w:type="dxa"/>
            <w:vAlign w:val="bottom"/>
          </w:tcPr>
          <w:p w14:paraId="602276F4"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3,4%</w:t>
            </w:r>
          </w:p>
        </w:tc>
        <w:tc>
          <w:tcPr>
            <w:tcW w:w="1701" w:type="dxa"/>
            <w:vAlign w:val="bottom"/>
          </w:tcPr>
          <w:p w14:paraId="253A5884"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4,0%</w:t>
            </w:r>
          </w:p>
        </w:tc>
        <w:tc>
          <w:tcPr>
            <w:tcW w:w="1843" w:type="dxa"/>
            <w:vAlign w:val="bottom"/>
          </w:tcPr>
          <w:p w14:paraId="4A628CA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4,7%</w:t>
            </w:r>
          </w:p>
        </w:tc>
        <w:tc>
          <w:tcPr>
            <w:tcW w:w="1615" w:type="dxa"/>
            <w:vAlign w:val="bottom"/>
          </w:tcPr>
          <w:p w14:paraId="41BBC90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5,3%</w:t>
            </w:r>
          </w:p>
        </w:tc>
      </w:tr>
      <w:tr w:rsidR="004D63F3" w14:paraId="4CE2AE79"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57670114"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Araba - Álava</w:t>
            </w:r>
          </w:p>
        </w:tc>
        <w:tc>
          <w:tcPr>
            <w:tcW w:w="1701" w:type="dxa"/>
            <w:vAlign w:val="bottom"/>
          </w:tcPr>
          <w:p w14:paraId="25A150D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4,1%</w:t>
            </w:r>
          </w:p>
        </w:tc>
        <w:tc>
          <w:tcPr>
            <w:tcW w:w="1701" w:type="dxa"/>
            <w:vAlign w:val="bottom"/>
          </w:tcPr>
          <w:p w14:paraId="38A7AD50"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4,6%</w:t>
            </w:r>
          </w:p>
        </w:tc>
        <w:tc>
          <w:tcPr>
            <w:tcW w:w="1843" w:type="dxa"/>
            <w:vAlign w:val="bottom"/>
          </w:tcPr>
          <w:p w14:paraId="13B0A20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5,1%</w:t>
            </w:r>
          </w:p>
        </w:tc>
        <w:tc>
          <w:tcPr>
            <w:tcW w:w="1615" w:type="dxa"/>
            <w:vAlign w:val="bottom"/>
          </w:tcPr>
          <w:p w14:paraId="7A453A8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5,2%</w:t>
            </w:r>
          </w:p>
        </w:tc>
      </w:tr>
      <w:tr w:rsidR="004D63F3" w14:paraId="69C13C1A" w14:textId="77777777" w:rsidTr="004D63F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2F4C2D9A"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Illes Balears</w:t>
            </w:r>
          </w:p>
        </w:tc>
        <w:tc>
          <w:tcPr>
            <w:tcW w:w="1701" w:type="dxa"/>
            <w:vAlign w:val="bottom"/>
          </w:tcPr>
          <w:p w14:paraId="187E380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4,4%</w:t>
            </w:r>
          </w:p>
        </w:tc>
        <w:tc>
          <w:tcPr>
            <w:tcW w:w="1701" w:type="dxa"/>
            <w:vAlign w:val="bottom"/>
          </w:tcPr>
          <w:p w14:paraId="3D38182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6,0%</w:t>
            </w:r>
          </w:p>
        </w:tc>
        <w:tc>
          <w:tcPr>
            <w:tcW w:w="1843" w:type="dxa"/>
            <w:vAlign w:val="bottom"/>
          </w:tcPr>
          <w:p w14:paraId="2C04093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5,0%</w:t>
            </w:r>
          </w:p>
        </w:tc>
        <w:tc>
          <w:tcPr>
            <w:tcW w:w="1615" w:type="dxa"/>
            <w:vAlign w:val="bottom"/>
          </w:tcPr>
          <w:p w14:paraId="31E2ED9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5,2%</w:t>
            </w:r>
          </w:p>
        </w:tc>
      </w:tr>
      <w:tr w:rsidR="004D63F3" w14:paraId="5173A011" w14:textId="77777777" w:rsidTr="004D63F3">
        <w:trPr>
          <w:trHeight w:val="279"/>
        </w:trPr>
        <w:tc>
          <w:tcPr>
            <w:cnfStyle w:val="001000000000" w:firstRow="0" w:lastRow="0" w:firstColumn="1" w:lastColumn="0" w:oddVBand="0" w:evenVBand="0" w:oddHBand="0" w:evenHBand="0" w:firstRowFirstColumn="0" w:firstRowLastColumn="0" w:lastRowFirstColumn="0" w:lastRowLastColumn="0"/>
            <w:tcW w:w="2263" w:type="dxa"/>
            <w:vAlign w:val="bottom"/>
          </w:tcPr>
          <w:p w14:paraId="352B9C85"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Soria</w:t>
            </w:r>
          </w:p>
        </w:tc>
        <w:tc>
          <w:tcPr>
            <w:tcW w:w="1701" w:type="dxa"/>
            <w:vAlign w:val="bottom"/>
          </w:tcPr>
          <w:p w14:paraId="6520637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4,3%</w:t>
            </w:r>
          </w:p>
        </w:tc>
        <w:tc>
          <w:tcPr>
            <w:tcW w:w="1701" w:type="dxa"/>
          </w:tcPr>
          <w:p w14:paraId="2693F10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843" w:type="dxa"/>
          </w:tcPr>
          <w:p w14:paraId="14930AA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615" w:type="dxa"/>
          </w:tcPr>
          <w:p w14:paraId="680CE32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w:t>
            </w:r>
          </w:p>
        </w:tc>
      </w:tr>
    </w:tbl>
    <w:p w14:paraId="5BD095E6" w14:textId="77777777" w:rsidR="004D63F3"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rPr>
        <w:t>Tabla 3. Rentabilidad de la vivienda por ciudades en 2012, 2017, 2021 y 2022</w:t>
      </w:r>
    </w:p>
    <w:tbl>
      <w:tblPr>
        <w:tblStyle w:val="a1"/>
        <w:tblW w:w="9359"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13"/>
        <w:gridCol w:w="2126"/>
        <w:gridCol w:w="1559"/>
        <w:gridCol w:w="1418"/>
        <w:gridCol w:w="1417"/>
        <w:gridCol w:w="1426"/>
      </w:tblGrid>
      <w:tr w:rsidR="004D63F3" w14:paraId="0DC0C74C" w14:textId="77777777" w:rsidTr="004D63F3">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C137DB5" w14:textId="77777777" w:rsidR="004D63F3" w:rsidRDefault="00000000">
            <w:pPr>
              <w:rPr>
                <w:rFonts w:ascii="Open Sans" w:eastAsia="Open Sans" w:hAnsi="Open Sans" w:cs="Open Sans"/>
                <w:sz w:val="20"/>
                <w:szCs w:val="20"/>
              </w:rPr>
            </w:pPr>
            <w:r>
              <w:rPr>
                <w:rFonts w:ascii="Open Sans" w:eastAsia="Open Sans" w:hAnsi="Open Sans" w:cs="Open Sans"/>
                <w:b w:val="0"/>
                <w:sz w:val="20"/>
                <w:szCs w:val="20"/>
              </w:rPr>
              <w:t>Provincia</w:t>
            </w:r>
          </w:p>
        </w:tc>
        <w:tc>
          <w:tcPr>
            <w:tcW w:w="2126" w:type="dxa"/>
            <w:vAlign w:val="center"/>
          </w:tcPr>
          <w:p w14:paraId="42CA6AD6" w14:textId="77777777" w:rsidR="004D63F3" w:rsidRDefault="00000000">
            <w:pPr>
              <w:cnfStyle w:val="100000000000" w:firstRow="1" w:lastRow="0" w:firstColumn="0" w:lastColumn="0" w:oddVBand="0" w:evenVBand="0" w:oddHBand="0" w:evenHBand="0" w:firstRowFirstColumn="0" w:firstRowLastColumn="0" w:lastRowFirstColumn="0" w:lastRowLastColumn="0"/>
            </w:pPr>
            <w:r>
              <w:rPr>
                <w:rFonts w:ascii="Open Sans" w:eastAsia="Open Sans" w:hAnsi="Open Sans" w:cs="Open Sans"/>
                <w:b w:val="0"/>
                <w:sz w:val="20"/>
                <w:szCs w:val="20"/>
              </w:rPr>
              <w:t>Ciudad</w:t>
            </w:r>
          </w:p>
        </w:tc>
        <w:tc>
          <w:tcPr>
            <w:tcW w:w="1559" w:type="dxa"/>
            <w:vAlign w:val="center"/>
          </w:tcPr>
          <w:p w14:paraId="6A7164BD"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Rentabilidad</w:t>
            </w:r>
          </w:p>
          <w:p w14:paraId="1B328E10"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2012</w:t>
            </w:r>
          </w:p>
          <w:p w14:paraId="7D80C8C3"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(10 años)</w:t>
            </w:r>
          </w:p>
        </w:tc>
        <w:tc>
          <w:tcPr>
            <w:tcW w:w="1418" w:type="dxa"/>
            <w:vAlign w:val="center"/>
          </w:tcPr>
          <w:p w14:paraId="50A2CF95"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Rentabilidad</w:t>
            </w:r>
          </w:p>
          <w:p w14:paraId="110272F4"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2017</w:t>
            </w:r>
          </w:p>
          <w:p w14:paraId="2600BCBB"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(5 años)</w:t>
            </w:r>
          </w:p>
        </w:tc>
        <w:tc>
          <w:tcPr>
            <w:tcW w:w="1417" w:type="dxa"/>
            <w:vAlign w:val="center"/>
          </w:tcPr>
          <w:p w14:paraId="05550D5B"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Rentabilidad</w:t>
            </w:r>
          </w:p>
          <w:p w14:paraId="2AEE111C"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2021</w:t>
            </w:r>
          </w:p>
          <w:p w14:paraId="0A1329BB"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(1 año)</w:t>
            </w:r>
          </w:p>
        </w:tc>
        <w:tc>
          <w:tcPr>
            <w:tcW w:w="1426" w:type="dxa"/>
            <w:vAlign w:val="center"/>
          </w:tcPr>
          <w:p w14:paraId="1C349426"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Rentabilidad</w:t>
            </w:r>
          </w:p>
          <w:p w14:paraId="28242589"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2022</w:t>
            </w:r>
          </w:p>
        </w:tc>
      </w:tr>
      <w:tr w:rsidR="004D63F3" w14:paraId="7F8098D0" w14:textId="77777777" w:rsidTr="004D63F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7AA6FDF"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Valencia</w:t>
            </w:r>
          </w:p>
        </w:tc>
        <w:tc>
          <w:tcPr>
            <w:tcW w:w="2126" w:type="dxa"/>
            <w:vAlign w:val="bottom"/>
          </w:tcPr>
          <w:p w14:paraId="20929FDF"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Gandía</w:t>
            </w:r>
          </w:p>
        </w:tc>
        <w:tc>
          <w:tcPr>
            <w:tcW w:w="1559" w:type="dxa"/>
            <w:vAlign w:val="bottom"/>
          </w:tcPr>
          <w:p w14:paraId="340BEA0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4,6%</w:t>
            </w:r>
          </w:p>
        </w:tc>
        <w:tc>
          <w:tcPr>
            <w:tcW w:w="1418" w:type="dxa"/>
            <w:vAlign w:val="bottom"/>
          </w:tcPr>
          <w:p w14:paraId="481DFB5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c>
          <w:tcPr>
            <w:tcW w:w="1417" w:type="dxa"/>
            <w:vAlign w:val="bottom"/>
          </w:tcPr>
          <w:p w14:paraId="4140088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9,6%</w:t>
            </w:r>
          </w:p>
        </w:tc>
        <w:tc>
          <w:tcPr>
            <w:tcW w:w="1426" w:type="dxa"/>
            <w:vAlign w:val="bottom"/>
          </w:tcPr>
          <w:p w14:paraId="5095022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10,1%</w:t>
            </w:r>
          </w:p>
        </w:tc>
      </w:tr>
      <w:tr w:rsidR="004D63F3" w14:paraId="0F4AA1E3" w14:textId="77777777" w:rsidTr="004D63F3">
        <w:trPr>
          <w:trHeight w:val="258"/>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3734D11"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lastRenderedPageBreak/>
              <w:t>Murcia</w:t>
            </w:r>
          </w:p>
        </w:tc>
        <w:tc>
          <w:tcPr>
            <w:tcW w:w="2126" w:type="dxa"/>
            <w:vAlign w:val="bottom"/>
          </w:tcPr>
          <w:p w14:paraId="79602F0F"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La Manga del Mar Menor</w:t>
            </w:r>
          </w:p>
        </w:tc>
        <w:tc>
          <w:tcPr>
            <w:tcW w:w="1559" w:type="dxa"/>
            <w:vAlign w:val="bottom"/>
          </w:tcPr>
          <w:p w14:paraId="79FA40E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8" w:type="dxa"/>
          </w:tcPr>
          <w:p w14:paraId="1098612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40D374B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0B31C47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9,7%</w:t>
            </w:r>
          </w:p>
        </w:tc>
      </w:tr>
      <w:tr w:rsidR="004D63F3" w14:paraId="79281AAC" w14:textId="77777777" w:rsidTr="004D63F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D312BBA"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Cantabria</w:t>
            </w:r>
          </w:p>
        </w:tc>
        <w:tc>
          <w:tcPr>
            <w:tcW w:w="2126" w:type="dxa"/>
            <w:vAlign w:val="bottom"/>
          </w:tcPr>
          <w:p w14:paraId="22674322"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Laredo</w:t>
            </w:r>
          </w:p>
        </w:tc>
        <w:tc>
          <w:tcPr>
            <w:tcW w:w="1559" w:type="dxa"/>
            <w:vAlign w:val="bottom"/>
          </w:tcPr>
          <w:p w14:paraId="6E872A8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8" w:type="dxa"/>
          </w:tcPr>
          <w:p w14:paraId="5278035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6126042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0A79AE8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9,0%</w:t>
            </w:r>
          </w:p>
        </w:tc>
      </w:tr>
      <w:tr w:rsidR="004D63F3" w14:paraId="3DE78BD9" w14:textId="77777777" w:rsidTr="004D63F3">
        <w:trPr>
          <w:trHeight w:val="252"/>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12941ED7"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Cantabria</w:t>
            </w:r>
          </w:p>
        </w:tc>
        <w:tc>
          <w:tcPr>
            <w:tcW w:w="2126" w:type="dxa"/>
            <w:vAlign w:val="bottom"/>
          </w:tcPr>
          <w:p w14:paraId="576FD660"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Torrelavega</w:t>
            </w:r>
          </w:p>
        </w:tc>
        <w:tc>
          <w:tcPr>
            <w:tcW w:w="1559" w:type="dxa"/>
            <w:vAlign w:val="bottom"/>
          </w:tcPr>
          <w:p w14:paraId="78800A8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418" w:type="dxa"/>
          </w:tcPr>
          <w:p w14:paraId="632094D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73FBC88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1D4A13D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8,8%</w:t>
            </w:r>
          </w:p>
        </w:tc>
      </w:tr>
      <w:tr w:rsidR="004D63F3" w14:paraId="5F8FEECA" w14:textId="77777777" w:rsidTr="004D63F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6ECE9E2"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Valencia</w:t>
            </w:r>
          </w:p>
        </w:tc>
        <w:tc>
          <w:tcPr>
            <w:tcW w:w="2126" w:type="dxa"/>
            <w:vAlign w:val="bottom"/>
          </w:tcPr>
          <w:p w14:paraId="79D56C13"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Torrent</w:t>
            </w:r>
          </w:p>
        </w:tc>
        <w:tc>
          <w:tcPr>
            <w:tcW w:w="1559" w:type="dxa"/>
            <w:vAlign w:val="bottom"/>
          </w:tcPr>
          <w:p w14:paraId="0BA0012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1418" w:type="dxa"/>
            <w:vAlign w:val="bottom"/>
          </w:tcPr>
          <w:p w14:paraId="1459E0F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c>
          <w:tcPr>
            <w:tcW w:w="1417" w:type="dxa"/>
            <w:vAlign w:val="bottom"/>
          </w:tcPr>
          <w:p w14:paraId="5717E707" w14:textId="77777777" w:rsidR="004D63F3" w:rsidRDefault="004D63F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
        </w:tc>
        <w:tc>
          <w:tcPr>
            <w:tcW w:w="1426" w:type="dxa"/>
            <w:vAlign w:val="bottom"/>
          </w:tcPr>
          <w:p w14:paraId="4B06D11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8,5%</w:t>
            </w:r>
          </w:p>
        </w:tc>
      </w:tr>
      <w:tr w:rsidR="004D63F3" w14:paraId="259D8BDE" w14:textId="77777777" w:rsidTr="004D63F3">
        <w:trPr>
          <w:trHeight w:val="212"/>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FC8A542"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Asturias</w:t>
            </w:r>
          </w:p>
        </w:tc>
        <w:tc>
          <w:tcPr>
            <w:tcW w:w="2126" w:type="dxa"/>
            <w:vAlign w:val="bottom"/>
          </w:tcPr>
          <w:p w14:paraId="3F78A1B4"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Langreo</w:t>
            </w:r>
          </w:p>
        </w:tc>
        <w:tc>
          <w:tcPr>
            <w:tcW w:w="1559" w:type="dxa"/>
          </w:tcPr>
          <w:p w14:paraId="11E0503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8" w:type="dxa"/>
          </w:tcPr>
          <w:p w14:paraId="6572B91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7D341A3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52DDE4C0"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8,5%</w:t>
            </w:r>
          </w:p>
        </w:tc>
      </w:tr>
      <w:tr w:rsidR="004D63F3" w14:paraId="00E2DCA0" w14:textId="77777777" w:rsidTr="004D63F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80B8FA1"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Tarragona</w:t>
            </w:r>
          </w:p>
        </w:tc>
        <w:tc>
          <w:tcPr>
            <w:tcW w:w="2126" w:type="dxa"/>
            <w:vAlign w:val="bottom"/>
          </w:tcPr>
          <w:p w14:paraId="5E91CE01"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Tortosa</w:t>
            </w:r>
          </w:p>
        </w:tc>
        <w:tc>
          <w:tcPr>
            <w:tcW w:w="1559" w:type="dxa"/>
          </w:tcPr>
          <w:p w14:paraId="1A98F74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8" w:type="dxa"/>
          </w:tcPr>
          <w:p w14:paraId="7952018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5A11897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6DD4342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8,4%</w:t>
            </w:r>
          </w:p>
        </w:tc>
      </w:tr>
      <w:tr w:rsidR="004D63F3" w14:paraId="25E930CD" w14:textId="77777777" w:rsidTr="004D63F3">
        <w:trPr>
          <w:trHeight w:val="250"/>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1A3688D2"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Cádiz</w:t>
            </w:r>
          </w:p>
        </w:tc>
        <w:tc>
          <w:tcPr>
            <w:tcW w:w="2126" w:type="dxa"/>
            <w:vAlign w:val="bottom"/>
          </w:tcPr>
          <w:p w14:paraId="392B9797"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La Línea de la Concepción</w:t>
            </w:r>
          </w:p>
        </w:tc>
        <w:tc>
          <w:tcPr>
            <w:tcW w:w="1559" w:type="dxa"/>
            <w:vAlign w:val="bottom"/>
          </w:tcPr>
          <w:p w14:paraId="58633CC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c>
          <w:tcPr>
            <w:tcW w:w="1418" w:type="dxa"/>
          </w:tcPr>
          <w:p w14:paraId="721F9A5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417226E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534C01A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8,2%</w:t>
            </w:r>
          </w:p>
        </w:tc>
      </w:tr>
      <w:tr w:rsidR="004D63F3" w14:paraId="3FCAA063" w14:textId="77777777" w:rsidTr="004D63F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E01F1F9"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Murcia</w:t>
            </w:r>
          </w:p>
        </w:tc>
        <w:tc>
          <w:tcPr>
            <w:tcW w:w="2126" w:type="dxa"/>
            <w:vAlign w:val="bottom"/>
          </w:tcPr>
          <w:p w14:paraId="2BACE4EE"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Molina de Segura</w:t>
            </w:r>
          </w:p>
        </w:tc>
        <w:tc>
          <w:tcPr>
            <w:tcW w:w="1559" w:type="dxa"/>
            <w:vAlign w:val="bottom"/>
          </w:tcPr>
          <w:p w14:paraId="22D7418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418" w:type="dxa"/>
            <w:vAlign w:val="bottom"/>
          </w:tcPr>
          <w:p w14:paraId="36F97AF6" w14:textId="77777777" w:rsidR="004D63F3" w:rsidRDefault="004D63F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
        </w:tc>
        <w:tc>
          <w:tcPr>
            <w:tcW w:w="1417" w:type="dxa"/>
            <w:vAlign w:val="bottom"/>
          </w:tcPr>
          <w:p w14:paraId="1BEEFB92" w14:textId="77777777" w:rsidR="004D63F3" w:rsidRDefault="004D63F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
        </w:tc>
        <w:tc>
          <w:tcPr>
            <w:tcW w:w="1426" w:type="dxa"/>
            <w:vAlign w:val="bottom"/>
          </w:tcPr>
          <w:p w14:paraId="3A35DF7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8,0%</w:t>
            </w:r>
          </w:p>
        </w:tc>
      </w:tr>
      <w:tr w:rsidR="004D63F3" w14:paraId="5E836553" w14:textId="77777777" w:rsidTr="004D63F3">
        <w:trPr>
          <w:trHeight w:val="200"/>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5B77CCB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Huelva</w:t>
            </w:r>
          </w:p>
        </w:tc>
        <w:tc>
          <w:tcPr>
            <w:tcW w:w="2126" w:type="dxa"/>
            <w:vAlign w:val="bottom"/>
          </w:tcPr>
          <w:p w14:paraId="1DF608D0"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Huelva Capital</w:t>
            </w:r>
          </w:p>
        </w:tc>
        <w:tc>
          <w:tcPr>
            <w:tcW w:w="1559" w:type="dxa"/>
            <w:vAlign w:val="bottom"/>
          </w:tcPr>
          <w:p w14:paraId="02BCD61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4,6%</w:t>
            </w:r>
          </w:p>
        </w:tc>
        <w:tc>
          <w:tcPr>
            <w:tcW w:w="1418" w:type="dxa"/>
            <w:vAlign w:val="bottom"/>
          </w:tcPr>
          <w:p w14:paraId="216E6250"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c>
          <w:tcPr>
            <w:tcW w:w="1417" w:type="dxa"/>
            <w:vAlign w:val="bottom"/>
          </w:tcPr>
          <w:p w14:paraId="22BE59C1" w14:textId="77777777" w:rsidR="004D63F3" w:rsidRDefault="004D63F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p>
        </w:tc>
        <w:tc>
          <w:tcPr>
            <w:tcW w:w="1426" w:type="dxa"/>
            <w:vAlign w:val="bottom"/>
          </w:tcPr>
          <w:p w14:paraId="7B85FE8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7,9%</w:t>
            </w:r>
          </w:p>
        </w:tc>
      </w:tr>
      <w:tr w:rsidR="004D63F3" w14:paraId="25C1D165" w14:textId="77777777" w:rsidTr="004D63F3">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1D315F6"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Cádiz</w:t>
            </w:r>
          </w:p>
        </w:tc>
        <w:tc>
          <w:tcPr>
            <w:tcW w:w="2126" w:type="dxa"/>
            <w:vAlign w:val="bottom"/>
          </w:tcPr>
          <w:p w14:paraId="49FE8563"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Algeciras</w:t>
            </w:r>
          </w:p>
        </w:tc>
        <w:tc>
          <w:tcPr>
            <w:tcW w:w="1559" w:type="dxa"/>
            <w:vAlign w:val="bottom"/>
          </w:tcPr>
          <w:p w14:paraId="44500D1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c>
          <w:tcPr>
            <w:tcW w:w="1418" w:type="dxa"/>
            <w:vAlign w:val="bottom"/>
          </w:tcPr>
          <w:p w14:paraId="4E131B4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6,6%</w:t>
            </w:r>
          </w:p>
        </w:tc>
        <w:tc>
          <w:tcPr>
            <w:tcW w:w="1417" w:type="dxa"/>
            <w:vAlign w:val="bottom"/>
          </w:tcPr>
          <w:p w14:paraId="4E0B1AA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7,5%</w:t>
            </w:r>
          </w:p>
        </w:tc>
        <w:tc>
          <w:tcPr>
            <w:tcW w:w="1426" w:type="dxa"/>
            <w:vAlign w:val="bottom"/>
          </w:tcPr>
          <w:p w14:paraId="1B0B90E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7,9%</w:t>
            </w:r>
          </w:p>
        </w:tc>
      </w:tr>
      <w:tr w:rsidR="004D63F3" w14:paraId="703A7327" w14:textId="77777777" w:rsidTr="004D63F3">
        <w:trPr>
          <w:trHeight w:val="248"/>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178AD860"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Valencia</w:t>
            </w:r>
          </w:p>
        </w:tc>
        <w:tc>
          <w:tcPr>
            <w:tcW w:w="2126" w:type="dxa"/>
            <w:vAlign w:val="bottom"/>
          </w:tcPr>
          <w:p w14:paraId="449B95B2"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Sagunto / Sagunt</w:t>
            </w:r>
          </w:p>
        </w:tc>
        <w:tc>
          <w:tcPr>
            <w:tcW w:w="1559" w:type="dxa"/>
            <w:vAlign w:val="bottom"/>
          </w:tcPr>
          <w:p w14:paraId="1FCA97B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4,7%</w:t>
            </w:r>
          </w:p>
        </w:tc>
        <w:tc>
          <w:tcPr>
            <w:tcW w:w="1418" w:type="dxa"/>
          </w:tcPr>
          <w:p w14:paraId="3A2A4CD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tcPr>
          <w:p w14:paraId="03D2073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2B6C2E5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7,8%</w:t>
            </w:r>
          </w:p>
        </w:tc>
      </w:tr>
      <w:tr w:rsidR="004D63F3" w14:paraId="133508F6" w14:textId="77777777" w:rsidTr="004D63F3">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D609E2D"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Almería</w:t>
            </w:r>
          </w:p>
        </w:tc>
        <w:tc>
          <w:tcPr>
            <w:tcW w:w="2126" w:type="dxa"/>
            <w:vAlign w:val="bottom"/>
          </w:tcPr>
          <w:p w14:paraId="4EA0D354"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Vera</w:t>
            </w:r>
          </w:p>
        </w:tc>
        <w:tc>
          <w:tcPr>
            <w:tcW w:w="1559" w:type="dxa"/>
            <w:vAlign w:val="bottom"/>
          </w:tcPr>
          <w:p w14:paraId="0AD8131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5,6%</w:t>
            </w:r>
          </w:p>
        </w:tc>
        <w:tc>
          <w:tcPr>
            <w:tcW w:w="1418" w:type="dxa"/>
          </w:tcPr>
          <w:p w14:paraId="1E60F71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tcPr>
          <w:p w14:paraId="08F47E8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26A7ECD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7,8%</w:t>
            </w:r>
          </w:p>
        </w:tc>
      </w:tr>
      <w:tr w:rsidR="004D63F3" w14:paraId="4779BD33" w14:textId="77777777" w:rsidTr="004D63F3">
        <w:trPr>
          <w:trHeight w:val="248"/>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4A58295"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Cádiz</w:t>
            </w:r>
          </w:p>
        </w:tc>
        <w:tc>
          <w:tcPr>
            <w:tcW w:w="2126" w:type="dxa"/>
            <w:vAlign w:val="bottom"/>
          </w:tcPr>
          <w:p w14:paraId="0C8F7755"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Jerez de la Frontera</w:t>
            </w:r>
          </w:p>
        </w:tc>
        <w:tc>
          <w:tcPr>
            <w:tcW w:w="1559" w:type="dxa"/>
            <w:vAlign w:val="bottom"/>
          </w:tcPr>
          <w:p w14:paraId="76E1AC40"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5,1%</w:t>
            </w:r>
          </w:p>
        </w:tc>
        <w:tc>
          <w:tcPr>
            <w:tcW w:w="1418" w:type="dxa"/>
            <w:vAlign w:val="bottom"/>
          </w:tcPr>
          <w:p w14:paraId="4A9A122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5,9%</w:t>
            </w:r>
          </w:p>
        </w:tc>
        <w:tc>
          <w:tcPr>
            <w:tcW w:w="1417" w:type="dxa"/>
            <w:vAlign w:val="bottom"/>
          </w:tcPr>
          <w:p w14:paraId="13B83D2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7,2%</w:t>
            </w:r>
          </w:p>
        </w:tc>
        <w:tc>
          <w:tcPr>
            <w:tcW w:w="1426" w:type="dxa"/>
            <w:vAlign w:val="bottom"/>
          </w:tcPr>
          <w:p w14:paraId="1E0F2E8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7,6%</w:t>
            </w:r>
          </w:p>
        </w:tc>
      </w:tr>
      <w:tr w:rsidR="004D63F3" w14:paraId="6313B1AA" w14:textId="77777777" w:rsidTr="004D63F3">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45C2F89"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Badajoz</w:t>
            </w:r>
          </w:p>
        </w:tc>
        <w:tc>
          <w:tcPr>
            <w:tcW w:w="2126" w:type="dxa"/>
            <w:vAlign w:val="bottom"/>
          </w:tcPr>
          <w:p w14:paraId="7F9864B8"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Mérida</w:t>
            </w:r>
          </w:p>
        </w:tc>
        <w:tc>
          <w:tcPr>
            <w:tcW w:w="1559" w:type="dxa"/>
            <w:vAlign w:val="bottom"/>
          </w:tcPr>
          <w:p w14:paraId="145CF1C4"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4,6%</w:t>
            </w:r>
          </w:p>
        </w:tc>
        <w:tc>
          <w:tcPr>
            <w:tcW w:w="1418" w:type="dxa"/>
            <w:vAlign w:val="bottom"/>
          </w:tcPr>
          <w:p w14:paraId="4CB396B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5,6%</w:t>
            </w:r>
          </w:p>
        </w:tc>
        <w:tc>
          <w:tcPr>
            <w:tcW w:w="1417" w:type="dxa"/>
            <w:vAlign w:val="bottom"/>
          </w:tcPr>
          <w:p w14:paraId="20A8B767" w14:textId="77777777" w:rsidR="004D63F3" w:rsidRDefault="004D63F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p>
        </w:tc>
        <w:tc>
          <w:tcPr>
            <w:tcW w:w="1426" w:type="dxa"/>
            <w:vAlign w:val="bottom"/>
          </w:tcPr>
          <w:p w14:paraId="0390BF9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7,5%</w:t>
            </w:r>
          </w:p>
        </w:tc>
      </w:tr>
      <w:tr w:rsidR="004D63F3" w14:paraId="24203A78" w14:textId="77777777" w:rsidTr="004D63F3">
        <w:trPr>
          <w:trHeight w:val="248"/>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593B97A"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126" w:type="dxa"/>
            <w:vAlign w:val="bottom"/>
          </w:tcPr>
          <w:p w14:paraId="0F3F3452"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Alcoy / Alcoi</w:t>
            </w:r>
          </w:p>
        </w:tc>
        <w:tc>
          <w:tcPr>
            <w:tcW w:w="1559" w:type="dxa"/>
            <w:vAlign w:val="bottom"/>
          </w:tcPr>
          <w:p w14:paraId="06C6EDB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4,6%</w:t>
            </w:r>
          </w:p>
        </w:tc>
        <w:tc>
          <w:tcPr>
            <w:tcW w:w="1418" w:type="dxa"/>
            <w:vAlign w:val="bottom"/>
          </w:tcPr>
          <w:p w14:paraId="1899E9E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6,2%</w:t>
            </w:r>
          </w:p>
        </w:tc>
        <w:tc>
          <w:tcPr>
            <w:tcW w:w="1417" w:type="dxa"/>
            <w:vAlign w:val="bottom"/>
          </w:tcPr>
          <w:p w14:paraId="63AF491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6,7%</w:t>
            </w:r>
          </w:p>
        </w:tc>
        <w:tc>
          <w:tcPr>
            <w:tcW w:w="1426" w:type="dxa"/>
            <w:vAlign w:val="bottom"/>
          </w:tcPr>
          <w:p w14:paraId="5694C39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7,5%</w:t>
            </w:r>
          </w:p>
        </w:tc>
      </w:tr>
      <w:tr w:rsidR="004D63F3" w14:paraId="34B07324" w14:textId="77777777" w:rsidTr="004D63F3">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36FD36E"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Pontevedra</w:t>
            </w:r>
          </w:p>
        </w:tc>
        <w:tc>
          <w:tcPr>
            <w:tcW w:w="2126" w:type="dxa"/>
            <w:vAlign w:val="bottom"/>
          </w:tcPr>
          <w:p w14:paraId="740EE186"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Sanxenxo</w:t>
            </w:r>
          </w:p>
        </w:tc>
        <w:tc>
          <w:tcPr>
            <w:tcW w:w="1559" w:type="dxa"/>
            <w:vAlign w:val="bottom"/>
          </w:tcPr>
          <w:p w14:paraId="79EEC537" w14:textId="77777777" w:rsidR="004D63F3" w:rsidRDefault="004D63F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p>
        </w:tc>
        <w:tc>
          <w:tcPr>
            <w:tcW w:w="1418" w:type="dxa"/>
          </w:tcPr>
          <w:p w14:paraId="5810D2C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tcPr>
          <w:p w14:paraId="1873099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1044A66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7,4%</w:t>
            </w:r>
          </w:p>
        </w:tc>
      </w:tr>
      <w:tr w:rsidR="004D63F3" w14:paraId="113A1621" w14:textId="77777777" w:rsidTr="004D63F3">
        <w:trPr>
          <w:trHeight w:val="248"/>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03E0EF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Almería</w:t>
            </w:r>
          </w:p>
        </w:tc>
        <w:tc>
          <w:tcPr>
            <w:tcW w:w="2126" w:type="dxa"/>
            <w:vAlign w:val="bottom"/>
          </w:tcPr>
          <w:p w14:paraId="17D1AA66"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El Ejido</w:t>
            </w:r>
          </w:p>
        </w:tc>
        <w:tc>
          <w:tcPr>
            <w:tcW w:w="1559" w:type="dxa"/>
            <w:vAlign w:val="bottom"/>
          </w:tcPr>
          <w:p w14:paraId="6182BE3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4,0%</w:t>
            </w:r>
          </w:p>
        </w:tc>
        <w:tc>
          <w:tcPr>
            <w:tcW w:w="1418" w:type="dxa"/>
          </w:tcPr>
          <w:p w14:paraId="6FC8B99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tcPr>
          <w:p w14:paraId="0284E61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3F7BF38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7,4%</w:t>
            </w:r>
          </w:p>
        </w:tc>
      </w:tr>
      <w:tr w:rsidR="004D63F3" w14:paraId="0F95DC54" w14:textId="77777777" w:rsidTr="004D63F3">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C6FAE2D"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6379EB68"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L'Hospitalet de Llobregat</w:t>
            </w:r>
          </w:p>
        </w:tc>
        <w:tc>
          <w:tcPr>
            <w:tcW w:w="1559" w:type="dxa"/>
            <w:vAlign w:val="bottom"/>
          </w:tcPr>
          <w:p w14:paraId="5748E6B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5,8%</w:t>
            </w:r>
          </w:p>
        </w:tc>
        <w:tc>
          <w:tcPr>
            <w:tcW w:w="1418" w:type="dxa"/>
            <w:vAlign w:val="bottom"/>
          </w:tcPr>
          <w:p w14:paraId="22C911C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6,7%</w:t>
            </w:r>
          </w:p>
        </w:tc>
        <w:tc>
          <w:tcPr>
            <w:tcW w:w="1417" w:type="dxa"/>
            <w:vAlign w:val="bottom"/>
          </w:tcPr>
          <w:p w14:paraId="16BC5B8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6,5%</w:t>
            </w:r>
          </w:p>
        </w:tc>
        <w:tc>
          <w:tcPr>
            <w:tcW w:w="1426" w:type="dxa"/>
            <w:vAlign w:val="bottom"/>
          </w:tcPr>
          <w:p w14:paraId="530F5DF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7,4%</w:t>
            </w:r>
          </w:p>
        </w:tc>
      </w:tr>
      <w:tr w:rsidR="004D63F3" w14:paraId="3F32639D" w14:textId="77777777" w:rsidTr="004D63F3">
        <w:trPr>
          <w:trHeight w:val="248"/>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3322A15"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Tarragona</w:t>
            </w:r>
          </w:p>
        </w:tc>
        <w:tc>
          <w:tcPr>
            <w:tcW w:w="2126" w:type="dxa"/>
            <w:vAlign w:val="bottom"/>
          </w:tcPr>
          <w:p w14:paraId="36851782"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Reus</w:t>
            </w:r>
          </w:p>
        </w:tc>
        <w:tc>
          <w:tcPr>
            <w:tcW w:w="1559" w:type="dxa"/>
            <w:vAlign w:val="bottom"/>
          </w:tcPr>
          <w:p w14:paraId="2AE3B2B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5,0%</w:t>
            </w:r>
          </w:p>
        </w:tc>
        <w:tc>
          <w:tcPr>
            <w:tcW w:w="1418" w:type="dxa"/>
            <w:vAlign w:val="bottom"/>
          </w:tcPr>
          <w:p w14:paraId="7C4B005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6,1%</w:t>
            </w:r>
          </w:p>
        </w:tc>
        <w:tc>
          <w:tcPr>
            <w:tcW w:w="1417" w:type="dxa"/>
            <w:vAlign w:val="bottom"/>
          </w:tcPr>
          <w:p w14:paraId="645849B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6,7%</w:t>
            </w:r>
          </w:p>
        </w:tc>
        <w:tc>
          <w:tcPr>
            <w:tcW w:w="1426" w:type="dxa"/>
            <w:vAlign w:val="bottom"/>
          </w:tcPr>
          <w:p w14:paraId="2A0FE78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7,3%</w:t>
            </w:r>
          </w:p>
        </w:tc>
      </w:tr>
      <w:tr w:rsidR="004D63F3" w14:paraId="5C80F998" w14:textId="77777777" w:rsidTr="004D63F3">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B2446A5"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Valencia</w:t>
            </w:r>
          </w:p>
        </w:tc>
        <w:tc>
          <w:tcPr>
            <w:tcW w:w="2126" w:type="dxa"/>
            <w:vAlign w:val="bottom"/>
          </w:tcPr>
          <w:p w14:paraId="09B6DBCC"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Cullera</w:t>
            </w:r>
          </w:p>
        </w:tc>
        <w:tc>
          <w:tcPr>
            <w:tcW w:w="1559" w:type="dxa"/>
            <w:vAlign w:val="bottom"/>
          </w:tcPr>
          <w:p w14:paraId="471AC8E5" w14:textId="77777777" w:rsidR="004D63F3" w:rsidRDefault="004D63F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p>
        </w:tc>
        <w:tc>
          <w:tcPr>
            <w:tcW w:w="1418" w:type="dxa"/>
            <w:vAlign w:val="bottom"/>
          </w:tcPr>
          <w:p w14:paraId="6999E456" w14:textId="77777777" w:rsidR="004D63F3" w:rsidRDefault="004D63F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p>
        </w:tc>
        <w:tc>
          <w:tcPr>
            <w:tcW w:w="1417" w:type="dxa"/>
            <w:vAlign w:val="bottom"/>
          </w:tcPr>
          <w:p w14:paraId="4FD9ADB4" w14:textId="77777777" w:rsidR="004D63F3" w:rsidRDefault="004D63F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p>
        </w:tc>
        <w:tc>
          <w:tcPr>
            <w:tcW w:w="1426" w:type="dxa"/>
            <w:vAlign w:val="bottom"/>
          </w:tcPr>
          <w:p w14:paraId="6CE9B2E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7,3%</w:t>
            </w:r>
          </w:p>
        </w:tc>
      </w:tr>
      <w:tr w:rsidR="004D63F3" w14:paraId="0F3581D8" w14:textId="77777777" w:rsidTr="004D63F3">
        <w:trPr>
          <w:trHeight w:val="248"/>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5AF4268A"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637772AB"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Manresa</w:t>
            </w:r>
          </w:p>
        </w:tc>
        <w:tc>
          <w:tcPr>
            <w:tcW w:w="1559" w:type="dxa"/>
            <w:vAlign w:val="bottom"/>
          </w:tcPr>
          <w:p w14:paraId="7876F19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4,7%</w:t>
            </w:r>
          </w:p>
        </w:tc>
        <w:tc>
          <w:tcPr>
            <w:tcW w:w="1418" w:type="dxa"/>
            <w:vAlign w:val="bottom"/>
          </w:tcPr>
          <w:p w14:paraId="061F4E8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6,4%</w:t>
            </w:r>
          </w:p>
        </w:tc>
        <w:tc>
          <w:tcPr>
            <w:tcW w:w="1417" w:type="dxa"/>
            <w:vAlign w:val="bottom"/>
          </w:tcPr>
          <w:p w14:paraId="7A136F1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6,8%</w:t>
            </w:r>
          </w:p>
        </w:tc>
        <w:tc>
          <w:tcPr>
            <w:tcW w:w="1426" w:type="dxa"/>
            <w:vAlign w:val="bottom"/>
          </w:tcPr>
          <w:p w14:paraId="569AE44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7,3%</w:t>
            </w:r>
          </w:p>
        </w:tc>
      </w:tr>
      <w:tr w:rsidR="004D63F3" w14:paraId="6E0C113C" w14:textId="77777777" w:rsidTr="004D63F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12C2F877"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Lleida</w:t>
            </w:r>
          </w:p>
        </w:tc>
        <w:tc>
          <w:tcPr>
            <w:tcW w:w="2126" w:type="dxa"/>
            <w:vAlign w:val="bottom"/>
          </w:tcPr>
          <w:p w14:paraId="5CC29B29"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Lleida Capital</w:t>
            </w:r>
          </w:p>
        </w:tc>
        <w:tc>
          <w:tcPr>
            <w:tcW w:w="1559" w:type="dxa"/>
            <w:vAlign w:val="bottom"/>
          </w:tcPr>
          <w:p w14:paraId="30C75AF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418" w:type="dxa"/>
            <w:vAlign w:val="bottom"/>
          </w:tcPr>
          <w:p w14:paraId="6AFAC01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c>
          <w:tcPr>
            <w:tcW w:w="1417" w:type="dxa"/>
            <w:vAlign w:val="bottom"/>
          </w:tcPr>
          <w:p w14:paraId="30A7982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7,6%</w:t>
            </w:r>
          </w:p>
        </w:tc>
        <w:tc>
          <w:tcPr>
            <w:tcW w:w="1426" w:type="dxa"/>
            <w:vAlign w:val="bottom"/>
          </w:tcPr>
          <w:p w14:paraId="2884145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7,3%</w:t>
            </w:r>
          </w:p>
        </w:tc>
      </w:tr>
      <w:tr w:rsidR="004D63F3" w14:paraId="053BCB2F" w14:textId="77777777" w:rsidTr="004D63F3">
        <w:trPr>
          <w:trHeight w:val="383"/>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5FFE1245"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126" w:type="dxa"/>
            <w:vAlign w:val="bottom"/>
          </w:tcPr>
          <w:p w14:paraId="310FDB6D"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Elda</w:t>
            </w:r>
          </w:p>
        </w:tc>
        <w:tc>
          <w:tcPr>
            <w:tcW w:w="1559" w:type="dxa"/>
            <w:vAlign w:val="bottom"/>
          </w:tcPr>
          <w:p w14:paraId="4861AFD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8" w:type="dxa"/>
            <w:vAlign w:val="bottom"/>
          </w:tcPr>
          <w:p w14:paraId="66A3199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c>
          <w:tcPr>
            <w:tcW w:w="1417" w:type="dxa"/>
            <w:vAlign w:val="bottom"/>
          </w:tcPr>
          <w:p w14:paraId="1A191A2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500C5C3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7,3%</w:t>
            </w:r>
          </w:p>
        </w:tc>
      </w:tr>
      <w:tr w:rsidR="004D63F3" w14:paraId="67F0F8AB" w14:textId="77777777" w:rsidTr="004D63F3">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1EE8BEF"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Toledo</w:t>
            </w:r>
          </w:p>
        </w:tc>
        <w:tc>
          <w:tcPr>
            <w:tcW w:w="2126" w:type="dxa"/>
            <w:vAlign w:val="bottom"/>
          </w:tcPr>
          <w:p w14:paraId="177B4311"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Talavera de la Reina</w:t>
            </w:r>
          </w:p>
        </w:tc>
        <w:tc>
          <w:tcPr>
            <w:tcW w:w="1559" w:type="dxa"/>
            <w:vAlign w:val="bottom"/>
          </w:tcPr>
          <w:p w14:paraId="6EC8A49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1418" w:type="dxa"/>
            <w:vAlign w:val="bottom"/>
          </w:tcPr>
          <w:p w14:paraId="225EFE4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c>
          <w:tcPr>
            <w:tcW w:w="1417" w:type="dxa"/>
            <w:vAlign w:val="bottom"/>
          </w:tcPr>
          <w:p w14:paraId="314E10A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1AE1EA94"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7,2%</w:t>
            </w:r>
          </w:p>
        </w:tc>
      </w:tr>
      <w:tr w:rsidR="004D63F3" w14:paraId="0D9C8D65" w14:textId="77777777" w:rsidTr="004D63F3">
        <w:trPr>
          <w:trHeight w:val="276"/>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280AE36"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3DA80B49"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Cornellà de Llobregat</w:t>
            </w:r>
          </w:p>
        </w:tc>
        <w:tc>
          <w:tcPr>
            <w:tcW w:w="1559" w:type="dxa"/>
            <w:vAlign w:val="bottom"/>
          </w:tcPr>
          <w:p w14:paraId="72C5B5C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418" w:type="dxa"/>
          </w:tcPr>
          <w:p w14:paraId="25DC61D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12A29CB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0363255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7,2%</w:t>
            </w:r>
          </w:p>
        </w:tc>
      </w:tr>
      <w:tr w:rsidR="004D63F3" w14:paraId="75A21034" w14:textId="77777777" w:rsidTr="004D63F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9E908CC"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0C03614A"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Badalona</w:t>
            </w:r>
          </w:p>
        </w:tc>
        <w:tc>
          <w:tcPr>
            <w:tcW w:w="1559" w:type="dxa"/>
            <w:vAlign w:val="bottom"/>
          </w:tcPr>
          <w:p w14:paraId="78B80BE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418" w:type="dxa"/>
            <w:vAlign w:val="bottom"/>
          </w:tcPr>
          <w:p w14:paraId="47AE7E34"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6,5%</w:t>
            </w:r>
          </w:p>
        </w:tc>
        <w:tc>
          <w:tcPr>
            <w:tcW w:w="1417" w:type="dxa"/>
            <w:vAlign w:val="bottom"/>
          </w:tcPr>
          <w:p w14:paraId="0C2C7B84"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6,5%</w:t>
            </w:r>
          </w:p>
        </w:tc>
        <w:tc>
          <w:tcPr>
            <w:tcW w:w="1426" w:type="dxa"/>
            <w:vAlign w:val="bottom"/>
          </w:tcPr>
          <w:p w14:paraId="218B3CA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7,1%</w:t>
            </w:r>
          </w:p>
        </w:tc>
      </w:tr>
      <w:tr w:rsidR="004D63F3" w14:paraId="2B6204E2" w14:textId="77777777" w:rsidTr="004D63F3">
        <w:trPr>
          <w:trHeight w:val="228"/>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55496AC"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Santa Cruz de Tenerife</w:t>
            </w:r>
          </w:p>
        </w:tc>
        <w:tc>
          <w:tcPr>
            <w:tcW w:w="2126" w:type="dxa"/>
            <w:vAlign w:val="bottom"/>
          </w:tcPr>
          <w:p w14:paraId="79252105"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 Cristóbal de la Laguna</w:t>
            </w:r>
          </w:p>
        </w:tc>
        <w:tc>
          <w:tcPr>
            <w:tcW w:w="1559" w:type="dxa"/>
            <w:vAlign w:val="bottom"/>
          </w:tcPr>
          <w:p w14:paraId="2070A32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4,6%</w:t>
            </w:r>
          </w:p>
        </w:tc>
        <w:tc>
          <w:tcPr>
            <w:tcW w:w="1418" w:type="dxa"/>
          </w:tcPr>
          <w:p w14:paraId="1C30874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vAlign w:val="bottom"/>
          </w:tcPr>
          <w:p w14:paraId="0CC1B24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7,5%</w:t>
            </w:r>
          </w:p>
        </w:tc>
        <w:tc>
          <w:tcPr>
            <w:tcW w:w="1426" w:type="dxa"/>
            <w:vAlign w:val="bottom"/>
          </w:tcPr>
          <w:p w14:paraId="7DE0928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7,1%</w:t>
            </w:r>
          </w:p>
        </w:tc>
      </w:tr>
      <w:tr w:rsidR="004D63F3" w14:paraId="15450FA2" w14:textId="77777777" w:rsidTr="004D63F3">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A6222A6"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Ciudad Real</w:t>
            </w:r>
          </w:p>
        </w:tc>
        <w:tc>
          <w:tcPr>
            <w:tcW w:w="2126" w:type="dxa"/>
            <w:vAlign w:val="bottom"/>
          </w:tcPr>
          <w:p w14:paraId="51D81E42"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Alcázar de San Juan</w:t>
            </w:r>
          </w:p>
        </w:tc>
        <w:tc>
          <w:tcPr>
            <w:tcW w:w="1559" w:type="dxa"/>
            <w:vAlign w:val="bottom"/>
          </w:tcPr>
          <w:p w14:paraId="6B0DAFA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418" w:type="dxa"/>
          </w:tcPr>
          <w:p w14:paraId="0718862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vAlign w:val="bottom"/>
          </w:tcPr>
          <w:p w14:paraId="52DFD3B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6FC936B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7,1%</w:t>
            </w:r>
          </w:p>
        </w:tc>
      </w:tr>
      <w:tr w:rsidR="004D63F3" w14:paraId="7712379E" w14:textId="77777777" w:rsidTr="004D63F3">
        <w:trPr>
          <w:trHeight w:val="222"/>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157564CA"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Santa Cruz de Tenerife</w:t>
            </w:r>
          </w:p>
        </w:tc>
        <w:tc>
          <w:tcPr>
            <w:tcW w:w="2126" w:type="dxa"/>
            <w:vAlign w:val="bottom"/>
          </w:tcPr>
          <w:p w14:paraId="53A84FEE"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Santa Cruz de Tenerife Capital</w:t>
            </w:r>
          </w:p>
        </w:tc>
        <w:tc>
          <w:tcPr>
            <w:tcW w:w="1559" w:type="dxa"/>
            <w:vAlign w:val="bottom"/>
          </w:tcPr>
          <w:p w14:paraId="7B0F404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4,2%</w:t>
            </w:r>
          </w:p>
        </w:tc>
        <w:tc>
          <w:tcPr>
            <w:tcW w:w="1418" w:type="dxa"/>
            <w:vAlign w:val="bottom"/>
          </w:tcPr>
          <w:p w14:paraId="1322472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6,4%</w:t>
            </w:r>
          </w:p>
        </w:tc>
        <w:tc>
          <w:tcPr>
            <w:tcW w:w="1417" w:type="dxa"/>
            <w:vAlign w:val="bottom"/>
          </w:tcPr>
          <w:p w14:paraId="250F745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7,0%</w:t>
            </w:r>
          </w:p>
        </w:tc>
        <w:tc>
          <w:tcPr>
            <w:tcW w:w="1426" w:type="dxa"/>
            <w:vAlign w:val="bottom"/>
          </w:tcPr>
          <w:p w14:paraId="5CEFD02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7,1%</w:t>
            </w:r>
          </w:p>
        </w:tc>
      </w:tr>
      <w:tr w:rsidR="004D63F3" w14:paraId="67716F80" w14:textId="77777777" w:rsidTr="004D63F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10ECB079"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Castellón</w:t>
            </w:r>
          </w:p>
        </w:tc>
        <w:tc>
          <w:tcPr>
            <w:tcW w:w="2126" w:type="dxa"/>
            <w:vAlign w:val="bottom"/>
          </w:tcPr>
          <w:p w14:paraId="633AC009"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 xml:space="preserve">Oropesa del Mar / </w:t>
            </w:r>
            <w:proofErr w:type="spellStart"/>
            <w:r>
              <w:rPr>
                <w:rFonts w:ascii="Open Sans" w:eastAsia="Open Sans" w:hAnsi="Open Sans" w:cs="Open Sans"/>
                <w:color w:val="000000"/>
                <w:sz w:val="22"/>
                <w:szCs w:val="22"/>
              </w:rPr>
              <w:t>Orpesa</w:t>
            </w:r>
            <w:proofErr w:type="spellEnd"/>
          </w:p>
        </w:tc>
        <w:tc>
          <w:tcPr>
            <w:tcW w:w="1559" w:type="dxa"/>
            <w:vAlign w:val="bottom"/>
          </w:tcPr>
          <w:p w14:paraId="5FE60E4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c>
          <w:tcPr>
            <w:tcW w:w="1418" w:type="dxa"/>
          </w:tcPr>
          <w:p w14:paraId="17BFBBE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3198402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38E294C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7,0%</w:t>
            </w:r>
          </w:p>
        </w:tc>
      </w:tr>
      <w:tr w:rsidR="004D63F3" w14:paraId="2BA65500" w14:textId="77777777" w:rsidTr="004D63F3">
        <w:trPr>
          <w:trHeight w:val="276"/>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5CF74F8"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Tarragona</w:t>
            </w:r>
          </w:p>
        </w:tc>
        <w:tc>
          <w:tcPr>
            <w:tcW w:w="2126" w:type="dxa"/>
            <w:vAlign w:val="bottom"/>
          </w:tcPr>
          <w:p w14:paraId="02C6FE0D"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Tarragona Capital</w:t>
            </w:r>
          </w:p>
        </w:tc>
        <w:tc>
          <w:tcPr>
            <w:tcW w:w="1559" w:type="dxa"/>
            <w:vAlign w:val="bottom"/>
          </w:tcPr>
          <w:p w14:paraId="270CF5C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418" w:type="dxa"/>
            <w:vAlign w:val="bottom"/>
          </w:tcPr>
          <w:p w14:paraId="373E21A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c>
          <w:tcPr>
            <w:tcW w:w="1417" w:type="dxa"/>
            <w:vAlign w:val="bottom"/>
          </w:tcPr>
          <w:p w14:paraId="659DB0E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6,3%</w:t>
            </w:r>
          </w:p>
        </w:tc>
        <w:tc>
          <w:tcPr>
            <w:tcW w:w="1426" w:type="dxa"/>
            <w:vAlign w:val="bottom"/>
          </w:tcPr>
          <w:p w14:paraId="6D9942D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7,0%</w:t>
            </w:r>
          </w:p>
        </w:tc>
      </w:tr>
      <w:tr w:rsidR="004D63F3" w14:paraId="3E1ECE77" w14:textId="77777777" w:rsidTr="004D63F3">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717B6A5"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Córdoba</w:t>
            </w:r>
          </w:p>
        </w:tc>
        <w:tc>
          <w:tcPr>
            <w:tcW w:w="2126" w:type="dxa"/>
            <w:vAlign w:val="bottom"/>
          </w:tcPr>
          <w:p w14:paraId="53C6A305"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Lucena</w:t>
            </w:r>
          </w:p>
        </w:tc>
        <w:tc>
          <w:tcPr>
            <w:tcW w:w="1559" w:type="dxa"/>
          </w:tcPr>
          <w:p w14:paraId="0668D0C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8" w:type="dxa"/>
          </w:tcPr>
          <w:p w14:paraId="7E1F4E7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12113C9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3A4D2F5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7,0%</w:t>
            </w:r>
          </w:p>
        </w:tc>
      </w:tr>
      <w:tr w:rsidR="004D63F3" w14:paraId="7DFAFC10" w14:textId="77777777" w:rsidTr="004D63F3">
        <w:trPr>
          <w:trHeight w:val="30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EE3703D"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Jaén</w:t>
            </w:r>
          </w:p>
        </w:tc>
        <w:tc>
          <w:tcPr>
            <w:tcW w:w="2126" w:type="dxa"/>
            <w:vAlign w:val="bottom"/>
          </w:tcPr>
          <w:p w14:paraId="3655B92A"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Linares</w:t>
            </w:r>
          </w:p>
        </w:tc>
        <w:tc>
          <w:tcPr>
            <w:tcW w:w="1559" w:type="dxa"/>
          </w:tcPr>
          <w:p w14:paraId="11AD546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8" w:type="dxa"/>
            <w:vAlign w:val="bottom"/>
          </w:tcPr>
          <w:p w14:paraId="418BCC9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5,2%</w:t>
            </w:r>
          </w:p>
        </w:tc>
        <w:tc>
          <w:tcPr>
            <w:tcW w:w="1417" w:type="dxa"/>
            <w:vAlign w:val="bottom"/>
          </w:tcPr>
          <w:p w14:paraId="2B344FD0"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10E6B6A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7,0%</w:t>
            </w:r>
          </w:p>
        </w:tc>
      </w:tr>
      <w:tr w:rsidR="004D63F3" w14:paraId="36972612" w14:textId="77777777" w:rsidTr="004D63F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0A4DD43"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Las Palmas</w:t>
            </w:r>
          </w:p>
        </w:tc>
        <w:tc>
          <w:tcPr>
            <w:tcW w:w="2126" w:type="dxa"/>
            <w:vAlign w:val="bottom"/>
          </w:tcPr>
          <w:p w14:paraId="6FC91918"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Mogán</w:t>
            </w:r>
          </w:p>
        </w:tc>
        <w:tc>
          <w:tcPr>
            <w:tcW w:w="1559" w:type="dxa"/>
          </w:tcPr>
          <w:p w14:paraId="10D4B20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8" w:type="dxa"/>
          </w:tcPr>
          <w:p w14:paraId="4ABF217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2172D6E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4DAB1024"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6,9%</w:t>
            </w:r>
          </w:p>
        </w:tc>
      </w:tr>
      <w:tr w:rsidR="004D63F3" w14:paraId="245AA4ED" w14:textId="77777777" w:rsidTr="004D63F3">
        <w:trPr>
          <w:trHeight w:val="410"/>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5F9C5714"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lastRenderedPageBreak/>
              <w:t>A Coruña</w:t>
            </w:r>
          </w:p>
        </w:tc>
        <w:tc>
          <w:tcPr>
            <w:tcW w:w="2126" w:type="dxa"/>
            <w:vAlign w:val="bottom"/>
          </w:tcPr>
          <w:p w14:paraId="0BC5929B"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Ferrol</w:t>
            </w:r>
          </w:p>
        </w:tc>
        <w:tc>
          <w:tcPr>
            <w:tcW w:w="1559" w:type="dxa"/>
            <w:vAlign w:val="bottom"/>
          </w:tcPr>
          <w:p w14:paraId="3595ECD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1418" w:type="dxa"/>
            <w:vAlign w:val="bottom"/>
          </w:tcPr>
          <w:p w14:paraId="53ABFE9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5,3%</w:t>
            </w:r>
          </w:p>
        </w:tc>
        <w:tc>
          <w:tcPr>
            <w:tcW w:w="1417" w:type="dxa"/>
            <w:vAlign w:val="bottom"/>
          </w:tcPr>
          <w:p w14:paraId="08521AA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c>
          <w:tcPr>
            <w:tcW w:w="1426" w:type="dxa"/>
            <w:vAlign w:val="bottom"/>
          </w:tcPr>
          <w:p w14:paraId="50D55CE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6,9%</w:t>
            </w:r>
          </w:p>
        </w:tc>
      </w:tr>
      <w:tr w:rsidR="004D63F3" w14:paraId="700CBE7C" w14:textId="77777777" w:rsidTr="004D63F3">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475CDBF"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Valencia</w:t>
            </w:r>
          </w:p>
        </w:tc>
        <w:tc>
          <w:tcPr>
            <w:tcW w:w="2126" w:type="dxa"/>
            <w:vAlign w:val="bottom"/>
          </w:tcPr>
          <w:p w14:paraId="7662F452"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Paterna</w:t>
            </w:r>
          </w:p>
        </w:tc>
        <w:tc>
          <w:tcPr>
            <w:tcW w:w="1559" w:type="dxa"/>
            <w:vAlign w:val="bottom"/>
          </w:tcPr>
          <w:p w14:paraId="4D43E91F" w14:textId="77777777" w:rsidR="004D63F3" w:rsidRDefault="004D63F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
        </w:tc>
        <w:tc>
          <w:tcPr>
            <w:tcW w:w="1418" w:type="dxa"/>
            <w:vAlign w:val="bottom"/>
          </w:tcPr>
          <w:p w14:paraId="4153238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6,4%</w:t>
            </w:r>
          </w:p>
        </w:tc>
        <w:tc>
          <w:tcPr>
            <w:tcW w:w="1417" w:type="dxa"/>
            <w:vAlign w:val="bottom"/>
          </w:tcPr>
          <w:p w14:paraId="2D85CC27" w14:textId="77777777" w:rsidR="004D63F3" w:rsidRDefault="004D63F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
        </w:tc>
        <w:tc>
          <w:tcPr>
            <w:tcW w:w="1426" w:type="dxa"/>
            <w:vAlign w:val="bottom"/>
          </w:tcPr>
          <w:p w14:paraId="00F5C82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6,9%</w:t>
            </w:r>
          </w:p>
        </w:tc>
      </w:tr>
      <w:tr w:rsidR="004D63F3" w14:paraId="34C18D74" w14:textId="77777777" w:rsidTr="004D63F3">
        <w:trPr>
          <w:trHeight w:val="252"/>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3F482FA"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Murcia</w:t>
            </w:r>
          </w:p>
        </w:tc>
        <w:tc>
          <w:tcPr>
            <w:tcW w:w="2126" w:type="dxa"/>
            <w:vAlign w:val="bottom"/>
          </w:tcPr>
          <w:p w14:paraId="46516D70"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Murcia Capital</w:t>
            </w:r>
          </w:p>
        </w:tc>
        <w:tc>
          <w:tcPr>
            <w:tcW w:w="1559" w:type="dxa"/>
            <w:vAlign w:val="bottom"/>
          </w:tcPr>
          <w:p w14:paraId="3CE0398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4,1%</w:t>
            </w:r>
          </w:p>
        </w:tc>
        <w:tc>
          <w:tcPr>
            <w:tcW w:w="1418" w:type="dxa"/>
            <w:vAlign w:val="bottom"/>
          </w:tcPr>
          <w:p w14:paraId="010ADF3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c>
          <w:tcPr>
            <w:tcW w:w="1417" w:type="dxa"/>
            <w:vAlign w:val="bottom"/>
          </w:tcPr>
          <w:p w14:paraId="1921C9D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6,5%</w:t>
            </w:r>
          </w:p>
        </w:tc>
        <w:tc>
          <w:tcPr>
            <w:tcW w:w="1426" w:type="dxa"/>
            <w:vAlign w:val="bottom"/>
          </w:tcPr>
          <w:p w14:paraId="404867C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6,9%</w:t>
            </w:r>
          </w:p>
        </w:tc>
      </w:tr>
      <w:tr w:rsidR="004D63F3" w14:paraId="4CADA5EC" w14:textId="77777777" w:rsidTr="004D63F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05C62A0"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Almería</w:t>
            </w:r>
          </w:p>
        </w:tc>
        <w:tc>
          <w:tcPr>
            <w:tcW w:w="2126" w:type="dxa"/>
            <w:vAlign w:val="bottom"/>
          </w:tcPr>
          <w:p w14:paraId="7340528A"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Roquetas de Mar</w:t>
            </w:r>
          </w:p>
        </w:tc>
        <w:tc>
          <w:tcPr>
            <w:tcW w:w="1559" w:type="dxa"/>
            <w:vAlign w:val="bottom"/>
          </w:tcPr>
          <w:p w14:paraId="05AB5DB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4,2%</w:t>
            </w:r>
          </w:p>
        </w:tc>
        <w:tc>
          <w:tcPr>
            <w:tcW w:w="1418" w:type="dxa"/>
            <w:vAlign w:val="bottom"/>
          </w:tcPr>
          <w:p w14:paraId="1A37E93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5,3%</w:t>
            </w:r>
          </w:p>
        </w:tc>
        <w:tc>
          <w:tcPr>
            <w:tcW w:w="1417" w:type="dxa"/>
            <w:vAlign w:val="bottom"/>
          </w:tcPr>
          <w:p w14:paraId="6DFA966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7,5%</w:t>
            </w:r>
          </w:p>
        </w:tc>
        <w:tc>
          <w:tcPr>
            <w:tcW w:w="1426" w:type="dxa"/>
            <w:vAlign w:val="bottom"/>
          </w:tcPr>
          <w:p w14:paraId="4167F84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6,9%</w:t>
            </w:r>
          </w:p>
        </w:tc>
      </w:tr>
      <w:tr w:rsidR="004D63F3" w14:paraId="2DCA2441" w14:textId="77777777" w:rsidTr="004D63F3">
        <w:trPr>
          <w:trHeight w:val="32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CC3238E"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Ciudad Real</w:t>
            </w:r>
          </w:p>
        </w:tc>
        <w:tc>
          <w:tcPr>
            <w:tcW w:w="2126" w:type="dxa"/>
            <w:vAlign w:val="bottom"/>
          </w:tcPr>
          <w:p w14:paraId="2537C9BE"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Puertollano</w:t>
            </w:r>
          </w:p>
        </w:tc>
        <w:tc>
          <w:tcPr>
            <w:tcW w:w="1559" w:type="dxa"/>
            <w:vAlign w:val="bottom"/>
          </w:tcPr>
          <w:p w14:paraId="6843389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8" w:type="dxa"/>
            <w:vAlign w:val="bottom"/>
          </w:tcPr>
          <w:p w14:paraId="75DFE0E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c>
          <w:tcPr>
            <w:tcW w:w="1417" w:type="dxa"/>
            <w:vAlign w:val="bottom"/>
          </w:tcPr>
          <w:p w14:paraId="28C335F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63FAF65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6,8%</w:t>
            </w:r>
          </w:p>
        </w:tc>
      </w:tr>
      <w:tr w:rsidR="004D63F3" w14:paraId="3C0147DD" w14:textId="77777777" w:rsidTr="004D63F3">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EDD9C9E"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Ávila</w:t>
            </w:r>
          </w:p>
        </w:tc>
        <w:tc>
          <w:tcPr>
            <w:tcW w:w="2126" w:type="dxa"/>
            <w:vAlign w:val="bottom"/>
          </w:tcPr>
          <w:p w14:paraId="56CE2C6B"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Ávila Capital</w:t>
            </w:r>
          </w:p>
        </w:tc>
        <w:tc>
          <w:tcPr>
            <w:tcW w:w="1559" w:type="dxa"/>
            <w:vAlign w:val="bottom"/>
          </w:tcPr>
          <w:p w14:paraId="3E8AE89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4,1%</w:t>
            </w:r>
          </w:p>
        </w:tc>
        <w:tc>
          <w:tcPr>
            <w:tcW w:w="1418" w:type="dxa"/>
            <w:vAlign w:val="bottom"/>
          </w:tcPr>
          <w:p w14:paraId="720A2CB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417" w:type="dxa"/>
            <w:vAlign w:val="bottom"/>
          </w:tcPr>
          <w:p w14:paraId="0B62615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c>
          <w:tcPr>
            <w:tcW w:w="1426" w:type="dxa"/>
            <w:vAlign w:val="bottom"/>
          </w:tcPr>
          <w:p w14:paraId="583D1FF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6,8%</w:t>
            </w:r>
          </w:p>
        </w:tc>
      </w:tr>
      <w:tr w:rsidR="004D63F3" w14:paraId="0350F956" w14:textId="77777777" w:rsidTr="004D63F3">
        <w:trPr>
          <w:trHeight w:val="242"/>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182EB50A"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52E40C9C"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Rubí</w:t>
            </w:r>
          </w:p>
        </w:tc>
        <w:tc>
          <w:tcPr>
            <w:tcW w:w="1559" w:type="dxa"/>
            <w:vAlign w:val="bottom"/>
          </w:tcPr>
          <w:p w14:paraId="11C49D8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418" w:type="dxa"/>
          </w:tcPr>
          <w:p w14:paraId="3EDD251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44E5527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2C98F73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6,8%</w:t>
            </w:r>
          </w:p>
        </w:tc>
      </w:tr>
      <w:tr w:rsidR="004D63F3" w14:paraId="43FBBF64" w14:textId="77777777" w:rsidTr="004D63F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547A117D"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 Coruña</w:t>
            </w:r>
          </w:p>
        </w:tc>
        <w:tc>
          <w:tcPr>
            <w:tcW w:w="2126" w:type="dxa"/>
            <w:vAlign w:val="bottom"/>
          </w:tcPr>
          <w:p w14:paraId="69FDB98F"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Narón</w:t>
            </w:r>
          </w:p>
        </w:tc>
        <w:tc>
          <w:tcPr>
            <w:tcW w:w="1559" w:type="dxa"/>
          </w:tcPr>
          <w:p w14:paraId="45C488E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8" w:type="dxa"/>
            <w:vAlign w:val="bottom"/>
          </w:tcPr>
          <w:p w14:paraId="1FC5CE1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417" w:type="dxa"/>
          </w:tcPr>
          <w:p w14:paraId="0280ABC4"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1D4A3C6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6,8%</w:t>
            </w:r>
          </w:p>
        </w:tc>
      </w:tr>
      <w:tr w:rsidR="004D63F3" w14:paraId="00E39F84" w14:textId="77777777" w:rsidTr="004D63F3">
        <w:trPr>
          <w:trHeight w:val="31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BEA41DC"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Badajoz</w:t>
            </w:r>
          </w:p>
        </w:tc>
        <w:tc>
          <w:tcPr>
            <w:tcW w:w="2126" w:type="dxa"/>
            <w:vAlign w:val="bottom"/>
          </w:tcPr>
          <w:p w14:paraId="54ED694A"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Don Benito</w:t>
            </w:r>
          </w:p>
        </w:tc>
        <w:tc>
          <w:tcPr>
            <w:tcW w:w="1559" w:type="dxa"/>
          </w:tcPr>
          <w:p w14:paraId="32ED29F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8" w:type="dxa"/>
          </w:tcPr>
          <w:p w14:paraId="4F6F48F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7B4EDE9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1BBEC6F7"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6,8%</w:t>
            </w:r>
          </w:p>
        </w:tc>
      </w:tr>
      <w:tr w:rsidR="004D63F3" w14:paraId="7191770D" w14:textId="77777777" w:rsidTr="004D63F3">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76B3DC1"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Granada</w:t>
            </w:r>
          </w:p>
        </w:tc>
        <w:tc>
          <w:tcPr>
            <w:tcW w:w="2126" w:type="dxa"/>
            <w:vAlign w:val="bottom"/>
          </w:tcPr>
          <w:p w14:paraId="282CF4CD"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Motril</w:t>
            </w:r>
          </w:p>
        </w:tc>
        <w:tc>
          <w:tcPr>
            <w:tcW w:w="1559" w:type="dxa"/>
            <w:vAlign w:val="bottom"/>
          </w:tcPr>
          <w:p w14:paraId="5FB819B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3,9%</w:t>
            </w:r>
          </w:p>
        </w:tc>
        <w:tc>
          <w:tcPr>
            <w:tcW w:w="1418" w:type="dxa"/>
          </w:tcPr>
          <w:p w14:paraId="34BE5E2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062E3F7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37451DB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6,7%</w:t>
            </w:r>
          </w:p>
        </w:tc>
      </w:tr>
      <w:tr w:rsidR="004D63F3" w14:paraId="18ABED4B" w14:textId="77777777" w:rsidTr="004D63F3">
        <w:trPr>
          <w:trHeight w:val="272"/>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49126CE"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126" w:type="dxa"/>
            <w:vAlign w:val="bottom"/>
          </w:tcPr>
          <w:p w14:paraId="7F8A9B0D"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Alicante / Alacant</w:t>
            </w:r>
          </w:p>
        </w:tc>
        <w:tc>
          <w:tcPr>
            <w:tcW w:w="1559" w:type="dxa"/>
            <w:vAlign w:val="bottom"/>
          </w:tcPr>
          <w:p w14:paraId="036B496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4,2%</w:t>
            </w:r>
          </w:p>
        </w:tc>
        <w:tc>
          <w:tcPr>
            <w:tcW w:w="1418" w:type="dxa"/>
            <w:vAlign w:val="bottom"/>
          </w:tcPr>
          <w:p w14:paraId="45EC65E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6,4%</w:t>
            </w:r>
          </w:p>
        </w:tc>
        <w:tc>
          <w:tcPr>
            <w:tcW w:w="1417" w:type="dxa"/>
            <w:vAlign w:val="bottom"/>
          </w:tcPr>
          <w:p w14:paraId="190E85E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c>
          <w:tcPr>
            <w:tcW w:w="1426" w:type="dxa"/>
            <w:vAlign w:val="bottom"/>
          </w:tcPr>
          <w:p w14:paraId="5D336B6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6,7%</w:t>
            </w:r>
          </w:p>
        </w:tc>
      </w:tr>
      <w:tr w:rsidR="004D63F3" w14:paraId="724B5556" w14:textId="77777777" w:rsidTr="004D63F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16BB036E"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Sevilla</w:t>
            </w:r>
          </w:p>
        </w:tc>
        <w:tc>
          <w:tcPr>
            <w:tcW w:w="2126" w:type="dxa"/>
            <w:vAlign w:val="bottom"/>
          </w:tcPr>
          <w:p w14:paraId="1F7F5ABF"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Dos Hermanas</w:t>
            </w:r>
          </w:p>
        </w:tc>
        <w:tc>
          <w:tcPr>
            <w:tcW w:w="1559" w:type="dxa"/>
            <w:vAlign w:val="bottom"/>
          </w:tcPr>
          <w:p w14:paraId="73C9054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5,2%</w:t>
            </w:r>
          </w:p>
        </w:tc>
        <w:tc>
          <w:tcPr>
            <w:tcW w:w="1418" w:type="dxa"/>
            <w:vAlign w:val="bottom"/>
          </w:tcPr>
          <w:p w14:paraId="01DDA32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c>
          <w:tcPr>
            <w:tcW w:w="1417" w:type="dxa"/>
          </w:tcPr>
          <w:p w14:paraId="2ECA02B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16D7DD2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6,7%</w:t>
            </w:r>
          </w:p>
        </w:tc>
      </w:tr>
      <w:tr w:rsidR="004D63F3" w14:paraId="6DEB9262" w14:textId="77777777" w:rsidTr="004D63F3">
        <w:trPr>
          <w:trHeight w:val="256"/>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F15CB56"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León</w:t>
            </w:r>
          </w:p>
        </w:tc>
        <w:tc>
          <w:tcPr>
            <w:tcW w:w="2126" w:type="dxa"/>
            <w:vAlign w:val="bottom"/>
          </w:tcPr>
          <w:p w14:paraId="12268F44"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Ponferrada</w:t>
            </w:r>
          </w:p>
        </w:tc>
        <w:tc>
          <w:tcPr>
            <w:tcW w:w="1559" w:type="dxa"/>
            <w:vAlign w:val="bottom"/>
          </w:tcPr>
          <w:p w14:paraId="6C52E23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4,3%</w:t>
            </w:r>
          </w:p>
        </w:tc>
        <w:tc>
          <w:tcPr>
            <w:tcW w:w="1418" w:type="dxa"/>
            <w:vAlign w:val="bottom"/>
          </w:tcPr>
          <w:p w14:paraId="42BC5E5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417" w:type="dxa"/>
          </w:tcPr>
          <w:p w14:paraId="4F7D43F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13A64D2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6,7%</w:t>
            </w:r>
          </w:p>
        </w:tc>
      </w:tr>
      <w:tr w:rsidR="004D63F3" w14:paraId="541A520D" w14:textId="77777777" w:rsidTr="004D63F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15BAE0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353099F6"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 xml:space="preserve">Sant Adrià de </w:t>
            </w:r>
            <w:proofErr w:type="spellStart"/>
            <w:r>
              <w:rPr>
                <w:rFonts w:ascii="Open Sans" w:eastAsia="Open Sans" w:hAnsi="Open Sans" w:cs="Open Sans"/>
                <w:color w:val="000000"/>
                <w:sz w:val="22"/>
                <w:szCs w:val="22"/>
              </w:rPr>
              <w:t>Besòs</w:t>
            </w:r>
            <w:proofErr w:type="spellEnd"/>
          </w:p>
        </w:tc>
        <w:tc>
          <w:tcPr>
            <w:tcW w:w="1559" w:type="dxa"/>
          </w:tcPr>
          <w:p w14:paraId="248F548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8" w:type="dxa"/>
          </w:tcPr>
          <w:p w14:paraId="29AA7C1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0C66A98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5981655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6,7%</w:t>
            </w:r>
          </w:p>
        </w:tc>
      </w:tr>
      <w:tr w:rsidR="004D63F3" w14:paraId="18C0F6AC" w14:textId="77777777" w:rsidTr="004D63F3">
        <w:trPr>
          <w:trHeight w:val="50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10CA93C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126" w:type="dxa"/>
            <w:vAlign w:val="bottom"/>
          </w:tcPr>
          <w:p w14:paraId="469488C5"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Elche / Elx</w:t>
            </w:r>
          </w:p>
        </w:tc>
        <w:tc>
          <w:tcPr>
            <w:tcW w:w="1559" w:type="dxa"/>
            <w:vAlign w:val="bottom"/>
          </w:tcPr>
          <w:p w14:paraId="4B4FC5F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4,5%</w:t>
            </w:r>
          </w:p>
        </w:tc>
        <w:tc>
          <w:tcPr>
            <w:tcW w:w="1418" w:type="dxa"/>
            <w:vAlign w:val="bottom"/>
          </w:tcPr>
          <w:p w14:paraId="4E6B14E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c>
          <w:tcPr>
            <w:tcW w:w="1417" w:type="dxa"/>
            <w:vAlign w:val="bottom"/>
          </w:tcPr>
          <w:p w14:paraId="7D0E099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c>
          <w:tcPr>
            <w:tcW w:w="1426" w:type="dxa"/>
            <w:vAlign w:val="bottom"/>
          </w:tcPr>
          <w:p w14:paraId="1E936CC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6,7%</w:t>
            </w:r>
          </w:p>
        </w:tc>
      </w:tr>
      <w:tr w:rsidR="004D63F3" w14:paraId="3C8D2B2B" w14:textId="77777777" w:rsidTr="004D63F3">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DC3D8EF"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126" w:type="dxa"/>
            <w:vAlign w:val="bottom"/>
          </w:tcPr>
          <w:p w14:paraId="1D66285C"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Santa Pola</w:t>
            </w:r>
          </w:p>
        </w:tc>
        <w:tc>
          <w:tcPr>
            <w:tcW w:w="1559" w:type="dxa"/>
            <w:vAlign w:val="bottom"/>
          </w:tcPr>
          <w:p w14:paraId="73271B9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5,2%</w:t>
            </w:r>
          </w:p>
        </w:tc>
        <w:tc>
          <w:tcPr>
            <w:tcW w:w="1418" w:type="dxa"/>
            <w:vAlign w:val="bottom"/>
          </w:tcPr>
          <w:p w14:paraId="3E5AB60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vAlign w:val="bottom"/>
          </w:tcPr>
          <w:p w14:paraId="3906886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5,3%</w:t>
            </w:r>
          </w:p>
        </w:tc>
        <w:tc>
          <w:tcPr>
            <w:tcW w:w="1426" w:type="dxa"/>
            <w:vAlign w:val="bottom"/>
          </w:tcPr>
          <w:p w14:paraId="4AABD16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6,7%</w:t>
            </w:r>
          </w:p>
        </w:tc>
      </w:tr>
      <w:tr w:rsidR="004D63F3" w14:paraId="33340634" w14:textId="77777777" w:rsidTr="004D63F3">
        <w:trPr>
          <w:trHeight w:val="307"/>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EBDE6C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Valencia</w:t>
            </w:r>
          </w:p>
        </w:tc>
        <w:tc>
          <w:tcPr>
            <w:tcW w:w="2126" w:type="dxa"/>
            <w:vAlign w:val="bottom"/>
          </w:tcPr>
          <w:p w14:paraId="264BA8E1"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 xml:space="preserve">Canet </w:t>
            </w:r>
            <w:proofErr w:type="spellStart"/>
            <w:r>
              <w:rPr>
                <w:rFonts w:ascii="Open Sans" w:eastAsia="Open Sans" w:hAnsi="Open Sans" w:cs="Open Sans"/>
                <w:color w:val="000000"/>
                <w:sz w:val="22"/>
                <w:szCs w:val="22"/>
              </w:rPr>
              <w:t>d'En</w:t>
            </w:r>
            <w:proofErr w:type="spellEnd"/>
            <w:r>
              <w:rPr>
                <w:rFonts w:ascii="Open Sans" w:eastAsia="Open Sans" w:hAnsi="Open Sans" w:cs="Open Sans"/>
                <w:color w:val="000000"/>
                <w:sz w:val="22"/>
                <w:szCs w:val="22"/>
              </w:rPr>
              <w:t xml:space="preserve"> Berenguer</w:t>
            </w:r>
          </w:p>
        </w:tc>
        <w:tc>
          <w:tcPr>
            <w:tcW w:w="1559" w:type="dxa"/>
          </w:tcPr>
          <w:p w14:paraId="3F9A7CE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8" w:type="dxa"/>
          </w:tcPr>
          <w:p w14:paraId="24B5A5F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67ACF9F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71FDDDD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6,6%</w:t>
            </w:r>
          </w:p>
        </w:tc>
      </w:tr>
      <w:tr w:rsidR="004D63F3" w14:paraId="3BD9DBE6" w14:textId="77777777" w:rsidTr="004D63F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DDEB9DA"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Valencia</w:t>
            </w:r>
          </w:p>
        </w:tc>
        <w:tc>
          <w:tcPr>
            <w:tcW w:w="2126" w:type="dxa"/>
            <w:vAlign w:val="bottom"/>
          </w:tcPr>
          <w:p w14:paraId="148CCC8B"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Valencia Capital</w:t>
            </w:r>
          </w:p>
        </w:tc>
        <w:tc>
          <w:tcPr>
            <w:tcW w:w="1559" w:type="dxa"/>
            <w:vAlign w:val="bottom"/>
          </w:tcPr>
          <w:p w14:paraId="788FBD2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4,2%</w:t>
            </w:r>
          </w:p>
        </w:tc>
        <w:tc>
          <w:tcPr>
            <w:tcW w:w="1418" w:type="dxa"/>
            <w:vAlign w:val="bottom"/>
          </w:tcPr>
          <w:p w14:paraId="3D582DA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c>
          <w:tcPr>
            <w:tcW w:w="1417" w:type="dxa"/>
            <w:vAlign w:val="bottom"/>
          </w:tcPr>
          <w:p w14:paraId="7ADD1BC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c>
          <w:tcPr>
            <w:tcW w:w="1426" w:type="dxa"/>
            <w:vAlign w:val="bottom"/>
          </w:tcPr>
          <w:p w14:paraId="0F7FFB5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6,6%</w:t>
            </w:r>
          </w:p>
        </w:tc>
      </w:tr>
      <w:tr w:rsidR="004D63F3" w14:paraId="14F11EBE" w14:textId="77777777" w:rsidTr="004D63F3">
        <w:trPr>
          <w:trHeight w:val="323"/>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FD5CF3D"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Almería</w:t>
            </w:r>
          </w:p>
        </w:tc>
        <w:tc>
          <w:tcPr>
            <w:tcW w:w="2126" w:type="dxa"/>
            <w:vAlign w:val="bottom"/>
          </w:tcPr>
          <w:p w14:paraId="387C11FB"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Almería Capital</w:t>
            </w:r>
          </w:p>
        </w:tc>
        <w:tc>
          <w:tcPr>
            <w:tcW w:w="1559" w:type="dxa"/>
            <w:vAlign w:val="bottom"/>
          </w:tcPr>
          <w:p w14:paraId="0ACA9437"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3,9%</w:t>
            </w:r>
          </w:p>
        </w:tc>
        <w:tc>
          <w:tcPr>
            <w:tcW w:w="1418" w:type="dxa"/>
            <w:vAlign w:val="bottom"/>
          </w:tcPr>
          <w:p w14:paraId="18A4C72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c>
          <w:tcPr>
            <w:tcW w:w="1417" w:type="dxa"/>
            <w:vAlign w:val="bottom"/>
          </w:tcPr>
          <w:p w14:paraId="04787CA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6,6%</w:t>
            </w:r>
          </w:p>
        </w:tc>
        <w:tc>
          <w:tcPr>
            <w:tcW w:w="1426" w:type="dxa"/>
            <w:vAlign w:val="bottom"/>
          </w:tcPr>
          <w:p w14:paraId="1D5304F0"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6,6%</w:t>
            </w:r>
          </w:p>
        </w:tc>
      </w:tr>
      <w:tr w:rsidR="004D63F3" w14:paraId="537263B4" w14:textId="77777777" w:rsidTr="004D63F3">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135114E"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Sevilla</w:t>
            </w:r>
          </w:p>
        </w:tc>
        <w:tc>
          <w:tcPr>
            <w:tcW w:w="2126" w:type="dxa"/>
            <w:vAlign w:val="bottom"/>
          </w:tcPr>
          <w:p w14:paraId="6BE58C3D"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Alcalá de Guadaira</w:t>
            </w:r>
          </w:p>
        </w:tc>
        <w:tc>
          <w:tcPr>
            <w:tcW w:w="1559" w:type="dxa"/>
            <w:vAlign w:val="bottom"/>
          </w:tcPr>
          <w:p w14:paraId="6041F51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418" w:type="dxa"/>
          </w:tcPr>
          <w:p w14:paraId="5D65A07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1EC9FF4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4652040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6,6%</w:t>
            </w:r>
          </w:p>
        </w:tc>
      </w:tr>
      <w:tr w:rsidR="004D63F3" w14:paraId="4FF3B627" w14:textId="77777777" w:rsidTr="004D63F3">
        <w:trPr>
          <w:trHeight w:val="28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667C954"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126" w:type="dxa"/>
            <w:vAlign w:val="bottom"/>
          </w:tcPr>
          <w:p w14:paraId="36A38CA9"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El Campello</w:t>
            </w:r>
          </w:p>
        </w:tc>
        <w:tc>
          <w:tcPr>
            <w:tcW w:w="1559" w:type="dxa"/>
            <w:vAlign w:val="bottom"/>
          </w:tcPr>
          <w:p w14:paraId="3B57ED8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3,9%</w:t>
            </w:r>
          </w:p>
        </w:tc>
        <w:tc>
          <w:tcPr>
            <w:tcW w:w="1418" w:type="dxa"/>
            <w:vAlign w:val="bottom"/>
          </w:tcPr>
          <w:p w14:paraId="373F8452" w14:textId="77777777" w:rsidR="004D63F3" w:rsidRDefault="004D63F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p>
        </w:tc>
        <w:tc>
          <w:tcPr>
            <w:tcW w:w="1417" w:type="dxa"/>
            <w:vAlign w:val="bottom"/>
          </w:tcPr>
          <w:p w14:paraId="1AC40D7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c>
          <w:tcPr>
            <w:tcW w:w="1426" w:type="dxa"/>
            <w:vAlign w:val="bottom"/>
          </w:tcPr>
          <w:p w14:paraId="6E445EB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6,5%</w:t>
            </w:r>
          </w:p>
        </w:tc>
      </w:tr>
      <w:tr w:rsidR="004D63F3" w14:paraId="31E095CA" w14:textId="77777777" w:rsidTr="004D63F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539FDE3E"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Murcia</w:t>
            </w:r>
          </w:p>
        </w:tc>
        <w:tc>
          <w:tcPr>
            <w:tcW w:w="2126" w:type="dxa"/>
            <w:vAlign w:val="bottom"/>
          </w:tcPr>
          <w:p w14:paraId="371DD5D4"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Cartagena</w:t>
            </w:r>
          </w:p>
        </w:tc>
        <w:tc>
          <w:tcPr>
            <w:tcW w:w="1559" w:type="dxa"/>
            <w:vAlign w:val="bottom"/>
          </w:tcPr>
          <w:p w14:paraId="0EA0EFA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4,5%</w:t>
            </w:r>
          </w:p>
        </w:tc>
        <w:tc>
          <w:tcPr>
            <w:tcW w:w="1418" w:type="dxa"/>
            <w:vAlign w:val="bottom"/>
          </w:tcPr>
          <w:p w14:paraId="4F17622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c>
          <w:tcPr>
            <w:tcW w:w="1417" w:type="dxa"/>
            <w:vAlign w:val="bottom"/>
          </w:tcPr>
          <w:p w14:paraId="4F1DC67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6,9%</w:t>
            </w:r>
          </w:p>
        </w:tc>
        <w:tc>
          <w:tcPr>
            <w:tcW w:w="1426" w:type="dxa"/>
            <w:vAlign w:val="bottom"/>
          </w:tcPr>
          <w:p w14:paraId="4452A714"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6,5%</w:t>
            </w:r>
          </w:p>
        </w:tc>
      </w:tr>
      <w:tr w:rsidR="004D63F3" w14:paraId="35280BBF" w14:textId="77777777" w:rsidTr="004D63F3">
        <w:trPr>
          <w:trHeight w:val="367"/>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FDF32F6"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Castellón</w:t>
            </w:r>
          </w:p>
        </w:tc>
        <w:tc>
          <w:tcPr>
            <w:tcW w:w="2126" w:type="dxa"/>
            <w:vAlign w:val="bottom"/>
          </w:tcPr>
          <w:p w14:paraId="00B2D346"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Castellón de la Plana / Castelló de la Plana</w:t>
            </w:r>
          </w:p>
        </w:tc>
        <w:tc>
          <w:tcPr>
            <w:tcW w:w="1559" w:type="dxa"/>
            <w:vAlign w:val="bottom"/>
          </w:tcPr>
          <w:p w14:paraId="675FD7F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4,1%</w:t>
            </w:r>
          </w:p>
        </w:tc>
        <w:tc>
          <w:tcPr>
            <w:tcW w:w="1418" w:type="dxa"/>
            <w:vAlign w:val="bottom"/>
          </w:tcPr>
          <w:p w14:paraId="62ED90D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c>
          <w:tcPr>
            <w:tcW w:w="1417" w:type="dxa"/>
            <w:vAlign w:val="bottom"/>
          </w:tcPr>
          <w:p w14:paraId="4ED9CF6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c>
          <w:tcPr>
            <w:tcW w:w="1426" w:type="dxa"/>
            <w:vAlign w:val="bottom"/>
          </w:tcPr>
          <w:p w14:paraId="14F5CF8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6,5%</w:t>
            </w:r>
          </w:p>
        </w:tc>
      </w:tr>
      <w:tr w:rsidR="004D63F3" w14:paraId="6A678602" w14:textId="77777777" w:rsidTr="004D63F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5C5768B7"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20591584"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Igualada</w:t>
            </w:r>
          </w:p>
        </w:tc>
        <w:tc>
          <w:tcPr>
            <w:tcW w:w="1559" w:type="dxa"/>
            <w:vAlign w:val="bottom"/>
          </w:tcPr>
          <w:p w14:paraId="149B250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418" w:type="dxa"/>
            <w:vAlign w:val="bottom"/>
          </w:tcPr>
          <w:p w14:paraId="1EE90AC3" w14:textId="77777777" w:rsidR="004D63F3" w:rsidRDefault="004D63F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
        </w:tc>
        <w:tc>
          <w:tcPr>
            <w:tcW w:w="1417" w:type="dxa"/>
            <w:vAlign w:val="bottom"/>
          </w:tcPr>
          <w:p w14:paraId="6D4EA6AA" w14:textId="77777777" w:rsidR="004D63F3" w:rsidRDefault="004D63F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
        </w:tc>
        <w:tc>
          <w:tcPr>
            <w:tcW w:w="1426" w:type="dxa"/>
            <w:vAlign w:val="bottom"/>
          </w:tcPr>
          <w:p w14:paraId="7D5CC11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6,5%</w:t>
            </w:r>
          </w:p>
        </w:tc>
      </w:tr>
      <w:tr w:rsidR="004D63F3" w14:paraId="6166CDAE" w14:textId="77777777" w:rsidTr="004D63F3">
        <w:trPr>
          <w:trHeight w:val="32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08CFD07"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5BD3CA83"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Sabadell</w:t>
            </w:r>
          </w:p>
        </w:tc>
        <w:tc>
          <w:tcPr>
            <w:tcW w:w="1559" w:type="dxa"/>
            <w:vAlign w:val="bottom"/>
          </w:tcPr>
          <w:p w14:paraId="670CDCA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418" w:type="dxa"/>
            <w:vAlign w:val="bottom"/>
          </w:tcPr>
          <w:p w14:paraId="737AD7E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6,3%</w:t>
            </w:r>
          </w:p>
        </w:tc>
        <w:tc>
          <w:tcPr>
            <w:tcW w:w="1417" w:type="dxa"/>
            <w:vAlign w:val="bottom"/>
          </w:tcPr>
          <w:p w14:paraId="4ABA7B5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c>
          <w:tcPr>
            <w:tcW w:w="1426" w:type="dxa"/>
            <w:vAlign w:val="bottom"/>
          </w:tcPr>
          <w:p w14:paraId="6F1A5CC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6,5%</w:t>
            </w:r>
          </w:p>
        </w:tc>
      </w:tr>
      <w:tr w:rsidR="004D63F3" w14:paraId="4349D72F" w14:textId="77777777" w:rsidTr="004D63F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FED88D1"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Cádiz</w:t>
            </w:r>
          </w:p>
        </w:tc>
        <w:tc>
          <w:tcPr>
            <w:tcW w:w="2126" w:type="dxa"/>
            <w:vAlign w:val="bottom"/>
          </w:tcPr>
          <w:p w14:paraId="16A69664"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 Fernando</w:t>
            </w:r>
          </w:p>
        </w:tc>
        <w:tc>
          <w:tcPr>
            <w:tcW w:w="1559" w:type="dxa"/>
            <w:vAlign w:val="bottom"/>
          </w:tcPr>
          <w:p w14:paraId="0FE4335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c>
          <w:tcPr>
            <w:tcW w:w="1418" w:type="dxa"/>
            <w:vAlign w:val="bottom"/>
          </w:tcPr>
          <w:p w14:paraId="4092BFF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c>
          <w:tcPr>
            <w:tcW w:w="1417" w:type="dxa"/>
          </w:tcPr>
          <w:p w14:paraId="58DA358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46443FA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6,5%</w:t>
            </w:r>
          </w:p>
        </w:tc>
      </w:tr>
      <w:tr w:rsidR="004D63F3" w14:paraId="31CB0C01" w14:textId="77777777" w:rsidTr="004D63F3">
        <w:trPr>
          <w:trHeight w:val="350"/>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2D0FBCC"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126" w:type="dxa"/>
            <w:vAlign w:val="bottom"/>
          </w:tcPr>
          <w:p w14:paraId="26586CCB"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Ronda</w:t>
            </w:r>
          </w:p>
        </w:tc>
        <w:tc>
          <w:tcPr>
            <w:tcW w:w="1559" w:type="dxa"/>
          </w:tcPr>
          <w:p w14:paraId="29527D9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8" w:type="dxa"/>
          </w:tcPr>
          <w:p w14:paraId="5CA9E70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7D1095B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004D553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6,5%</w:t>
            </w:r>
          </w:p>
        </w:tc>
      </w:tr>
      <w:tr w:rsidR="004D63F3" w14:paraId="79C43EB9" w14:textId="77777777" w:rsidTr="004D63F3">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559840D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Toledo</w:t>
            </w:r>
          </w:p>
        </w:tc>
        <w:tc>
          <w:tcPr>
            <w:tcW w:w="2126" w:type="dxa"/>
            <w:vAlign w:val="bottom"/>
          </w:tcPr>
          <w:p w14:paraId="4CFCE627"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Toledo Capital</w:t>
            </w:r>
          </w:p>
        </w:tc>
        <w:tc>
          <w:tcPr>
            <w:tcW w:w="1559" w:type="dxa"/>
            <w:vAlign w:val="bottom"/>
          </w:tcPr>
          <w:p w14:paraId="1D1642C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4,1%</w:t>
            </w:r>
          </w:p>
        </w:tc>
        <w:tc>
          <w:tcPr>
            <w:tcW w:w="1418" w:type="dxa"/>
            <w:vAlign w:val="bottom"/>
          </w:tcPr>
          <w:p w14:paraId="7A0CB99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c>
          <w:tcPr>
            <w:tcW w:w="1417" w:type="dxa"/>
            <w:vAlign w:val="bottom"/>
          </w:tcPr>
          <w:p w14:paraId="5539966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c>
          <w:tcPr>
            <w:tcW w:w="1426" w:type="dxa"/>
            <w:vAlign w:val="bottom"/>
          </w:tcPr>
          <w:p w14:paraId="1D4BA34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6,5%</w:t>
            </w:r>
          </w:p>
        </w:tc>
      </w:tr>
      <w:tr w:rsidR="004D63F3" w14:paraId="2F9D1741" w14:textId="77777777" w:rsidTr="004D63F3">
        <w:trPr>
          <w:trHeight w:val="285"/>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8A72E2C"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126" w:type="dxa"/>
            <w:vAlign w:val="bottom"/>
          </w:tcPr>
          <w:p w14:paraId="40A34EA3"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Torrejón de Ardoz</w:t>
            </w:r>
          </w:p>
        </w:tc>
        <w:tc>
          <w:tcPr>
            <w:tcW w:w="1559" w:type="dxa"/>
            <w:vAlign w:val="bottom"/>
          </w:tcPr>
          <w:p w14:paraId="540C986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418" w:type="dxa"/>
          </w:tcPr>
          <w:p w14:paraId="023FBBC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vAlign w:val="bottom"/>
          </w:tcPr>
          <w:p w14:paraId="62138DA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c>
          <w:tcPr>
            <w:tcW w:w="1426" w:type="dxa"/>
            <w:vAlign w:val="bottom"/>
          </w:tcPr>
          <w:p w14:paraId="232DD04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6,4%</w:t>
            </w:r>
          </w:p>
        </w:tc>
      </w:tr>
      <w:tr w:rsidR="004D63F3" w14:paraId="1903DE1A" w14:textId="77777777" w:rsidTr="004D63F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891E710"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Cantabria</w:t>
            </w:r>
          </w:p>
        </w:tc>
        <w:tc>
          <w:tcPr>
            <w:tcW w:w="2126" w:type="dxa"/>
            <w:vAlign w:val="bottom"/>
          </w:tcPr>
          <w:p w14:paraId="505A3178"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Noja</w:t>
            </w:r>
          </w:p>
        </w:tc>
        <w:tc>
          <w:tcPr>
            <w:tcW w:w="1559" w:type="dxa"/>
            <w:vAlign w:val="bottom"/>
          </w:tcPr>
          <w:p w14:paraId="2F28AE9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8" w:type="dxa"/>
          </w:tcPr>
          <w:p w14:paraId="46BDF90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vAlign w:val="bottom"/>
          </w:tcPr>
          <w:p w14:paraId="01080B5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2CA6E09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6,4%</w:t>
            </w:r>
          </w:p>
        </w:tc>
      </w:tr>
      <w:tr w:rsidR="004D63F3" w14:paraId="09ECF2EE"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46C3C1C"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074AEA42"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Terrassa</w:t>
            </w:r>
          </w:p>
        </w:tc>
        <w:tc>
          <w:tcPr>
            <w:tcW w:w="1559" w:type="dxa"/>
            <w:vAlign w:val="bottom"/>
          </w:tcPr>
          <w:p w14:paraId="6009AD4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5,3%</w:t>
            </w:r>
          </w:p>
        </w:tc>
        <w:tc>
          <w:tcPr>
            <w:tcW w:w="1418" w:type="dxa"/>
            <w:vAlign w:val="bottom"/>
          </w:tcPr>
          <w:p w14:paraId="6E4A868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c>
          <w:tcPr>
            <w:tcW w:w="1417" w:type="dxa"/>
            <w:vAlign w:val="bottom"/>
          </w:tcPr>
          <w:p w14:paraId="3C1849F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c>
          <w:tcPr>
            <w:tcW w:w="1426" w:type="dxa"/>
            <w:vAlign w:val="bottom"/>
          </w:tcPr>
          <w:p w14:paraId="0ADAE0C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6,4%</w:t>
            </w:r>
          </w:p>
        </w:tc>
      </w:tr>
      <w:tr w:rsidR="004D63F3" w14:paraId="3DB3E5FE"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2304B62"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126" w:type="dxa"/>
            <w:vAlign w:val="bottom"/>
          </w:tcPr>
          <w:p w14:paraId="71C8CDE8"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Alcalá de Henares</w:t>
            </w:r>
          </w:p>
        </w:tc>
        <w:tc>
          <w:tcPr>
            <w:tcW w:w="1559" w:type="dxa"/>
            <w:vAlign w:val="bottom"/>
          </w:tcPr>
          <w:p w14:paraId="3F903F4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418" w:type="dxa"/>
            <w:vAlign w:val="bottom"/>
          </w:tcPr>
          <w:p w14:paraId="1BD88CB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c>
          <w:tcPr>
            <w:tcW w:w="1417" w:type="dxa"/>
            <w:vAlign w:val="bottom"/>
          </w:tcPr>
          <w:p w14:paraId="5D9A2C7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c>
          <w:tcPr>
            <w:tcW w:w="1426" w:type="dxa"/>
            <w:vAlign w:val="bottom"/>
          </w:tcPr>
          <w:p w14:paraId="7EA93DC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6,4%</w:t>
            </w:r>
          </w:p>
        </w:tc>
      </w:tr>
      <w:tr w:rsidR="004D63F3" w14:paraId="643D22E4"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98B0DED"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Castellón</w:t>
            </w:r>
          </w:p>
        </w:tc>
        <w:tc>
          <w:tcPr>
            <w:tcW w:w="2126" w:type="dxa"/>
            <w:vAlign w:val="bottom"/>
          </w:tcPr>
          <w:p w14:paraId="26A20FF8"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Vinaròs</w:t>
            </w:r>
          </w:p>
        </w:tc>
        <w:tc>
          <w:tcPr>
            <w:tcW w:w="1559" w:type="dxa"/>
          </w:tcPr>
          <w:p w14:paraId="324B72E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8" w:type="dxa"/>
          </w:tcPr>
          <w:p w14:paraId="1383477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2E5A0B6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4F755B5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6,3%</w:t>
            </w:r>
          </w:p>
        </w:tc>
      </w:tr>
      <w:tr w:rsidR="004D63F3" w14:paraId="7C3929C3"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18707752"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Las Palmas</w:t>
            </w:r>
          </w:p>
        </w:tc>
        <w:tc>
          <w:tcPr>
            <w:tcW w:w="2126" w:type="dxa"/>
            <w:vAlign w:val="bottom"/>
          </w:tcPr>
          <w:p w14:paraId="2D9E4D3F"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Las Palmas de Gran Canaria</w:t>
            </w:r>
          </w:p>
        </w:tc>
        <w:tc>
          <w:tcPr>
            <w:tcW w:w="1559" w:type="dxa"/>
            <w:vAlign w:val="bottom"/>
          </w:tcPr>
          <w:p w14:paraId="2D06362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4,6%</w:t>
            </w:r>
          </w:p>
        </w:tc>
        <w:tc>
          <w:tcPr>
            <w:tcW w:w="1418" w:type="dxa"/>
            <w:vAlign w:val="bottom"/>
          </w:tcPr>
          <w:p w14:paraId="6258BFA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6,8%</w:t>
            </w:r>
          </w:p>
        </w:tc>
        <w:tc>
          <w:tcPr>
            <w:tcW w:w="1417" w:type="dxa"/>
            <w:vAlign w:val="bottom"/>
          </w:tcPr>
          <w:p w14:paraId="01BD2DB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c>
          <w:tcPr>
            <w:tcW w:w="1426" w:type="dxa"/>
            <w:vAlign w:val="bottom"/>
          </w:tcPr>
          <w:p w14:paraId="518F298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6,3%</w:t>
            </w:r>
          </w:p>
        </w:tc>
      </w:tr>
      <w:tr w:rsidR="004D63F3" w14:paraId="38BC7C3A"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8040923"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Tarragona</w:t>
            </w:r>
          </w:p>
        </w:tc>
        <w:tc>
          <w:tcPr>
            <w:tcW w:w="2126" w:type="dxa"/>
            <w:vAlign w:val="bottom"/>
          </w:tcPr>
          <w:p w14:paraId="0DDF61C1"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Salou</w:t>
            </w:r>
          </w:p>
        </w:tc>
        <w:tc>
          <w:tcPr>
            <w:tcW w:w="1559" w:type="dxa"/>
            <w:vAlign w:val="bottom"/>
          </w:tcPr>
          <w:p w14:paraId="4DB5DB0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4,3%</w:t>
            </w:r>
          </w:p>
        </w:tc>
        <w:tc>
          <w:tcPr>
            <w:tcW w:w="1418" w:type="dxa"/>
            <w:vAlign w:val="bottom"/>
          </w:tcPr>
          <w:p w14:paraId="54A0013E" w14:textId="77777777" w:rsidR="004D63F3" w:rsidRDefault="004D63F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p>
        </w:tc>
        <w:tc>
          <w:tcPr>
            <w:tcW w:w="1417" w:type="dxa"/>
            <w:vAlign w:val="bottom"/>
          </w:tcPr>
          <w:p w14:paraId="195C8ABB" w14:textId="77777777" w:rsidR="004D63F3" w:rsidRDefault="004D63F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p>
        </w:tc>
        <w:tc>
          <w:tcPr>
            <w:tcW w:w="1426" w:type="dxa"/>
            <w:vAlign w:val="bottom"/>
          </w:tcPr>
          <w:p w14:paraId="0E42EE4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6,3%</w:t>
            </w:r>
          </w:p>
        </w:tc>
      </w:tr>
      <w:tr w:rsidR="004D63F3" w14:paraId="492A8E83"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1F693C3"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Segovia</w:t>
            </w:r>
          </w:p>
        </w:tc>
        <w:tc>
          <w:tcPr>
            <w:tcW w:w="2126" w:type="dxa"/>
            <w:vAlign w:val="bottom"/>
          </w:tcPr>
          <w:p w14:paraId="5B8F7FBF"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Segovia Capital</w:t>
            </w:r>
          </w:p>
        </w:tc>
        <w:tc>
          <w:tcPr>
            <w:tcW w:w="1559" w:type="dxa"/>
            <w:vAlign w:val="bottom"/>
          </w:tcPr>
          <w:p w14:paraId="2B24AF6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1418" w:type="dxa"/>
            <w:vAlign w:val="bottom"/>
          </w:tcPr>
          <w:p w14:paraId="396A0DA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c>
          <w:tcPr>
            <w:tcW w:w="1417" w:type="dxa"/>
            <w:vAlign w:val="bottom"/>
          </w:tcPr>
          <w:p w14:paraId="3499EC6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c>
          <w:tcPr>
            <w:tcW w:w="1426" w:type="dxa"/>
            <w:vAlign w:val="bottom"/>
          </w:tcPr>
          <w:p w14:paraId="100FCCA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6,3%</w:t>
            </w:r>
          </w:p>
        </w:tc>
      </w:tr>
      <w:tr w:rsidR="004D63F3" w14:paraId="7DC17E13"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0AA16C1"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lastRenderedPageBreak/>
              <w:t>Barcelona</w:t>
            </w:r>
          </w:p>
        </w:tc>
        <w:tc>
          <w:tcPr>
            <w:tcW w:w="2126" w:type="dxa"/>
            <w:vAlign w:val="bottom"/>
          </w:tcPr>
          <w:p w14:paraId="18379174"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Granollers</w:t>
            </w:r>
          </w:p>
        </w:tc>
        <w:tc>
          <w:tcPr>
            <w:tcW w:w="1559" w:type="dxa"/>
            <w:vAlign w:val="bottom"/>
          </w:tcPr>
          <w:p w14:paraId="26D3D07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4,3%</w:t>
            </w:r>
          </w:p>
        </w:tc>
        <w:tc>
          <w:tcPr>
            <w:tcW w:w="1418" w:type="dxa"/>
          </w:tcPr>
          <w:p w14:paraId="26F1CCA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2544C2D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59F3EC6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r>
      <w:tr w:rsidR="004D63F3" w14:paraId="319E5E5E"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30EA614"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Cádiz</w:t>
            </w:r>
          </w:p>
        </w:tc>
        <w:tc>
          <w:tcPr>
            <w:tcW w:w="2126" w:type="dxa"/>
            <w:vAlign w:val="bottom"/>
          </w:tcPr>
          <w:p w14:paraId="6405F474"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El Puerto de Santa María</w:t>
            </w:r>
          </w:p>
        </w:tc>
        <w:tc>
          <w:tcPr>
            <w:tcW w:w="1559" w:type="dxa"/>
            <w:vAlign w:val="bottom"/>
          </w:tcPr>
          <w:p w14:paraId="537FDFE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418" w:type="dxa"/>
            <w:vAlign w:val="bottom"/>
          </w:tcPr>
          <w:p w14:paraId="6BBDA8F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c>
          <w:tcPr>
            <w:tcW w:w="1417" w:type="dxa"/>
            <w:vAlign w:val="bottom"/>
          </w:tcPr>
          <w:p w14:paraId="6608C65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6,4%</w:t>
            </w:r>
          </w:p>
        </w:tc>
        <w:tc>
          <w:tcPr>
            <w:tcW w:w="1426" w:type="dxa"/>
            <w:vAlign w:val="bottom"/>
          </w:tcPr>
          <w:p w14:paraId="79AE5FC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r>
      <w:tr w:rsidR="004D63F3" w14:paraId="06A50596"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39711C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Cádiz</w:t>
            </w:r>
          </w:p>
        </w:tc>
        <w:tc>
          <w:tcPr>
            <w:tcW w:w="2126" w:type="dxa"/>
            <w:vAlign w:val="bottom"/>
          </w:tcPr>
          <w:p w14:paraId="759263D2"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Sanlúcar de Barrameda</w:t>
            </w:r>
          </w:p>
        </w:tc>
        <w:tc>
          <w:tcPr>
            <w:tcW w:w="1559" w:type="dxa"/>
            <w:vAlign w:val="bottom"/>
          </w:tcPr>
          <w:p w14:paraId="0C0C6FA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c>
          <w:tcPr>
            <w:tcW w:w="1418" w:type="dxa"/>
          </w:tcPr>
          <w:p w14:paraId="5423C64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7B79D07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0B3EE35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r>
      <w:tr w:rsidR="004D63F3" w14:paraId="482F9320"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3D3F1B6"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Jaén</w:t>
            </w:r>
          </w:p>
        </w:tc>
        <w:tc>
          <w:tcPr>
            <w:tcW w:w="2126" w:type="dxa"/>
            <w:vAlign w:val="bottom"/>
          </w:tcPr>
          <w:p w14:paraId="74EC78A7"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Jaén Capital</w:t>
            </w:r>
          </w:p>
        </w:tc>
        <w:tc>
          <w:tcPr>
            <w:tcW w:w="1559" w:type="dxa"/>
            <w:vAlign w:val="bottom"/>
          </w:tcPr>
          <w:p w14:paraId="2EDD9EF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4,2%</w:t>
            </w:r>
          </w:p>
        </w:tc>
        <w:tc>
          <w:tcPr>
            <w:tcW w:w="1418" w:type="dxa"/>
            <w:vAlign w:val="bottom"/>
          </w:tcPr>
          <w:p w14:paraId="0727828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417" w:type="dxa"/>
            <w:vAlign w:val="bottom"/>
          </w:tcPr>
          <w:p w14:paraId="11C856D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c>
          <w:tcPr>
            <w:tcW w:w="1426" w:type="dxa"/>
            <w:vAlign w:val="bottom"/>
          </w:tcPr>
          <w:p w14:paraId="4DB8DE2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r>
      <w:tr w:rsidR="004D63F3" w14:paraId="0C4AF80D"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42C105C"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126" w:type="dxa"/>
            <w:vAlign w:val="bottom"/>
          </w:tcPr>
          <w:p w14:paraId="097C7C2E"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Alcorcón</w:t>
            </w:r>
          </w:p>
        </w:tc>
        <w:tc>
          <w:tcPr>
            <w:tcW w:w="1559" w:type="dxa"/>
            <w:vAlign w:val="bottom"/>
          </w:tcPr>
          <w:p w14:paraId="07B4B3A0"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5,2%</w:t>
            </w:r>
          </w:p>
        </w:tc>
        <w:tc>
          <w:tcPr>
            <w:tcW w:w="1418" w:type="dxa"/>
            <w:vAlign w:val="bottom"/>
          </w:tcPr>
          <w:p w14:paraId="3A5BBC7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c>
          <w:tcPr>
            <w:tcW w:w="1417" w:type="dxa"/>
            <w:vAlign w:val="bottom"/>
          </w:tcPr>
          <w:p w14:paraId="6C5A1C0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5,6%</w:t>
            </w:r>
          </w:p>
        </w:tc>
        <w:tc>
          <w:tcPr>
            <w:tcW w:w="1426" w:type="dxa"/>
            <w:vAlign w:val="bottom"/>
          </w:tcPr>
          <w:p w14:paraId="57F27A4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r>
      <w:tr w:rsidR="004D63F3" w14:paraId="4293D162"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31ACBE9"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126" w:type="dxa"/>
            <w:vAlign w:val="bottom"/>
          </w:tcPr>
          <w:p w14:paraId="260D8489"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Valdemoro</w:t>
            </w:r>
          </w:p>
        </w:tc>
        <w:tc>
          <w:tcPr>
            <w:tcW w:w="1559" w:type="dxa"/>
            <w:vAlign w:val="bottom"/>
          </w:tcPr>
          <w:p w14:paraId="6FA23BE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418" w:type="dxa"/>
            <w:vAlign w:val="bottom"/>
          </w:tcPr>
          <w:p w14:paraId="3DE11FB4" w14:textId="77777777" w:rsidR="004D63F3" w:rsidRDefault="004D63F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
        </w:tc>
        <w:tc>
          <w:tcPr>
            <w:tcW w:w="1417" w:type="dxa"/>
            <w:vAlign w:val="bottom"/>
          </w:tcPr>
          <w:p w14:paraId="008A0FF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6,3%</w:t>
            </w:r>
          </w:p>
        </w:tc>
        <w:tc>
          <w:tcPr>
            <w:tcW w:w="1426" w:type="dxa"/>
            <w:vAlign w:val="bottom"/>
          </w:tcPr>
          <w:p w14:paraId="4B9231F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6,2%</w:t>
            </w:r>
          </w:p>
        </w:tc>
      </w:tr>
      <w:tr w:rsidR="004D63F3" w14:paraId="01416F7C"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BD47D2F"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126" w:type="dxa"/>
            <w:vAlign w:val="bottom"/>
          </w:tcPr>
          <w:p w14:paraId="61D35315"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Móstoles</w:t>
            </w:r>
          </w:p>
        </w:tc>
        <w:tc>
          <w:tcPr>
            <w:tcW w:w="1559" w:type="dxa"/>
            <w:vAlign w:val="bottom"/>
          </w:tcPr>
          <w:p w14:paraId="032732C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c>
          <w:tcPr>
            <w:tcW w:w="1418" w:type="dxa"/>
            <w:vAlign w:val="bottom"/>
          </w:tcPr>
          <w:p w14:paraId="11D3060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c>
          <w:tcPr>
            <w:tcW w:w="1417" w:type="dxa"/>
            <w:vAlign w:val="bottom"/>
          </w:tcPr>
          <w:p w14:paraId="679C2F2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c>
          <w:tcPr>
            <w:tcW w:w="1426" w:type="dxa"/>
            <w:vAlign w:val="bottom"/>
          </w:tcPr>
          <w:p w14:paraId="6DCA343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r>
      <w:tr w:rsidR="004D63F3" w14:paraId="1AA9AE6D"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65E8B57"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126" w:type="dxa"/>
            <w:vAlign w:val="bottom"/>
          </w:tcPr>
          <w:p w14:paraId="3414514A"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Getafe</w:t>
            </w:r>
          </w:p>
        </w:tc>
        <w:tc>
          <w:tcPr>
            <w:tcW w:w="1559" w:type="dxa"/>
            <w:vAlign w:val="bottom"/>
          </w:tcPr>
          <w:p w14:paraId="0A7F4A2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418" w:type="dxa"/>
            <w:vAlign w:val="bottom"/>
          </w:tcPr>
          <w:p w14:paraId="504D15A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c>
          <w:tcPr>
            <w:tcW w:w="1417" w:type="dxa"/>
            <w:vAlign w:val="bottom"/>
          </w:tcPr>
          <w:p w14:paraId="3843C2A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c>
          <w:tcPr>
            <w:tcW w:w="1426" w:type="dxa"/>
            <w:vAlign w:val="bottom"/>
          </w:tcPr>
          <w:p w14:paraId="1A8FD34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r>
      <w:tr w:rsidR="004D63F3" w14:paraId="11463611"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A955EB1"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4F5E9700"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Mataró</w:t>
            </w:r>
          </w:p>
        </w:tc>
        <w:tc>
          <w:tcPr>
            <w:tcW w:w="1559" w:type="dxa"/>
            <w:vAlign w:val="bottom"/>
          </w:tcPr>
          <w:p w14:paraId="7AD3A7A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418" w:type="dxa"/>
            <w:vAlign w:val="bottom"/>
          </w:tcPr>
          <w:p w14:paraId="24D3848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c>
          <w:tcPr>
            <w:tcW w:w="1417" w:type="dxa"/>
            <w:vAlign w:val="bottom"/>
          </w:tcPr>
          <w:p w14:paraId="6190781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7E5B57D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r>
      <w:tr w:rsidR="004D63F3" w14:paraId="0EE678A6"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D94E4FE"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126" w:type="dxa"/>
            <w:vAlign w:val="bottom"/>
          </w:tcPr>
          <w:p w14:paraId="6421D4AA"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Mijas</w:t>
            </w:r>
          </w:p>
        </w:tc>
        <w:tc>
          <w:tcPr>
            <w:tcW w:w="1559" w:type="dxa"/>
            <w:vAlign w:val="bottom"/>
          </w:tcPr>
          <w:p w14:paraId="00E8694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4,5%</w:t>
            </w:r>
          </w:p>
        </w:tc>
        <w:tc>
          <w:tcPr>
            <w:tcW w:w="1418" w:type="dxa"/>
            <w:vAlign w:val="bottom"/>
          </w:tcPr>
          <w:p w14:paraId="6F1BBBB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c>
          <w:tcPr>
            <w:tcW w:w="1417" w:type="dxa"/>
            <w:vAlign w:val="bottom"/>
          </w:tcPr>
          <w:p w14:paraId="15FDE734"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426" w:type="dxa"/>
            <w:vAlign w:val="bottom"/>
          </w:tcPr>
          <w:p w14:paraId="489B750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r>
      <w:tr w:rsidR="004D63F3" w14:paraId="1845B135"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AAF349F"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Granada</w:t>
            </w:r>
          </w:p>
        </w:tc>
        <w:tc>
          <w:tcPr>
            <w:tcW w:w="2126" w:type="dxa"/>
            <w:vAlign w:val="bottom"/>
          </w:tcPr>
          <w:p w14:paraId="6E829A11"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Armilla</w:t>
            </w:r>
          </w:p>
        </w:tc>
        <w:tc>
          <w:tcPr>
            <w:tcW w:w="1559" w:type="dxa"/>
            <w:vAlign w:val="bottom"/>
          </w:tcPr>
          <w:p w14:paraId="235D640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4,3%</w:t>
            </w:r>
          </w:p>
        </w:tc>
        <w:tc>
          <w:tcPr>
            <w:tcW w:w="1418" w:type="dxa"/>
          </w:tcPr>
          <w:p w14:paraId="50D24E8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vAlign w:val="bottom"/>
          </w:tcPr>
          <w:p w14:paraId="2F1AAA6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2D079E0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r>
      <w:tr w:rsidR="004D63F3" w14:paraId="3076C3B3"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4AC091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126" w:type="dxa"/>
            <w:vAlign w:val="bottom"/>
          </w:tcPr>
          <w:p w14:paraId="16E63C42"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Benidorm</w:t>
            </w:r>
          </w:p>
        </w:tc>
        <w:tc>
          <w:tcPr>
            <w:tcW w:w="1559" w:type="dxa"/>
            <w:vAlign w:val="bottom"/>
          </w:tcPr>
          <w:p w14:paraId="19A2759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418" w:type="dxa"/>
          </w:tcPr>
          <w:p w14:paraId="0885CB8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vAlign w:val="bottom"/>
          </w:tcPr>
          <w:p w14:paraId="0FDD607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426" w:type="dxa"/>
            <w:vAlign w:val="bottom"/>
          </w:tcPr>
          <w:p w14:paraId="3ACB9DF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r>
      <w:tr w:rsidR="004D63F3" w14:paraId="4338EDE5"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573E76C1"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Valencia</w:t>
            </w:r>
          </w:p>
        </w:tc>
        <w:tc>
          <w:tcPr>
            <w:tcW w:w="2126" w:type="dxa"/>
            <w:vAlign w:val="bottom"/>
          </w:tcPr>
          <w:p w14:paraId="125EA3F5"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Alboraya</w:t>
            </w:r>
          </w:p>
        </w:tc>
        <w:tc>
          <w:tcPr>
            <w:tcW w:w="1559" w:type="dxa"/>
            <w:vAlign w:val="bottom"/>
          </w:tcPr>
          <w:p w14:paraId="53C49950"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1418" w:type="dxa"/>
          </w:tcPr>
          <w:p w14:paraId="383A6B7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34390F5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0C0F54E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r>
      <w:tr w:rsidR="004D63F3" w14:paraId="27F9BB8C"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A0B4B12"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126" w:type="dxa"/>
            <w:vAlign w:val="bottom"/>
          </w:tcPr>
          <w:p w14:paraId="1E4BEC6D"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Aranjuez</w:t>
            </w:r>
          </w:p>
        </w:tc>
        <w:tc>
          <w:tcPr>
            <w:tcW w:w="1559" w:type="dxa"/>
            <w:vAlign w:val="bottom"/>
          </w:tcPr>
          <w:p w14:paraId="61B9C0E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1418" w:type="dxa"/>
          </w:tcPr>
          <w:p w14:paraId="2E2942D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7FF525E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7ABC619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r>
      <w:tr w:rsidR="004D63F3" w14:paraId="10767E7D"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29CB8E9"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Murcia</w:t>
            </w:r>
          </w:p>
        </w:tc>
        <w:tc>
          <w:tcPr>
            <w:tcW w:w="2126" w:type="dxa"/>
            <w:vAlign w:val="bottom"/>
          </w:tcPr>
          <w:p w14:paraId="416E8E53"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Águilas</w:t>
            </w:r>
          </w:p>
        </w:tc>
        <w:tc>
          <w:tcPr>
            <w:tcW w:w="1559" w:type="dxa"/>
            <w:vAlign w:val="bottom"/>
          </w:tcPr>
          <w:p w14:paraId="4956CB29" w14:textId="77777777" w:rsidR="004D63F3" w:rsidRDefault="004D63F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p>
        </w:tc>
        <w:tc>
          <w:tcPr>
            <w:tcW w:w="1418" w:type="dxa"/>
          </w:tcPr>
          <w:p w14:paraId="21BCC8E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6273F3B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1558F33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r>
      <w:tr w:rsidR="004D63F3" w14:paraId="37A95EDD"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CDF332A"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126" w:type="dxa"/>
            <w:vAlign w:val="bottom"/>
          </w:tcPr>
          <w:p w14:paraId="09BA9D1D"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Fuenlabrada</w:t>
            </w:r>
          </w:p>
        </w:tc>
        <w:tc>
          <w:tcPr>
            <w:tcW w:w="1559" w:type="dxa"/>
            <w:vAlign w:val="bottom"/>
          </w:tcPr>
          <w:p w14:paraId="572A269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c>
          <w:tcPr>
            <w:tcW w:w="1418" w:type="dxa"/>
          </w:tcPr>
          <w:p w14:paraId="0718676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vAlign w:val="bottom"/>
          </w:tcPr>
          <w:p w14:paraId="4E42778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c>
          <w:tcPr>
            <w:tcW w:w="1426" w:type="dxa"/>
            <w:vAlign w:val="bottom"/>
          </w:tcPr>
          <w:p w14:paraId="66F09C4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r>
      <w:tr w:rsidR="004D63F3" w14:paraId="24494B58"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7A907C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Sevilla</w:t>
            </w:r>
          </w:p>
        </w:tc>
        <w:tc>
          <w:tcPr>
            <w:tcW w:w="2126" w:type="dxa"/>
            <w:vAlign w:val="bottom"/>
          </w:tcPr>
          <w:p w14:paraId="2A9CE9D6"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Sevilla Capital</w:t>
            </w:r>
          </w:p>
        </w:tc>
        <w:tc>
          <w:tcPr>
            <w:tcW w:w="1559" w:type="dxa"/>
            <w:vAlign w:val="bottom"/>
          </w:tcPr>
          <w:p w14:paraId="60C3909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4,6%</w:t>
            </w:r>
          </w:p>
        </w:tc>
        <w:tc>
          <w:tcPr>
            <w:tcW w:w="1418" w:type="dxa"/>
            <w:vAlign w:val="bottom"/>
          </w:tcPr>
          <w:p w14:paraId="498E75C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c>
          <w:tcPr>
            <w:tcW w:w="1417" w:type="dxa"/>
            <w:vAlign w:val="bottom"/>
          </w:tcPr>
          <w:p w14:paraId="794A12D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c>
          <w:tcPr>
            <w:tcW w:w="1426" w:type="dxa"/>
            <w:vAlign w:val="bottom"/>
          </w:tcPr>
          <w:p w14:paraId="29C2768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r>
      <w:tr w:rsidR="004D63F3" w14:paraId="2C0A77E3"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ADC3AF3"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126" w:type="dxa"/>
            <w:vAlign w:val="bottom"/>
          </w:tcPr>
          <w:p w14:paraId="5DCE36CB"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Leganés</w:t>
            </w:r>
          </w:p>
        </w:tc>
        <w:tc>
          <w:tcPr>
            <w:tcW w:w="1559" w:type="dxa"/>
            <w:vAlign w:val="bottom"/>
          </w:tcPr>
          <w:p w14:paraId="4B1904A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5,3%</w:t>
            </w:r>
          </w:p>
        </w:tc>
        <w:tc>
          <w:tcPr>
            <w:tcW w:w="1418" w:type="dxa"/>
            <w:vAlign w:val="bottom"/>
          </w:tcPr>
          <w:p w14:paraId="19D36A22" w14:textId="77777777" w:rsidR="004D63F3" w:rsidRDefault="004D63F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
        </w:tc>
        <w:tc>
          <w:tcPr>
            <w:tcW w:w="1417" w:type="dxa"/>
            <w:vAlign w:val="bottom"/>
          </w:tcPr>
          <w:p w14:paraId="5E9B656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c>
          <w:tcPr>
            <w:tcW w:w="1426" w:type="dxa"/>
            <w:vAlign w:val="bottom"/>
          </w:tcPr>
          <w:p w14:paraId="0A8F06F4"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r>
      <w:tr w:rsidR="004D63F3" w14:paraId="20B9CEF3"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8A6109D"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Asturias</w:t>
            </w:r>
          </w:p>
        </w:tc>
        <w:tc>
          <w:tcPr>
            <w:tcW w:w="2126" w:type="dxa"/>
            <w:vAlign w:val="bottom"/>
          </w:tcPr>
          <w:p w14:paraId="05D82603"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Avilés</w:t>
            </w:r>
          </w:p>
        </w:tc>
        <w:tc>
          <w:tcPr>
            <w:tcW w:w="1559" w:type="dxa"/>
            <w:vAlign w:val="bottom"/>
          </w:tcPr>
          <w:p w14:paraId="503705CC" w14:textId="77777777" w:rsidR="004D63F3" w:rsidRDefault="004D63F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p>
        </w:tc>
        <w:tc>
          <w:tcPr>
            <w:tcW w:w="1418" w:type="dxa"/>
            <w:vAlign w:val="bottom"/>
          </w:tcPr>
          <w:p w14:paraId="69E6529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417" w:type="dxa"/>
            <w:vAlign w:val="bottom"/>
          </w:tcPr>
          <w:p w14:paraId="43FBC29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c>
          <w:tcPr>
            <w:tcW w:w="1426" w:type="dxa"/>
            <w:vAlign w:val="bottom"/>
          </w:tcPr>
          <w:p w14:paraId="2C64591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r>
      <w:tr w:rsidR="004D63F3" w14:paraId="7E2C6E47"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1344F7BA"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126" w:type="dxa"/>
            <w:vAlign w:val="bottom"/>
          </w:tcPr>
          <w:p w14:paraId="57E05DEE"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Torrevieja</w:t>
            </w:r>
          </w:p>
        </w:tc>
        <w:tc>
          <w:tcPr>
            <w:tcW w:w="1559" w:type="dxa"/>
            <w:vAlign w:val="bottom"/>
          </w:tcPr>
          <w:p w14:paraId="5580589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c>
          <w:tcPr>
            <w:tcW w:w="1418" w:type="dxa"/>
            <w:vAlign w:val="bottom"/>
          </w:tcPr>
          <w:p w14:paraId="37D4611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c>
          <w:tcPr>
            <w:tcW w:w="1417" w:type="dxa"/>
            <w:vAlign w:val="bottom"/>
          </w:tcPr>
          <w:p w14:paraId="699E8CD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c>
          <w:tcPr>
            <w:tcW w:w="1426" w:type="dxa"/>
            <w:vAlign w:val="bottom"/>
          </w:tcPr>
          <w:p w14:paraId="028D34B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r>
      <w:tr w:rsidR="004D63F3" w14:paraId="62CAD9AA"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98F882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Valencia</w:t>
            </w:r>
          </w:p>
        </w:tc>
        <w:tc>
          <w:tcPr>
            <w:tcW w:w="2126" w:type="dxa"/>
            <w:vAlign w:val="bottom"/>
          </w:tcPr>
          <w:p w14:paraId="62679317"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Mislata</w:t>
            </w:r>
          </w:p>
        </w:tc>
        <w:tc>
          <w:tcPr>
            <w:tcW w:w="1559" w:type="dxa"/>
            <w:vAlign w:val="bottom"/>
          </w:tcPr>
          <w:p w14:paraId="3A82BF6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418" w:type="dxa"/>
            <w:vAlign w:val="bottom"/>
          </w:tcPr>
          <w:p w14:paraId="44F5E1C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27E29550"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3A86DCA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r>
      <w:tr w:rsidR="004D63F3" w14:paraId="224FD64B"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1B0D2C0C"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Cádiz</w:t>
            </w:r>
          </w:p>
        </w:tc>
        <w:tc>
          <w:tcPr>
            <w:tcW w:w="2126" w:type="dxa"/>
            <w:vAlign w:val="bottom"/>
          </w:tcPr>
          <w:p w14:paraId="635F814E"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Chiclana de la Frontera</w:t>
            </w:r>
          </w:p>
        </w:tc>
        <w:tc>
          <w:tcPr>
            <w:tcW w:w="1559" w:type="dxa"/>
            <w:vAlign w:val="bottom"/>
          </w:tcPr>
          <w:p w14:paraId="61F068F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c>
          <w:tcPr>
            <w:tcW w:w="1418" w:type="dxa"/>
            <w:vAlign w:val="bottom"/>
          </w:tcPr>
          <w:p w14:paraId="5EF7F7E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c>
          <w:tcPr>
            <w:tcW w:w="1417" w:type="dxa"/>
          </w:tcPr>
          <w:p w14:paraId="69EEB594"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05B8EC5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r>
      <w:tr w:rsidR="004D63F3" w14:paraId="5F229AB5"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DCCB6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1074AF5A"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Gavà</w:t>
            </w:r>
          </w:p>
        </w:tc>
        <w:tc>
          <w:tcPr>
            <w:tcW w:w="1559" w:type="dxa"/>
            <w:vAlign w:val="bottom"/>
          </w:tcPr>
          <w:p w14:paraId="6777BD5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4,6%</w:t>
            </w:r>
          </w:p>
        </w:tc>
        <w:tc>
          <w:tcPr>
            <w:tcW w:w="1418" w:type="dxa"/>
          </w:tcPr>
          <w:p w14:paraId="77A70AB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5E5402F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5801FBB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r>
      <w:tr w:rsidR="004D63F3" w14:paraId="64862BC2"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D95FBED"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0DEE9BB3"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Sant Joan Despí</w:t>
            </w:r>
          </w:p>
        </w:tc>
        <w:tc>
          <w:tcPr>
            <w:tcW w:w="1559" w:type="dxa"/>
            <w:vAlign w:val="bottom"/>
          </w:tcPr>
          <w:p w14:paraId="15D7EB6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3,8%</w:t>
            </w:r>
          </w:p>
        </w:tc>
        <w:tc>
          <w:tcPr>
            <w:tcW w:w="1418" w:type="dxa"/>
          </w:tcPr>
          <w:p w14:paraId="176DE1C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vAlign w:val="bottom"/>
          </w:tcPr>
          <w:p w14:paraId="6D7B343B" w14:textId="77777777" w:rsidR="004D63F3" w:rsidRDefault="004D63F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
        </w:tc>
        <w:tc>
          <w:tcPr>
            <w:tcW w:w="1426" w:type="dxa"/>
            <w:vAlign w:val="bottom"/>
          </w:tcPr>
          <w:p w14:paraId="2A8FAA54"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r>
      <w:tr w:rsidR="004D63F3" w14:paraId="7598F2B6"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A49AA1D"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Asturias</w:t>
            </w:r>
          </w:p>
        </w:tc>
        <w:tc>
          <w:tcPr>
            <w:tcW w:w="2126" w:type="dxa"/>
            <w:vAlign w:val="bottom"/>
          </w:tcPr>
          <w:p w14:paraId="470FDEF2"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Oviedo</w:t>
            </w:r>
          </w:p>
        </w:tc>
        <w:tc>
          <w:tcPr>
            <w:tcW w:w="1559" w:type="dxa"/>
            <w:vAlign w:val="bottom"/>
          </w:tcPr>
          <w:p w14:paraId="46E8BD8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1418" w:type="dxa"/>
            <w:vAlign w:val="bottom"/>
          </w:tcPr>
          <w:p w14:paraId="69BBFF8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417" w:type="dxa"/>
            <w:vAlign w:val="bottom"/>
          </w:tcPr>
          <w:p w14:paraId="6C46677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c>
          <w:tcPr>
            <w:tcW w:w="1426" w:type="dxa"/>
            <w:vAlign w:val="bottom"/>
          </w:tcPr>
          <w:p w14:paraId="63FCD58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r>
      <w:tr w:rsidR="004D63F3" w14:paraId="191F3A99"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7A41952"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Cádiz</w:t>
            </w:r>
          </w:p>
        </w:tc>
        <w:tc>
          <w:tcPr>
            <w:tcW w:w="2126" w:type="dxa"/>
            <w:vAlign w:val="bottom"/>
          </w:tcPr>
          <w:p w14:paraId="3D6C132A"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Rota</w:t>
            </w:r>
          </w:p>
        </w:tc>
        <w:tc>
          <w:tcPr>
            <w:tcW w:w="1559" w:type="dxa"/>
            <w:vAlign w:val="bottom"/>
          </w:tcPr>
          <w:p w14:paraId="76280AD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6,1%</w:t>
            </w:r>
          </w:p>
        </w:tc>
        <w:tc>
          <w:tcPr>
            <w:tcW w:w="1418" w:type="dxa"/>
          </w:tcPr>
          <w:p w14:paraId="79340EF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5D2E796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5AF58C9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r>
      <w:tr w:rsidR="004D63F3" w14:paraId="7C4CE9D7"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5E17CCD5"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Sevilla</w:t>
            </w:r>
          </w:p>
        </w:tc>
        <w:tc>
          <w:tcPr>
            <w:tcW w:w="2126" w:type="dxa"/>
            <w:vAlign w:val="bottom"/>
          </w:tcPr>
          <w:p w14:paraId="5219EBA2"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Mairena del Aljarafe</w:t>
            </w:r>
          </w:p>
        </w:tc>
        <w:tc>
          <w:tcPr>
            <w:tcW w:w="1559" w:type="dxa"/>
            <w:vAlign w:val="bottom"/>
          </w:tcPr>
          <w:p w14:paraId="4771810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c>
          <w:tcPr>
            <w:tcW w:w="1418" w:type="dxa"/>
          </w:tcPr>
          <w:p w14:paraId="687038A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3439EDE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2D67A5B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r>
      <w:tr w:rsidR="004D63F3" w14:paraId="7E0792A4"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DB3DC2F"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Córdoba</w:t>
            </w:r>
          </w:p>
        </w:tc>
        <w:tc>
          <w:tcPr>
            <w:tcW w:w="2126" w:type="dxa"/>
            <w:vAlign w:val="bottom"/>
          </w:tcPr>
          <w:p w14:paraId="6812D34F"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Córdoba Capital</w:t>
            </w:r>
          </w:p>
        </w:tc>
        <w:tc>
          <w:tcPr>
            <w:tcW w:w="1559" w:type="dxa"/>
            <w:vAlign w:val="bottom"/>
          </w:tcPr>
          <w:p w14:paraId="35416E8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4,5%</w:t>
            </w:r>
          </w:p>
        </w:tc>
        <w:tc>
          <w:tcPr>
            <w:tcW w:w="1418" w:type="dxa"/>
            <w:vAlign w:val="bottom"/>
          </w:tcPr>
          <w:p w14:paraId="2A3A931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c>
          <w:tcPr>
            <w:tcW w:w="1417" w:type="dxa"/>
            <w:vAlign w:val="bottom"/>
          </w:tcPr>
          <w:p w14:paraId="242A26A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c>
          <w:tcPr>
            <w:tcW w:w="1426" w:type="dxa"/>
            <w:vAlign w:val="bottom"/>
          </w:tcPr>
          <w:p w14:paraId="0019EF8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r>
      <w:tr w:rsidR="004D63F3" w14:paraId="2D272D29"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391940C"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Asturias</w:t>
            </w:r>
          </w:p>
        </w:tc>
        <w:tc>
          <w:tcPr>
            <w:tcW w:w="2126" w:type="dxa"/>
            <w:vAlign w:val="bottom"/>
          </w:tcPr>
          <w:p w14:paraId="02E931DB"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Gijón</w:t>
            </w:r>
          </w:p>
        </w:tc>
        <w:tc>
          <w:tcPr>
            <w:tcW w:w="1559" w:type="dxa"/>
            <w:vAlign w:val="bottom"/>
          </w:tcPr>
          <w:p w14:paraId="472A597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1418" w:type="dxa"/>
            <w:vAlign w:val="bottom"/>
          </w:tcPr>
          <w:p w14:paraId="3EB6882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c>
          <w:tcPr>
            <w:tcW w:w="1417" w:type="dxa"/>
            <w:vAlign w:val="bottom"/>
          </w:tcPr>
          <w:p w14:paraId="7B91A51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c>
          <w:tcPr>
            <w:tcW w:w="1426" w:type="dxa"/>
            <w:vAlign w:val="bottom"/>
          </w:tcPr>
          <w:p w14:paraId="1D785A2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r>
      <w:tr w:rsidR="004D63F3" w14:paraId="68358BDB"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52FC5110"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126" w:type="dxa"/>
            <w:vAlign w:val="bottom"/>
          </w:tcPr>
          <w:p w14:paraId="34BEC47B"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roofErr w:type="spellStart"/>
            <w:r>
              <w:rPr>
                <w:rFonts w:ascii="Open Sans" w:eastAsia="Open Sans" w:hAnsi="Open Sans" w:cs="Open Sans"/>
                <w:color w:val="000000"/>
                <w:sz w:val="22"/>
                <w:szCs w:val="22"/>
              </w:rPr>
              <w:t>Benahavís</w:t>
            </w:r>
            <w:proofErr w:type="spellEnd"/>
          </w:p>
        </w:tc>
        <w:tc>
          <w:tcPr>
            <w:tcW w:w="1559" w:type="dxa"/>
          </w:tcPr>
          <w:p w14:paraId="15846B3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8" w:type="dxa"/>
          </w:tcPr>
          <w:p w14:paraId="1411F03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0F39B35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33A1FB6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r>
      <w:tr w:rsidR="004D63F3" w14:paraId="5654446E"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94345A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Zaragoza</w:t>
            </w:r>
          </w:p>
        </w:tc>
        <w:tc>
          <w:tcPr>
            <w:tcW w:w="2126" w:type="dxa"/>
            <w:vAlign w:val="bottom"/>
          </w:tcPr>
          <w:p w14:paraId="54D4ADA7"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Zaragoza Capital</w:t>
            </w:r>
          </w:p>
        </w:tc>
        <w:tc>
          <w:tcPr>
            <w:tcW w:w="1559" w:type="dxa"/>
            <w:vAlign w:val="bottom"/>
          </w:tcPr>
          <w:p w14:paraId="7E16B52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4,3%</w:t>
            </w:r>
          </w:p>
        </w:tc>
        <w:tc>
          <w:tcPr>
            <w:tcW w:w="1418" w:type="dxa"/>
            <w:vAlign w:val="bottom"/>
          </w:tcPr>
          <w:p w14:paraId="4830C96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c>
          <w:tcPr>
            <w:tcW w:w="1417" w:type="dxa"/>
            <w:vAlign w:val="bottom"/>
          </w:tcPr>
          <w:p w14:paraId="12AB304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c>
          <w:tcPr>
            <w:tcW w:w="1426" w:type="dxa"/>
            <w:vAlign w:val="bottom"/>
          </w:tcPr>
          <w:p w14:paraId="4C683F6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r>
      <w:tr w:rsidR="004D63F3" w14:paraId="41C2141B"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9D201C8"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Guadalajara</w:t>
            </w:r>
          </w:p>
        </w:tc>
        <w:tc>
          <w:tcPr>
            <w:tcW w:w="2126" w:type="dxa"/>
            <w:vAlign w:val="bottom"/>
          </w:tcPr>
          <w:p w14:paraId="089B3CFC"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Guadalajara Capital</w:t>
            </w:r>
          </w:p>
        </w:tc>
        <w:tc>
          <w:tcPr>
            <w:tcW w:w="1559" w:type="dxa"/>
            <w:vAlign w:val="bottom"/>
          </w:tcPr>
          <w:p w14:paraId="467F559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4,2%</w:t>
            </w:r>
          </w:p>
        </w:tc>
        <w:tc>
          <w:tcPr>
            <w:tcW w:w="1418" w:type="dxa"/>
          </w:tcPr>
          <w:p w14:paraId="1E03EEC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17EC2F7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5AE5ED0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r>
      <w:tr w:rsidR="004D63F3" w14:paraId="22795BE7"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D8A3A5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4AED9A23"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Esplugues de Llobregat</w:t>
            </w:r>
          </w:p>
        </w:tc>
        <w:tc>
          <w:tcPr>
            <w:tcW w:w="1559" w:type="dxa"/>
            <w:vAlign w:val="bottom"/>
          </w:tcPr>
          <w:p w14:paraId="183F0BD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418" w:type="dxa"/>
          </w:tcPr>
          <w:p w14:paraId="45B5990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62BDB48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22C2B3D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5,8%</w:t>
            </w:r>
          </w:p>
        </w:tc>
      </w:tr>
      <w:tr w:rsidR="004D63F3" w14:paraId="5329AA44"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4C773E1"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Albacete</w:t>
            </w:r>
          </w:p>
        </w:tc>
        <w:tc>
          <w:tcPr>
            <w:tcW w:w="2126" w:type="dxa"/>
            <w:vAlign w:val="bottom"/>
          </w:tcPr>
          <w:p w14:paraId="12B532BE"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Albacete Capital</w:t>
            </w:r>
          </w:p>
        </w:tc>
        <w:tc>
          <w:tcPr>
            <w:tcW w:w="1559" w:type="dxa"/>
            <w:vAlign w:val="bottom"/>
          </w:tcPr>
          <w:p w14:paraId="4C6858B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3,9%</w:t>
            </w:r>
          </w:p>
        </w:tc>
        <w:tc>
          <w:tcPr>
            <w:tcW w:w="1418" w:type="dxa"/>
            <w:vAlign w:val="bottom"/>
          </w:tcPr>
          <w:p w14:paraId="5A217A4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c>
          <w:tcPr>
            <w:tcW w:w="1417" w:type="dxa"/>
            <w:vAlign w:val="bottom"/>
          </w:tcPr>
          <w:p w14:paraId="515D601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c>
          <w:tcPr>
            <w:tcW w:w="1426" w:type="dxa"/>
            <w:vAlign w:val="bottom"/>
          </w:tcPr>
          <w:p w14:paraId="063C523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r>
      <w:tr w:rsidR="004D63F3" w14:paraId="4328AA43"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075E0B4"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Bizkaia</w:t>
            </w:r>
          </w:p>
        </w:tc>
        <w:tc>
          <w:tcPr>
            <w:tcW w:w="2126" w:type="dxa"/>
            <w:vAlign w:val="bottom"/>
          </w:tcPr>
          <w:p w14:paraId="4539FF61"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Barakaldo</w:t>
            </w:r>
          </w:p>
        </w:tc>
        <w:tc>
          <w:tcPr>
            <w:tcW w:w="1559" w:type="dxa"/>
            <w:vAlign w:val="bottom"/>
          </w:tcPr>
          <w:p w14:paraId="5D07099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1418" w:type="dxa"/>
            <w:vAlign w:val="bottom"/>
          </w:tcPr>
          <w:p w14:paraId="7208245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5,3%</w:t>
            </w:r>
          </w:p>
        </w:tc>
        <w:tc>
          <w:tcPr>
            <w:tcW w:w="1417" w:type="dxa"/>
            <w:vAlign w:val="bottom"/>
          </w:tcPr>
          <w:p w14:paraId="3D6653A7" w14:textId="77777777" w:rsidR="004D63F3" w:rsidRDefault="004D63F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p>
        </w:tc>
        <w:tc>
          <w:tcPr>
            <w:tcW w:w="1426" w:type="dxa"/>
            <w:vAlign w:val="bottom"/>
          </w:tcPr>
          <w:p w14:paraId="19A3FCD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r>
      <w:tr w:rsidR="004D63F3" w14:paraId="4E800618"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A18AF79"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Girona</w:t>
            </w:r>
          </w:p>
        </w:tc>
        <w:tc>
          <w:tcPr>
            <w:tcW w:w="2126" w:type="dxa"/>
            <w:vAlign w:val="bottom"/>
          </w:tcPr>
          <w:p w14:paraId="70107458"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Girona Capital</w:t>
            </w:r>
          </w:p>
        </w:tc>
        <w:tc>
          <w:tcPr>
            <w:tcW w:w="1559" w:type="dxa"/>
            <w:vAlign w:val="bottom"/>
          </w:tcPr>
          <w:p w14:paraId="424C476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4,5%</w:t>
            </w:r>
          </w:p>
        </w:tc>
        <w:tc>
          <w:tcPr>
            <w:tcW w:w="1418" w:type="dxa"/>
            <w:vAlign w:val="bottom"/>
          </w:tcPr>
          <w:p w14:paraId="035D43B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6,0%</w:t>
            </w:r>
          </w:p>
        </w:tc>
        <w:tc>
          <w:tcPr>
            <w:tcW w:w="1417" w:type="dxa"/>
            <w:vAlign w:val="bottom"/>
          </w:tcPr>
          <w:p w14:paraId="2BFBADE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c>
          <w:tcPr>
            <w:tcW w:w="1426" w:type="dxa"/>
            <w:vAlign w:val="bottom"/>
          </w:tcPr>
          <w:p w14:paraId="714A67E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r>
      <w:tr w:rsidR="004D63F3" w14:paraId="50AD8E40"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0769B2A"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Cáceres</w:t>
            </w:r>
          </w:p>
        </w:tc>
        <w:tc>
          <w:tcPr>
            <w:tcW w:w="2126" w:type="dxa"/>
            <w:vAlign w:val="bottom"/>
          </w:tcPr>
          <w:p w14:paraId="012B68F0"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Cáceres Capital</w:t>
            </w:r>
          </w:p>
        </w:tc>
        <w:tc>
          <w:tcPr>
            <w:tcW w:w="1559" w:type="dxa"/>
            <w:vAlign w:val="bottom"/>
          </w:tcPr>
          <w:p w14:paraId="7965680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3,9%</w:t>
            </w:r>
          </w:p>
        </w:tc>
        <w:tc>
          <w:tcPr>
            <w:tcW w:w="1418" w:type="dxa"/>
            <w:vAlign w:val="bottom"/>
          </w:tcPr>
          <w:p w14:paraId="425487C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1417" w:type="dxa"/>
            <w:vAlign w:val="bottom"/>
          </w:tcPr>
          <w:p w14:paraId="3FEA656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c>
          <w:tcPr>
            <w:tcW w:w="1426" w:type="dxa"/>
            <w:vAlign w:val="bottom"/>
          </w:tcPr>
          <w:p w14:paraId="1E417837"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5,7%</w:t>
            </w:r>
          </w:p>
        </w:tc>
      </w:tr>
      <w:tr w:rsidR="004D63F3" w14:paraId="4102CA15"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D3716E6"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Burgos</w:t>
            </w:r>
          </w:p>
        </w:tc>
        <w:tc>
          <w:tcPr>
            <w:tcW w:w="2126" w:type="dxa"/>
            <w:vAlign w:val="bottom"/>
          </w:tcPr>
          <w:p w14:paraId="357653BE"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Burgos Capital</w:t>
            </w:r>
          </w:p>
        </w:tc>
        <w:tc>
          <w:tcPr>
            <w:tcW w:w="1559" w:type="dxa"/>
            <w:vAlign w:val="bottom"/>
          </w:tcPr>
          <w:p w14:paraId="17775FD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3,8%</w:t>
            </w:r>
          </w:p>
        </w:tc>
        <w:tc>
          <w:tcPr>
            <w:tcW w:w="1418" w:type="dxa"/>
            <w:vAlign w:val="bottom"/>
          </w:tcPr>
          <w:p w14:paraId="59A571D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417" w:type="dxa"/>
            <w:vAlign w:val="bottom"/>
          </w:tcPr>
          <w:p w14:paraId="3B0CDC5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c>
          <w:tcPr>
            <w:tcW w:w="1426" w:type="dxa"/>
            <w:vAlign w:val="bottom"/>
          </w:tcPr>
          <w:p w14:paraId="776D8E8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5,6%</w:t>
            </w:r>
          </w:p>
        </w:tc>
      </w:tr>
      <w:tr w:rsidR="004D63F3" w14:paraId="33830E33"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30F6212"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126" w:type="dxa"/>
            <w:vAlign w:val="bottom"/>
          </w:tcPr>
          <w:p w14:paraId="2032093C"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Málaga Capital</w:t>
            </w:r>
          </w:p>
        </w:tc>
        <w:tc>
          <w:tcPr>
            <w:tcW w:w="1559" w:type="dxa"/>
            <w:vAlign w:val="bottom"/>
          </w:tcPr>
          <w:p w14:paraId="3A98FB3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4,4%</w:t>
            </w:r>
          </w:p>
        </w:tc>
        <w:tc>
          <w:tcPr>
            <w:tcW w:w="1418" w:type="dxa"/>
            <w:vAlign w:val="bottom"/>
          </w:tcPr>
          <w:p w14:paraId="19EA649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5,9%</w:t>
            </w:r>
          </w:p>
        </w:tc>
        <w:tc>
          <w:tcPr>
            <w:tcW w:w="1417" w:type="dxa"/>
            <w:vAlign w:val="bottom"/>
          </w:tcPr>
          <w:p w14:paraId="5020E49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c>
          <w:tcPr>
            <w:tcW w:w="1426" w:type="dxa"/>
            <w:vAlign w:val="bottom"/>
          </w:tcPr>
          <w:p w14:paraId="18EF685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5,6%</w:t>
            </w:r>
          </w:p>
        </w:tc>
      </w:tr>
      <w:tr w:rsidR="004D63F3" w14:paraId="5444B468"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5C49BA2"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lastRenderedPageBreak/>
              <w:t>Jaén</w:t>
            </w:r>
          </w:p>
        </w:tc>
        <w:tc>
          <w:tcPr>
            <w:tcW w:w="2126" w:type="dxa"/>
            <w:vAlign w:val="bottom"/>
          </w:tcPr>
          <w:p w14:paraId="22937F47"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Baeza</w:t>
            </w:r>
          </w:p>
        </w:tc>
        <w:tc>
          <w:tcPr>
            <w:tcW w:w="1559" w:type="dxa"/>
            <w:vAlign w:val="bottom"/>
          </w:tcPr>
          <w:p w14:paraId="0F86901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8" w:type="dxa"/>
          </w:tcPr>
          <w:p w14:paraId="3851F51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3B34DC3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75F1B1F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5,6%</w:t>
            </w:r>
          </w:p>
        </w:tc>
      </w:tr>
      <w:tr w:rsidR="004D63F3" w14:paraId="4327807A"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AC9E0CE"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Tarragona</w:t>
            </w:r>
          </w:p>
        </w:tc>
        <w:tc>
          <w:tcPr>
            <w:tcW w:w="2126" w:type="dxa"/>
            <w:vAlign w:val="bottom"/>
          </w:tcPr>
          <w:p w14:paraId="5DC235AC"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Cambrils</w:t>
            </w:r>
          </w:p>
        </w:tc>
        <w:tc>
          <w:tcPr>
            <w:tcW w:w="1559" w:type="dxa"/>
            <w:vAlign w:val="bottom"/>
          </w:tcPr>
          <w:p w14:paraId="7E91E49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1418" w:type="dxa"/>
          </w:tcPr>
          <w:p w14:paraId="3DFC792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19BFF16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739C02E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5,6%</w:t>
            </w:r>
          </w:p>
        </w:tc>
      </w:tr>
      <w:tr w:rsidR="004D63F3" w14:paraId="7A18009D"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5D78A335"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Castellón</w:t>
            </w:r>
          </w:p>
        </w:tc>
        <w:tc>
          <w:tcPr>
            <w:tcW w:w="2126" w:type="dxa"/>
            <w:vAlign w:val="bottom"/>
          </w:tcPr>
          <w:p w14:paraId="781A0EC1"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 xml:space="preserve">Peñíscola / </w:t>
            </w:r>
            <w:proofErr w:type="spellStart"/>
            <w:r>
              <w:rPr>
                <w:rFonts w:ascii="Open Sans" w:eastAsia="Open Sans" w:hAnsi="Open Sans" w:cs="Open Sans"/>
                <w:color w:val="000000"/>
                <w:sz w:val="22"/>
                <w:szCs w:val="22"/>
              </w:rPr>
              <w:t>Peníscola</w:t>
            </w:r>
            <w:proofErr w:type="spellEnd"/>
          </w:p>
        </w:tc>
        <w:tc>
          <w:tcPr>
            <w:tcW w:w="1559" w:type="dxa"/>
            <w:vAlign w:val="bottom"/>
          </w:tcPr>
          <w:p w14:paraId="1AB4EE8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8" w:type="dxa"/>
          </w:tcPr>
          <w:p w14:paraId="2A2FD15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tcPr>
          <w:p w14:paraId="077DD83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26" w:type="dxa"/>
            <w:vAlign w:val="bottom"/>
          </w:tcPr>
          <w:p w14:paraId="01DC438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5,6%</w:t>
            </w:r>
          </w:p>
        </w:tc>
      </w:tr>
      <w:tr w:rsidR="004D63F3" w14:paraId="125A9554"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5DC6E11"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Palencia</w:t>
            </w:r>
          </w:p>
        </w:tc>
        <w:tc>
          <w:tcPr>
            <w:tcW w:w="2126" w:type="dxa"/>
            <w:vAlign w:val="bottom"/>
          </w:tcPr>
          <w:p w14:paraId="74774349"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Palencia Capital</w:t>
            </w:r>
          </w:p>
        </w:tc>
        <w:tc>
          <w:tcPr>
            <w:tcW w:w="1559" w:type="dxa"/>
            <w:vAlign w:val="bottom"/>
          </w:tcPr>
          <w:p w14:paraId="1E5D41C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3,8%</w:t>
            </w:r>
          </w:p>
        </w:tc>
        <w:tc>
          <w:tcPr>
            <w:tcW w:w="1418" w:type="dxa"/>
            <w:vAlign w:val="bottom"/>
          </w:tcPr>
          <w:p w14:paraId="7AB2401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417" w:type="dxa"/>
            <w:vAlign w:val="bottom"/>
          </w:tcPr>
          <w:p w14:paraId="2351C4C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c>
          <w:tcPr>
            <w:tcW w:w="1426" w:type="dxa"/>
            <w:vAlign w:val="bottom"/>
          </w:tcPr>
          <w:p w14:paraId="12F66A5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5,6%</w:t>
            </w:r>
          </w:p>
        </w:tc>
      </w:tr>
      <w:tr w:rsidR="004D63F3" w14:paraId="19828BBC"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81F6573"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 Coruña</w:t>
            </w:r>
          </w:p>
        </w:tc>
        <w:tc>
          <w:tcPr>
            <w:tcW w:w="2126" w:type="dxa"/>
            <w:vAlign w:val="bottom"/>
          </w:tcPr>
          <w:p w14:paraId="2783AD84"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Arteixo</w:t>
            </w:r>
          </w:p>
        </w:tc>
        <w:tc>
          <w:tcPr>
            <w:tcW w:w="1559" w:type="dxa"/>
            <w:vAlign w:val="bottom"/>
          </w:tcPr>
          <w:p w14:paraId="01A4786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1418" w:type="dxa"/>
            <w:vAlign w:val="bottom"/>
          </w:tcPr>
          <w:p w14:paraId="1DAB938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4,5%</w:t>
            </w:r>
          </w:p>
        </w:tc>
        <w:tc>
          <w:tcPr>
            <w:tcW w:w="1417" w:type="dxa"/>
            <w:vAlign w:val="bottom"/>
          </w:tcPr>
          <w:p w14:paraId="5A4898C2" w14:textId="77777777" w:rsidR="004D63F3" w:rsidRDefault="004D63F3">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
        </w:tc>
        <w:tc>
          <w:tcPr>
            <w:tcW w:w="1426" w:type="dxa"/>
            <w:vAlign w:val="bottom"/>
          </w:tcPr>
          <w:p w14:paraId="2E193E94"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r>
      <w:tr w:rsidR="004D63F3" w14:paraId="63DD90D3"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0376837"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126" w:type="dxa"/>
            <w:vAlign w:val="bottom"/>
          </w:tcPr>
          <w:p w14:paraId="28A5D34F"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Marbella</w:t>
            </w:r>
          </w:p>
        </w:tc>
        <w:tc>
          <w:tcPr>
            <w:tcW w:w="1559" w:type="dxa"/>
            <w:vAlign w:val="bottom"/>
          </w:tcPr>
          <w:p w14:paraId="7CA8428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4,1%</w:t>
            </w:r>
          </w:p>
        </w:tc>
        <w:tc>
          <w:tcPr>
            <w:tcW w:w="1418" w:type="dxa"/>
            <w:vAlign w:val="bottom"/>
          </w:tcPr>
          <w:p w14:paraId="5E0E3F0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417" w:type="dxa"/>
            <w:vAlign w:val="bottom"/>
          </w:tcPr>
          <w:p w14:paraId="639458F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4,9%</w:t>
            </w:r>
          </w:p>
        </w:tc>
        <w:tc>
          <w:tcPr>
            <w:tcW w:w="1426" w:type="dxa"/>
            <w:vAlign w:val="bottom"/>
          </w:tcPr>
          <w:p w14:paraId="4D26C84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r>
      <w:tr w:rsidR="004D63F3" w14:paraId="744009AF"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609CA5D"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Melilla</w:t>
            </w:r>
          </w:p>
        </w:tc>
        <w:tc>
          <w:tcPr>
            <w:tcW w:w="2126" w:type="dxa"/>
            <w:vAlign w:val="bottom"/>
          </w:tcPr>
          <w:p w14:paraId="00A53837"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Melilla Capital</w:t>
            </w:r>
          </w:p>
        </w:tc>
        <w:tc>
          <w:tcPr>
            <w:tcW w:w="1559" w:type="dxa"/>
          </w:tcPr>
          <w:p w14:paraId="5D6A551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8" w:type="dxa"/>
          </w:tcPr>
          <w:p w14:paraId="534E6B2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417" w:type="dxa"/>
            <w:vAlign w:val="bottom"/>
          </w:tcPr>
          <w:p w14:paraId="0270C34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c>
          <w:tcPr>
            <w:tcW w:w="1426" w:type="dxa"/>
            <w:vAlign w:val="bottom"/>
          </w:tcPr>
          <w:p w14:paraId="3AFF6E8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r>
      <w:tr w:rsidR="004D63F3" w14:paraId="7ADAB37F"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57C06AD8"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126" w:type="dxa"/>
            <w:vAlign w:val="bottom"/>
          </w:tcPr>
          <w:p w14:paraId="0BCFCC72"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Torremolinos</w:t>
            </w:r>
          </w:p>
        </w:tc>
        <w:tc>
          <w:tcPr>
            <w:tcW w:w="1559" w:type="dxa"/>
            <w:vAlign w:val="bottom"/>
          </w:tcPr>
          <w:p w14:paraId="3DE2DB1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4,6%</w:t>
            </w:r>
          </w:p>
        </w:tc>
        <w:tc>
          <w:tcPr>
            <w:tcW w:w="1418" w:type="dxa"/>
            <w:vAlign w:val="bottom"/>
          </w:tcPr>
          <w:p w14:paraId="42FB417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5,6%</w:t>
            </w:r>
          </w:p>
        </w:tc>
        <w:tc>
          <w:tcPr>
            <w:tcW w:w="1417" w:type="dxa"/>
            <w:vAlign w:val="bottom"/>
          </w:tcPr>
          <w:p w14:paraId="3C0A6837"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c>
          <w:tcPr>
            <w:tcW w:w="1426" w:type="dxa"/>
            <w:vAlign w:val="bottom"/>
          </w:tcPr>
          <w:p w14:paraId="764CC97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5,5%</w:t>
            </w:r>
          </w:p>
        </w:tc>
      </w:tr>
      <w:tr w:rsidR="004D63F3" w14:paraId="49CAC469"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3250F57"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2FCA4E5B"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Barcelona Capital</w:t>
            </w:r>
          </w:p>
        </w:tc>
        <w:tc>
          <w:tcPr>
            <w:tcW w:w="1559" w:type="dxa"/>
            <w:vAlign w:val="bottom"/>
          </w:tcPr>
          <w:p w14:paraId="7F2CB30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4,0%</w:t>
            </w:r>
          </w:p>
        </w:tc>
        <w:tc>
          <w:tcPr>
            <w:tcW w:w="1418" w:type="dxa"/>
            <w:vAlign w:val="bottom"/>
          </w:tcPr>
          <w:p w14:paraId="70DDEA3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417" w:type="dxa"/>
            <w:vAlign w:val="bottom"/>
          </w:tcPr>
          <w:p w14:paraId="0C6E260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4,7%</w:t>
            </w:r>
          </w:p>
        </w:tc>
        <w:tc>
          <w:tcPr>
            <w:tcW w:w="1426" w:type="dxa"/>
            <w:vAlign w:val="bottom"/>
          </w:tcPr>
          <w:p w14:paraId="78B4C3D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r>
      <w:tr w:rsidR="004D63F3" w14:paraId="3440A147"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2DDC2C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Cantabria</w:t>
            </w:r>
          </w:p>
        </w:tc>
        <w:tc>
          <w:tcPr>
            <w:tcW w:w="2126" w:type="dxa"/>
            <w:vAlign w:val="bottom"/>
          </w:tcPr>
          <w:p w14:paraId="1086A6A3"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Santander</w:t>
            </w:r>
          </w:p>
        </w:tc>
        <w:tc>
          <w:tcPr>
            <w:tcW w:w="1559" w:type="dxa"/>
            <w:vAlign w:val="bottom"/>
          </w:tcPr>
          <w:p w14:paraId="18B37A3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3,7%</w:t>
            </w:r>
          </w:p>
        </w:tc>
        <w:tc>
          <w:tcPr>
            <w:tcW w:w="1418" w:type="dxa"/>
            <w:vAlign w:val="bottom"/>
          </w:tcPr>
          <w:p w14:paraId="3865110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417" w:type="dxa"/>
            <w:vAlign w:val="bottom"/>
          </w:tcPr>
          <w:p w14:paraId="184C4E4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5,0%</w:t>
            </w:r>
          </w:p>
        </w:tc>
        <w:tc>
          <w:tcPr>
            <w:tcW w:w="1426" w:type="dxa"/>
            <w:vAlign w:val="bottom"/>
          </w:tcPr>
          <w:p w14:paraId="4264E8B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r>
      <w:tr w:rsidR="004D63F3" w14:paraId="08A7ED8D"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E77F0BE"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Salamanca</w:t>
            </w:r>
          </w:p>
        </w:tc>
        <w:tc>
          <w:tcPr>
            <w:tcW w:w="2126" w:type="dxa"/>
            <w:vAlign w:val="bottom"/>
          </w:tcPr>
          <w:p w14:paraId="4A5B7B98"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Salamanca Capital</w:t>
            </w:r>
          </w:p>
        </w:tc>
        <w:tc>
          <w:tcPr>
            <w:tcW w:w="1559" w:type="dxa"/>
            <w:vAlign w:val="bottom"/>
          </w:tcPr>
          <w:p w14:paraId="32A1568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3,6%</w:t>
            </w:r>
          </w:p>
        </w:tc>
        <w:tc>
          <w:tcPr>
            <w:tcW w:w="1418" w:type="dxa"/>
            <w:vAlign w:val="bottom"/>
          </w:tcPr>
          <w:p w14:paraId="728055F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4,8%</w:t>
            </w:r>
          </w:p>
        </w:tc>
        <w:tc>
          <w:tcPr>
            <w:tcW w:w="1417" w:type="dxa"/>
            <w:vAlign w:val="bottom"/>
          </w:tcPr>
          <w:p w14:paraId="40700E4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5,1%</w:t>
            </w:r>
          </w:p>
        </w:tc>
        <w:tc>
          <w:tcPr>
            <w:tcW w:w="1426" w:type="dxa"/>
            <w:vAlign w:val="bottom"/>
          </w:tcPr>
          <w:p w14:paraId="25DF756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Arial" w:eastAsia="Arial" w:hAnsi="Arial" w:cs="Arial"/>
                <w:color w:val="000000"/>
                <w:sz w:val="22"/>
                <w:szCs w:val="22"/>
              </w:rPr>
              <w:t>5,4%</w:t>
            </w:r>
          </w:p>
        </w:tc>
      </w:tr>
      <w:tr w:rsidR="004D63F3" w14:paraId="0084FD42"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D50FABD"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Granada</w:t>
            </w:r>
          </w:p>
        </w:tc>
        <w:tc>
          <w:tcPr>
            <w:tcW w:w="2126" w:type="dxa"/>
            <w:vAlign w:val="bottom"/>
          </w:tcPr>
          <w:p w14:paraId="16AFE733"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Almuñécar</w:t>
            </w:r>
          </w:p>
        </w:tc>
        <w:tc>
          <w:tcPr>
            <w:tcW w:w="1559" w:type="dxa"/>
            <w:vAlign w:val="bottom"/>
          </w:tcPr>
          <w:p w14:paraId="75454E6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3,7%</w:t>
            </w:r>
          </w:p>
        </w:tc>
        <w:tc>
          <w:tcPr>
            <w:tcW w:w="1418" w:type="dxa"/>
          </w:tcPr>
          <w:p w14:paraId="7EDD3B60"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tcPr>
          <w:p w14:paraId="083BC53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7808B14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5,4%</w:t>
            </w:r>
          </w:p>
        </w:tc>
      </w:tr>
      <w:tr w:rsidR="004D63F3" w14:paraId="32376001"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8F47D29"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Badajoz</w:t>
            </w:r>
          </w:p>
        </w:tc>
        <w:tc>
          <w:tcPr>
            <w:tcW w:w="2126" w:type="dxa"/>
            <w:vAlign w:val="bottom"/>
          </w:tcPr>
          <w:p w14:paraId="26723981"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Badajoz Capital</w:t>
            </w:r>
          </w:p>
        </w:tc>
        <w:tc>
          <w:tcPr>
            <w:tcW w:w="1559" w:type="dxa"/>
            <w:vAlign w:val="bottom"/>
          </w:tcPr>
          <w:p w14:paraId="0714E44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4,1%</w:t>
            </w:r>
          </w:p>
        </w:tc>
        <w:tc>
          <w:tcPr>
            <w:tcW w:w="1418" w:type="dxa"/>
            <w:vAlign w:val="bottom"/>
          </w:tcPr>
          <w:p w14:paraId="4785D11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5,1%</w:t>
            </w:r>
          </w:p>
        </w:tc>
        <w:tc>
          <w:tcPr>
            <w:tcW w:w="1417" w:type="dxa"/>
            <w:vAlign w:val="bottom"/>
          </w:tcPr>
          <w:p w14:paraId="73B3536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5,4%</w:t>
            </w:r>
          </w:p>
        </w:tc>
        <w:tc>
          <w:tcPr>
            <w:tcW w:w="1426" w:type="dxa"/>
            <w:vAlign w:val="bottom"/>
          </w:tcPr>
          <w:p w14:paraId="4192A7A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5,4%</w:t>
            </w:r>
          </w:p>
        </w:tc>
      </w:tr>
      <w:tr w:rsidR="004D63F3" w14:paraId="6A1E66FD"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116ADD22"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4BB221DD"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Vilafranca del Penedès</w:t>
            </w:r>
          </w:p>
        </w:tc>
        <w:tc>
          <w:tcPr>
            <w:tcW w:w="1559" w:type="dxa"/>
            <w:vAlign w:val="bottom"/>
          </w:tcPr>
          <w:p w14:paraId="0BCA0430"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4,8%</w:t>
            </w:r>
          </w:p>
        </w:tc>
        <w:tc>
          <w:tcPr>
            <w:tcW w:w="1418" w:type="dxa"/>
          </w:tcPr>
          <w:p w14:paraId="600F644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tcPr>
          <w:p w14:paraId="4987C70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78EAFDF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5,4%</w:t>
            </w:r>
          </w:p>
        </w:tc>
      </w:tr>
      <w:tr w:rsidR="004D63F3" w14:paraId="2BC4999F"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B61EBD3"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Valladolid</w:t>
            </w:r>
          </w:p>
        </w:tc>
        <w:tc>
          <w:tcPr>
            <w:tcW w:w="2126" w:type="dxa"/>
            <w:vAlign w:val="bottom"/>
          </w:tcPr>
          <w:p w14:paraId="66A0D76A"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Valladolid Capital</w:t>
            </w:r>
          </w:p>
        </w:tc>
        <w:tc>
          <w:tcPr>
            <w:tcW w:w="1559" w:type="dxa"/>
            <w:vAlign w:val="bottom"/>
          </w:tcPr>
          <w:p w14:paraId="4374EE9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3,9%</w:t>
            </w:r>
          </w:p>
        </w:tc>
        <w:tc>
          <w:tcPr>
            <w:tcW w:w="1418" w:type="dxa"/>
            <w:vAlign w:val="bottom"/>
          </w:tcPr>
          <w:p w14:paraId="77F15AE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5,1%</w:t>
            </w:r>
          </w:p>
        </w:tc>
        <w:tc>
          <w:tcPr>
            <w:tcW w:w="1417" w:type="dxa"/>
            <w:vAlign w:val="bottom"/>
          </w:tcPr>
          <w:p w14:paraId="013990D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5,2%</w:t>
            </w:r>
          </w:p>
        </w:tc>
        <w:tc>
          <w:tcPr>
            <w:tcW w:w="1426" w:type="dxa"/>
            <w:vAlign w:val="bottom"/>
          </w:tcPr>
          <w:p w14:paraId="1877174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5,3%</w:t>
            </w:r>
          </w:p>
        </w:tc>
      </w:tr>
      <w:tr w:rsidR="004D63F3" w14:paraId="723EDF33"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04628CA"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Lugo</w:t>
            </w:r>
          </w:p>
        </w:tc>
        <w:tc>
          <w:tcPr>
            <w:tcW w:w="2126" w:type="dxa"/>
            <w:vAlign w:val="bottom"/>
          </w:tcPr>
          <w:p w14:paraId="0E979C2C"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Lugo Capital</w:t>
            </w:r>
          </w:p>
        </w:tc>
        <w:tc>
          <w:tcPr>
            <w:tcW w:w="1559" w:type="dxa"/>
            <w:vAlign w:val="bottom"/>
          </w:tcPr>
          <w:p w14:paraId="694F0A7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3,6%</w:t>
            </w:r>
          </w:p>
        </w:tc>
        <w:tc>
          <w:tcPr>
            <w:tcW w:w="1418" w:type="dxa"/>
            <w:vAlign w:val="bottom"/>
          </w:tcPr>
          <w:p w14:paraId="1850EAC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4,1%</w:t>
            </w:r>
          </w:p>
        </w:tc>
        <w:tc>
          <w:tcPr>
            <w:tcW w:w="1417" w:type="dxa"/>
            <w:vAlign w:val="bottom"/>
          </w:tcPr>
          <w:p w14:paraId="734AD1C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185E3C60"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5,3%</w:t>
            </w:r>
          </w:p>
        </w:tc>
      </w:tr>
      <w:tr w:rsidR="004D63F3" w14:paraId="1AB863B7"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105ADCC"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126" w:type="dxa"/>
            <w:vAlign w:val="bottom"/>
          </w:tcPr>
          <w:p w14:paraId="01E95822"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proofErr w:type="spellStart"/>
            <w:r>
              <w:rPr>
                <w:rFonts w:ascii="Open Sans" w:eastAsia="Open Sans" w:hAnsi="Open Sans" w:cs="Open Sans"/>
                <w:color w:val="000000"/>
                <w:sz w:val="22"/>
                <w:szCs w:val="22"/>
              </w:rPr>
              <w:t>Dénia</w:t>
            </w:r>
            <w:proofErr w:type="spellEnd"/>
          </w:p>
        </w:tc>
        <w:tc>
          <w:tcPr>
            <w:tcW w:w="1559" w:type="dxa"/>
            <w:vAlign w:val="bottom"/>
          </w:tcPr>
          <w:p w14:paraId="6FE6CEE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4,2%</w:t>
            </w:r>
          </w:p>
        </w:tc>
        <w:tc>
          <w:tcPr>
            <w:tcW w:w="1418" w:type="dxa"/>
          </w:tcPr>
          <w:p w14:paraId="049CDA8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tcPr>
          <w:p w14:paraId="1079213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11FC64E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5,3%</w:t>
            </w:r>
          </w:p>
        </w:tc>
      </w:tr>
      <w:tr w:rsidR="004D63F3" w14:paraId="5618621D"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ED61CE0"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126" w:type="dxa"/>
            <w:vAlign w:val="bottom"/>
          </w:tcPr>
          <w:p w14:paraId="671E9C75"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Arganda del Rey</w:t>
            </w:r>
          </w:p>
        </w:tc>
        <w:tc>
          <w:tcPr>
            <w:tcW w:w="1559" w:type="dxa"/>
            <w:vAlign w:val="bottom"/>
          </w:tcPr>
          <w:p w14:paraId="1C65219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4,8%</w:t>
            </w:r>
          </w:p>
        </w:tc>
        <w:tc>
          <w:tcPr>
            <w:tcW w:w="1418" w:type="dxa"/>
          </w:tcPr>
          <w:p w14:paraId="6EC6D667"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tcPr>
          <w:p w14:paraId="5D1C15D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197FC79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5,3%</w:t>
            </w:r>
          </w:p>
        </w:tc>
      </w:tr>
      <w:tr w:rsidR="004D63F3" w14:paraId="36358B4D"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078DB37"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126" w:type="dxa"/>
            <w:vAlign w:val="bottom"/>
          </w:tcPr>
          <w:p w14:paraId="377E76F1"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Benalmádena</w:t>
            </w:r>
          </w:p>
        </w:tc>
        <w:tc>
          <w:tcPr>
            <w:tcW w:w="1559" w:type="dxa"/>
            <w:vAlign w:val="bottom"/>
          </w:tcPr>
          <w:p w14:paraId="09A5CA9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4,6%</w:t>
            </w:r>
          </w:p>
        </w:tc>
        <w:tc>
          <w:tcPr>
            <w:tcW w:w="1418" w:type="dxa"/>
            <w:vAlign w:val="bottom"/>
          </w:tcPr>
          <w:p w14:paraId="385A4D1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5,3%</w:t>
            </w:r>
          </w:p>
        </w:tc>
        <w:tc>
          <w:tcPr>
            <w:tcW w:w="1417" w:type="dxa"/>
            <w:vAlign w:val="bottom"/>
          </w:tcPr>
          <w:p w14:paraId="7B4C285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4,6%</w:t>
            </w:r>
          </w:p>
        </w:tc>
        <w:tc>
          <w:tcPr>
            <w:tcW w:w="1426" w:type="dxa"/>
            <w:vAlign w:val="bottom"/>
          </w:tcPr>
          <w:p w14:paraId="33B4B2A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5,3%</w:t>
            </w:r>
          </w:p>
        </w:tc>
      </w:tr>
      <w:tr w:rsidR="004D63F3" w14:paraId="0998F7FC"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F2DE762"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León</w:t>
            </w:r>
          </w:p>
        </w:tc>
        <w:tc>
          <w:tcPr>
            <w:tcW w:w="2126" w:type="dxa"/>
            <w:vAlign w:val="bottom"/>
          </w:tcPr>
          <w:p w14:paraId="5F126F58"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León Capital</w:t>
            </w:r>
          </w:p>
        </w:tc>
        <w:tc>
          <w:tcPr>
            <w:tcW w:w="1559" w:type="dxa"/>
            <w:vAlign w:val="bottom"/>
          </w:tcPr>
          <w:p w14:paraId="61466D8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3,8%</w:t>
            </w:r>
          </w:p>
        </w:tc>
        <w:tc>
          <w:tcPr>
            <w:tcW w:w="1418" w:type="dxa"/>
            <w:vAlign w:val="bottom"/>
          </w:tcPr>
          <w:p w14:paraId="65E4460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4,8%</w:t>
            </w:r>
          </w:p>
        </w:tc>
        <w:tc>
          <w:tcPr>
            <w:tcW w:w="1417" w:type="dxa"/>
            <w:vAlign w:val="bottom"/>
          </w:tcPr>
          <w:p w14:paraId="015F7C0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5,5%</w:t>
            </w:r>
          </w:p>
        </w:tc>
        <w:tc>
          <w:tcPr>
            <w:tcW w:w="1426" w:type="dxa"/>
            <w:vAlign w:val="bottom"/>
          </w:tcPr>
          <w:p w14:paraId="4725A0D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5,3%</w:t>
            </w:r>
          </w:p>
        </w:tc>
      </w:tr>
      <w:tr w:rsidR="004D63F3" w14:paraId="5813254A"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C6E383E"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Granada</w:t>
            </w:r>
          </w:p>
        </w:tc>
        <w:tc>
          <w:tcPr>
            <w:tcW w:w="2126" w:type="dxa"/>
            <w:vAlign w:val="bottom"/>
          </w:tcPr>
          <w:p w14:paraId="3B70771E"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Granada Capital</w:t>
            </w:r>
          </w:p>
        </w:tc>
        <w:tc>
          <w:tcPr>
            <w:tcW w:w="1559" w:type="dxa"/>
            <w:vAlign w:val="bottom"/>
          </w:tcPr>
          <w:p w14:paraId="6496968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3,8%</w:t>
            </w:r>
          </w:p>
        </w:tc>
        <w:tc>
          <w:tcPr>
            <w:tcW w:w="1418" w:type="dxa"/>
            <w:vAlign w:val="bottom"/>
          </w:tcPr>
          <w:p w14:paraId="0018E68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4,9%</w:t>
            </w:r>
          </w:p>
        </w:tc>
        <w:tc>
          <w:tcPr>
            <w:tcW w:w="1417" w:type="dxa"/>
            <w:vAlign w:val="bottom"/>
          </w:tcPr>
          <w:p w14:paraId="5651633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5,0%</w:t>
            </w:r>
          </w:p>
        </w:tc>
        <w:tc>
          <w:tcPr>
            <w:tcW w:w="1426" w:type="dxa"/>
            <w:vAlign w:val="bottom"/>
          </w:tcPr>
          <w:p w14:paraId="0B585DC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5,2%</w:t>
            </w:r>
          </w:p>
        </w:tc>
      </w:tr>
      <w:tr w:rsidR="004D63F3" w14:paraId="1D8E556A"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18A5AFA"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Huelva</w:t>
            </w:r>
          </w:p>
        </w:tc>
        <w:tc>
          <w:tcPr>
            <w:tcW w:w="2126" w:type="dxa"/>
            <w:vAlign w:val="bottom"/>
          </w:tcPr>
          <w:p w14:paraId="63D11384"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Punta Umbría</w:t>
            </w:r>
          </w:p>
        </w:tc>
        <w:tc>
          <w:tcPr>
            <w:tcW w:w="1559" w:type="dxa"/>
          </w:tcPr>
          <w:p w14:paraId="66E6A1F7"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8" w:type="dxa"/>
          </w:tcPr>
          <w:p w14:paraId="38E079F7"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tcPr>
          <w:p w14:paraId="16B3CE87"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0B06C3B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5,2%</w:t>
            </w:r>
          </w:p>
        </w:tc>
      </w:tr>
      <w:tr w:rsidR="004D63F3" w14:paraId="7AFC8BCF"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86F7D80"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Zamora</w:t>
            </w:r>
          </w:p>
        </w:tc>
        <w:tc>
          <w:tcPr>
            <w:tcW w:w="2126" w:type="dxa"/>
            <w:vAlign w:val="bottom"/>
          </w:tcPr>
          <w:p w14:paraId="682E87F7"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Zamora Capital</w:t>
            </w:r>
          </w:p>
        </w:tc>
        <w:tc>
          <w:tcPr>
            <w:tcW w:w="1559" w:type="dxa"/>
            <w:vAlign w:val="bottom"/>
          </w:tcPr>
          <w:p w14:paraId="5C23014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3,7%</w:t>
            </w:r>
          </w:p>
        </w:tc>
        <w:tc>
          <w:tcPr>
            <w:tcW w:w="1418" w:type="dxa"/>
            <w:vAlign w:val="bottom"/>
          </w:tcPr>
          <w:p w14:paraId="45F5900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4,5%</w:t>
            </w:r>
          </w:p>
        </w:tc>
        <w:tc>
          <w:tcPr>
            <w:tcW w:w="1417" w:type="dxa"/>
            <w:vAlign w:val="bottom"/>
          </w:tcPr>
          <w:p w14:paraId="78A3716C" w14:textId="77777777" w:rsidR="004D63F3" w:rsidRDefault="004D63F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p>
        </w:tc>
        <w:tc>
          <w:tcPr>
            <w:tcW w:w="1426" w:type="dxa"/>
            <w:vAlign w:val="bottom"/>
          </w:tcPr>
          <w:p w14:paraId="3143395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5,2%</w:t>
            </w:r>
          </w:p>
        </w:tc>
      </w:tr>
      <w:tr w:rsidR="004D63F3" w14:paraId="774D58CF"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58C7B09"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3958E568"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Castelldefels</w:t>
            </w:r>
          </w:p>
        </w:tc>
        <w:tc>
          <w:tcPr>
            <w:tcW w:w="1559" w:type="dxa"/>
            <w:vAlign w:val="bottom"/>
          </w:tcPr>
          <w:p w14:paraId="2265982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4,6%</w:t>
            </w:r>
          </w:p>
        </w:tc>
        <w:tc>
          <w:tcPr>
            <w:tcW w:w="1418" w:type="dxa"/>
            <w:vAlign w:val="bottom"/>
          </w:tcPr>
          <w:p w14:paraId="2E8AF40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5,4%</w:t>
            </w:r>
          </w:p>
        </w:tc>
        <w:tc>
          <w:tcPr>
            <w:tcW w:w="1417" w:type="dxa"/>
            <w:vAlign w:val="bottom"/>
          </w:tcPr>
          <w:p w14:paraId="23C14F12" w14:textId="77777777" w:rsidR="004D63F3" w:rsidRDefault="004D63F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p>
        </w:tc>
        <w:tc>
          <w:tcPr>
            <w:tcW w:w="1426" w:type="dxa"/>
            <w:vAlign w:val="bottom"/>
          </w:tcPr>
          <w:p w14:paraId="4A032FC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5,2%</w:t>
            </w:r>
          </w:p>
        </w:tc>
      </w:tr>
      <w:tr w:rsidR="004D63F3" w14:paraId="06212CF6"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D54E3C6"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126" w:type="dxa"/>
            <w:vAlign w:val="bottom"/>
          </w:tcPr>
          <w:p w14:paraId="6CB31664"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Estepona</w:t>
            </w:r>
          </w:p>
        </w:tc>
        <w:tc>
          <w:tcPr>
            <w:tcW w:w="1559" w:type="dxa"/>
            <w:vAlign w:val="bottom"/>
          </w:tcPr>
          <w:p w14:paraId="2D6EF71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4,4%</w:t>
            </w:r>
          </w:p>
        </w:tc>
        <w:tc>
          <w:tcPr>
            <w:tcW w:w="1418" w:type="dxa"/>
            <w:vAlign w:val="bottom"/>
          </w:tcPr>
          <w:p w14:paraId="1509CB1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5,2%</w:t>
            </w:r>
          </w:p>
        </w:tc>
        <w:tc>
          <w:tcPr>
            <w:tcW w:w="1417" w:type="dxa"/>
            <w:vAlign w:val="bottom"/>
          </w:tcPr>
          <w:p w14:paraId="33C1828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4,5%</w:t>
            </w:r>
          </w:p>
        </w:tc>
        <w:tc>
          <w:tcPr>
            <w:tcW w:w="1426" w:type="dxa"/>
            <w:vAlign w:val="bottom"/>
          </w:tcPr>
          <w:p w14:paraId="21BA60D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5,2%</w:t>
            </w:r>
          </w:p>
        </w:tc>
      </w:tr>
      <w:tr w:rsidR="004D63F3" w14:paraId="3AB42D9F"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1C69695"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7A8BBB53"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Sant Feliu de Llobregat</w:t>
            </w:r>
          </w:p>
        </w:tc>
        <w:tc>
          <w:tcPr>
            <w:tcW w:w="1559" w:type="dxa"/>
            <w:vAlign w:val="bottom"/>
          </w:tcPr>
          <w:p w14:paraId="5D9E604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4,0%</w:t>
            </w:r>
          </w:p>
        </w:tc>
        <w:tc>
          <w:tcPr>
            <w:tcW w:w="1418" w:type="dxa"/>
          </w:tcPr>
          <w:p w14:paraId="1FDF764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tcPr>
          <w:p w14:paraId="5AC870E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569F5CB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5,2%</w:t>
            </w:r>
          </w:p>
        </w:tc>
      </w:tr>
      <w:tr w:rsidR="004D63F3" w14:paraId="7358D550"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D470A80"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126" w:type="dxa"/>
            <w:vAlign w:val="bottom"/>
          </w:tcPr>
          <w:p w14:paraId="196A8CE5"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 Sebastián de los Reyes</w:t>
            </w:r>
          </w:p>
        </w:tc>
        <w:tc>
          <w:tcPr>
            <w:tcW w:w="1559" w:type="dxa"/>
            <w:vAlign w:val="bottom"/>
          </w:tcPr>
          <w:p w14:paraId="27ABF01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4,2%</w:t>
            </w:r>
          </w:p>
        </w:tc>
        <w:tc>
          <w:tcPr>
            <w:tcW w:w="1418" w:type="dxa"/>
            <w:vAlign w:val="bottom"/>
          </w:tcPr>
          <w:p w14:paraId="0A26F72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vAlign w:val="bottom"/>
          </w:tcPr>
          <w:p w14:paraId="13E4679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5,0%</w:t>
            </w:r>
          </w:p>
        </w:tc>
        <w:tc>
          <w:tcPr>
            <w:tcW w:w="1426" w:type="dxa"/>
            <w:vAlign w:val="bottom"/>
          </w:tcPr>
          <w:p w14:paraId="3C67C0B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5,2%</w:t>
            </w:r>
          </w:p>
        </w:tc>
      </w:tr>
      <w:tr w:rsidR="004D63F3" w14:paraId="52253C6C"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1FC5E0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Araba - Álava</w:t>
            </w:r>
          </w:p>
        </w:tc>
        <w:tc>
          <w:tcPr>
            <w:tcW w:w="2126" w:type="dxa"/>
            <w:vAlign w:val="bottom"/>
          </w:tcPr>
          <w:p w14:paraId="39B088C3"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Vitoria - Gasteiz</w:t>
            </w:r>
          </w:p>
        </w:tc>
        <w:tc>
          <w:tcPr>
            <w:tcW w:w="1559" w:type="dxa"/>
            <w:vAlign w:val="bottom"/>
          </w:tcPr>
          <w:p w14:paraId="447B869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4,1%</w:t>
            </w:r>
          </w:p>
        </w:tc>
        <w:tc>
          <w:tcPr>
            <w:tcW w:w="1418" w:type="dxa"/>
          </w:tcPr>
          <w:p w14:paraId="51E7425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tcPr>
          <w:p w14:paraId="2FE81A1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763E613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5,1%</w:t>
            </w:r>
          </w:p>
        </w:tc>
      </w:tr>
      <w:tr w:rsidR="004D63F3" w14:paraId="29C808FE"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98BDE5C"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126" w:type="dxa"/>
            <w:vAlign w:val="bottom"/>
          </w:tcPr>
          <w:p w14:paraId="05DE7B8B"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Rincón de la Victoria</w:t>
            </w:r>
          </w:p>
        </w:tc>
        <w:tc>
          <w:tcPr>
            <w:tcW w:w="1559" w:type="dxa"/>
            <w:vAlign w:val="bottom"/>
          </w:tcPr>
          <w:p w14:paraId="43362A6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4,5%</w:t>
            </w:r>
          </w:p>
        </w:tc>
        <w:tc>
          <w:tcPr>
            <w:tcW w:w="1418" w:type="dxa"/>
          </w:tcPr>
          <w:p w14:paraId="1004D5D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tcPr>
          <w:p w14:paraId="248D0DC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5255346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5,1%</w:t>
            </w:r>
          </w:p>
        </w:tc>
      </w:tr>
      <w:tr w:rsidR="004D63F3" w14:paraId="609D7A9C"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A0DCD3D"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La Rioja</w:t>
            </w:r>
          </w:p>
        </w:tc>
        <w:tc>
          <w:tcPr>
            <w:tcW w:w="2126" w:type="dxa"/>
            <w:vAlign w:val="bottom"/>
          </w:tcPr>
          <w:p w14:paraId="7E879C9C"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Logroño</w:t>
            </w:r>
          </w:p>
        </w:tc>
        <w:tc>
          <w:tcPr>
            <w:tcW w:w="1559" w:type="dxa"/>
            <w:vAlign w:val="bottom"/>
          </w:tcPr>
          <w:p w14:paraId="33900BD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3,8%</w:t>
            </w:r>
          </w:p>
        </w:tc>
        <w:tc>
          <w:tcPr>
            <w:tcW w:w="1418" w:type="dxa"/>
            <w:vAlign w:val="bottom"/>
          </w:tcPr>
          <w:p w14:paraId="382280E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5,0%</w:t>
            </w:r>
          </w:p>
        </w:tc>
        <w:tc>
          <w:tcPr>
            <w:tcW w:w="1417" w:type="dxa"/>
            <w:vAlign w:val="bottom"/>
          </w:tcPr>
          <w:p w14:paraId="1EB91E27"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5,2%</w:t>
            </w:r>
          </w:p>
        </w:tc>
        <w:tc>
          <w:tcPr>
            <w:tcW w:w="1426" w:type="dxa"/>
            <w:vAlign w:val="bottom"/>
          </w:tcPr>
          <w:p w14:paraId="3EC68307"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5,1%</w:t>
            </w:r>
          </w:p>
        </w:tc>
      </w:tr>
      <w:tr w:rsidR="004D63F3" w14:paraId="6D9AC63B"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14758F10"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Ciudad Real</w:t>
            </w:r>
          </w:p>
        </w:tc>
        <w:tc>
          <w:tcPr>
            <w:tcW w:w="2126" w:type="dxa"/>
            <w:vAlign w:val="bottom"/>
          </w:tcPr>
          <w:p w14:paraId="7CFE0ADC"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Ciudad Real Capital</w:t>
            </w:r>
          </w:p>
        </w:tc>
        <w:tc>
          <w:tcPr>
            <w:tcW w:w="1559" w:type="dxa"/>
            <w:vAlign w:val="bottom"/>
          </w:tcPr>
          <w:p w14:paraId="38F3A70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4,0%</w:t>
            </w:r>
          </w:p>
        </w:tc>
        <w:tc>
          <w:tcPr>
            <w:tcW w:w="1418" w:type="dxa"/>
            <w:vAlign w:val="bottom"/>
          </w:tcPr>
          <w:p w14:paraId="765AF92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4,9%</w:t>
            </w:r>
          </w:p>
        </w:tc>
        <w:tc>
          <w:tcPr>
            <w:tcW w:w="1417" w:type="dxa"/>
            <w:vAlign w:val="bottom"/>
          </w:tcPr>
          <w:p w14:paraId="1B14351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5,2%</w:t>
            </w:r>
          </w:p>
        </w:tc>
        <w:tc>
          <w:tcPr>
            <w:tcW w:w="1426" w:type="dxa"/>
            <w:vAlign w:val="bottom"/>
          </w:tcPr>
          <w:p w14:paraId="71448B24"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5,1%</w:t>
            </w:r>
          </w:p>
        </w:tc>
      </w:tr>
      <w:tr w:rsidR="004D63F3" w14:paraId="7B19045C"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5B3C3D6"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Bizkaia</w:t>
            </w:r>
          </w:p>
        </w:tc>
        <w:tc>
          <w:tcPr>
            <w:tcW w:w="2126" w:type="dxa"/>
            <w:vAlign w:val="bottom"/>
          </w:tcPr>
          <w:p w14:paraId="3C6CD311"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Bilbao</w:t>
            </w:r>
          </w:p>
        </w:tc>
        <w:tc>
          <w:tcPr>
            <w:tcW w:w="1559" w:type="dxa"/>
            <w:vAlign w:val="bottom"/>
          </w:tcPr>
          <w:p w14:paraId="35EA035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3,8%</w:t>
            </w:r>
          </w:p>
        </w:tc>
        <w:tc>
          <w:tcPr>
            <w:tcW w:w="1418" w:type="dxa"/>
            <w:vAlign w:val="bottom"/>
          </w:tcPr>
          <w:p w14:paraId="6D8F54C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4,8%</w:t>
            </w:r>
          </w:p>
        </w:tc>
        <w:tc>
          <w:tcPr>
            <w:tcW w:w="1417" w:type="dxa"/>
            <w:vAlign w:val="bottom"/>
          </w:tcPr>
          <w:p w14:paraId="2EB55D1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4,6%</w:t>
            </w:r>
          </w:p>
        </w:tc>
        <w:tc>
          <w:tcPr>
            <w:tcW w:w="1426" w:type="dxa"/>
            <w:vAlign w:val="bottom"/>
          </w:tcPr>
          <w:p w14:paraId="7EC2328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5,1%</w:t>
            </w:r>
          </w:p>
        </w:tc>
      </w:tr>
      <w:tr w:rsidR="004D63F3" w14:paraId="20276139"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9C93AEE"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126" w:type="dxa"/>
            <w:vAlign w:val="bottom"/>
          </w:tcPr>
          <w:p w14:paraId="07E67988"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Altea</w:t>
            </w:r>
          </w:p>
        </w:tc>
        <w:tc>
          <w:tcPr>
            <w:tcW w:w="1559" w:type="dxa"/>
            <w:vAlign w:val="bottom"/>
          </w:tcPr>
          <w:p w14:paraId="2FD10B4F" w14:textId="77777777" w:rsidR="004D63F3" w:rsidRDefault="004D63F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p>
        </w:tc>
        <w:tc>
          <w:tcPr>
            <w:tcW w:w="1418" w:type="dxa"/>
            <w:vAlign w:val="bottom"/>
          </w:tcPr>
          <w:p w14:paraId="01AB9252" w14:textId="77777777" w:rsidR="004D63F3" w:rsidRDefault="004D63F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p>
        </w:tc>
        <w:tc>
          <w:tcPr>
            <w:tcW w:w="1417" w:type="dxa"/>
            <w:vAlign w:val="bottom"/>
          </w:tcPr>
          <w:p w14:paraId="2E19053E" w14:textId="77777777" w:rsidR="004D63F3" w:rsidRDefault="004D63F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p>
        </w:tc>
        <w:tc>
          <w:tcPr>
            <w:tcW w:w="1426" w:type="dxa"/>
            <w:vAlign w:val="bottom"/>
          </w:tcPr>
          <w:p w14:paraId="10EAF0D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5,0%</w:t>
            </w:r>
          </w:p>
        </w:tc>
      </w:tr>
      <w:tr w:rsidR="004D63F3" w14:paraId="1D7A5933"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1C982C1"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Ourense</w:t>
            </w:r>
          </w:p>
        </w:tc>
        <w:tc>
          <w:tcPr>
            <w:tcW w:w="2126" w:type="dxa"/>
            <w:vAlign w:val="bottom"/>
          </w:tcPr>
          <w:p w14:paraId="4AA9DEAF"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Ourense Capital</w:t>
            </w:r>
          </w:p>
        </w:tc>
        <w:tc>
          <w:tcPr>
            <w:tcW w:w="1559" w:type="dxa"/>
            <w:vAlign w:val="bottom"/>
          </w:tcPr>
          <w:p w14:paraId="71D0BEB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3,2%</w:t>
            </w:r>
          </w:p>
        </w:tc>
        <w:tc>
          <w:tcPr>
            <w:tcW w:w="1418" w:type="dxa"/>
            <w:vAlign w:val="bottom"/>
          </w:tcPr>
          <w:p w14:paraId="7031FFF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4,0%</w:t>
            </w:r>
          </w:p>
        </w:tc>
        <w:tc>
          <w:tcPr>
            <w:tcW w:w="1417" w:type="dxa"/>
            <w:vAlign w:val="bottom"/>
          </w:tcPr>
          <w:p w14:paraId="4936C16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4,5%</w:t>
            </w:r>
          </w:p>
        </w:tc>
        <w:tc>
          <w:tcPr>
            <w:tcW w:w="1426" w:type="dxa"/>
            <w:vAlign w:val="bottom"/>
          </w:tcPr>
          <w:p w14:paraId="54A6C90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5,0%</w:t>
            </w:r>
          </w:p>
        </w:tc>
      </w:tr>
      <w:tr w:rsidR="004D63F3" w14:paraId="17766C15"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9BCBC96"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Pontevedra</w:t>
            </w:r>
          </w:p>
        </w:tc>
        <w:tc>
          <w:tcPr>
            <w:tcW w:w="2126" w:type="dxa"/>
            <w:vAlign w:val="bottom"/>
          </w:tcPr>
          <w:p w14:paraId="589BB622"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Pontevedra Capital</w:t>
            </w:r>
          </w:p>
        </w:tc>
        <w:tc>
          <w:tcPr>
            <w:tcW w:w="1559" w:type="dxa"/>
            <w:vAlign w:val="bottom"/>
          </w:tcPr>
          <w:p w14:paraId="68A7291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3,6%</w:t>
            </w:r>
          </w:p>
        </w:tc>
        <w:tc>
          <w:tcPr>
            <w:tcW w:w="1418" w:type="dxa"/>
            <w:vAlign w:val="bottom"/>
          </w:tcPr>
          <w:p w14:paraId="6FDF4E8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4,3%</w:t>
            </w:r>
          </w:p>
        </w:tc>
        <w:tc>
          <w:tcPr>
            <w:tcW w:w="1417" w:type="dxa"/>
            <w:vAlign w:val="bottom"/>
          </w:tcPr>
          <w:p w14:paraId="64D4C40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5171D7F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5,0%</w:t>
            </w:r>
          </w:p>
        </w:tc>
      </w:tr>
      <w:tr w:rsidR="004D63F3" w14:paraId="64981890"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51D1D33"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Valladolid</w:t>
            </w:r>
          </w:p>
        </w:tc>
        <w:tc>
          <w:tcPr>
            <w:tcW w:w="2126" w:type="dxa"/>
            <w:vAlign w:val="bottom"/>
          </w:tcPr>
          <w:p w14:paraId="38F5F084"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Arroyo de la Encomienda</w:t>
            </w:r>
          </w:p>
        </w:tc>
        <w:tc>
          <w:tcPr>
            <w:tcW w:w="1559" w:type="dxa"/>
            <w:vAlign w:val="bottom"/>
          </w:tcPr>
          <w:p w14:paraId="4E18BA4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4,2%</w:t>
            </w:r>
          </w:p>
        </w:tc>
        <w:tc>
          <w:tcPr>
            <w:tcW w:w="1418" w:type="dxa"/>
          </w:tcPr>
          <w:p w14:paraId="25AE9307"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tcPr>
          <w:p w14:paraId="354B429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23468CE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4,9%</w:t>
            </w:r>
          </w:p>
        </w:tc>
      </w:tr>
      <w:tr w:rsidR="004D63F3" w14:paraId="6CE84911"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9F33151"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lastRenderedPageBreak/>
              <w:t>Cantabria</w:t>
            </w:r>
          </w:p>
        </w:tc>
        <w:tc>
          <w:tcPr>
            <w:tcW w:w="2126" w:type="dxa"/>
            <w:vAlign w:val="bottom"/>
          </w:tcPr>
          <w:p w14:paraId="41B7C492"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Castro-Urdiales</w:t>
            </w:r>
          </w:p>
        </w:tc>
        <w:tc>
          <w:tcPr>
            <w:tcW w:w="1559" w:type="dxa"/>
            <w:vAlign w:val="bottom"/>
          </w:tcPr>
          <w:p w14:paraId="41FCEE34"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3,7%</w:t>
            </w:r>
          </w:p>
        </w:tc>
        <w:tc>
          <w:tcPr>
            <w:tcW w:w="1418" w:type="dxa"/>
            <w:vAlign w:val="bottom"/>
          </w:tcPr>
          <w:p w14:paraId="1F4B2094"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4,7%</w:t>
            </w:r>
          </w:p>
        </w:tc>
        <w:tc>
          <w:tcPr>
            <w:tcW w:w="1417" w:type="dxa"/>
            <w:vAlign w:val="bottom"/>
          </w:tcPr>
          <w:p w14:paraId="202D7F8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4,9%</w:t>
            </w:r>
          </w:p>
        </w:tc>
        <w:tc>
          <w:tcPr>
            <w:tcW w:w="1426" w:type="dxa"/>
            <w:vAlign w:val="bottom"/>
          </w:tcPr>
          <w:p w14:paraId="0C81DC2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4,8%</w:t>
            </w:r>
          </w:p>
        </w:tc>
      </w:tr>
      <w:tr w:rsidR="004D63F3" w14:paraId="42E423EC"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647FD26"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Illes Balears</w:t>
            </w:r>
          </w:p>
        </w:tc>
        <w:tc>
          <w:tcPr>
            <w:tcW w:w="2126" w:type="dxa"/>
            <w:vAlign w:val="bottom"/>
          </w:tcPr>
          <w:p w14:paraId="32C76AE7"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Palma de Mallorca</w:t>
            </w:r>
          </w:p>
        </w:tc>
        <w:tc>
          <w:tcPr>
            <w:tcW w:w="1559" w:type="dxa"/>
            <w:vAlign w:val="bottom"/>
          </w:tcPr>
          <w:p w14:paraId="275D006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9,4%</w:t>
            </w:r>
          </w:p>
        </w:tc>
        <w:tc>
          <w:tcPr>
            <w:tcW w:w="1418" w:type="dxa"/>
            <w:vAlign w:val="bottom"/>
          </w:tcPr>
          <w:p w14:paraId="35E62DA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5,7%</w:t>
            </w:r>
          </w:p>
        </w:tc>
        <w:tc>
          <w:tcPr>
            <w:tcW w:w="1417" w:type="dxa"/>
            <w:vAlign w:val="bottom"/>
          </w:tcPr>
          <w:p w14:paraId="5A71B07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4,5%</w:t>
            </w:r>
          </w:p>
        </w:tc>
        <w:tc>
          <w:tcPr>
            <w:tcW w:w="1426" w:type="dxa"/>
            <w:vAlign w:val="bottom"/>
          </w:tcPr>
          <w:p w14:paraId="568B8E6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4,8%</w:t>
            </w:r>
          </w:p>
        </w:tc>
      </w:tr>
      <w:tr w:rsidR="004D63F3" w14:paraId="04C69780"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542E848"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Cádiz</w:t>
            </w:r>
          </w:p>
        </w:tc>
        <w:tc>
          <w:tcPr>
            <w:tcW w:w="2126" w:type="dxa"/>
            <w:vAlign w:val="bottom"/>
          </w:tcPr>
          <w:p w14:paraId="32D5D9F0"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Cádiz Capital</w:t>
            </w:r>
          </w:p>
        </w:tc>
        <w:tc>
          <w:tcPr>
            <w:tcW w:w="1559" w:type="dxa"/>
            <w:vAlign w:val="bottom"/>
          </w:tcPr>
          <w:p w14:paraId="5116A67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4,2%</w:t>
            </w:r>
          </w:p>
        </w:tc>
        <w:tc>
          <w:tcPr>
            <w:tcW w:w="1418" w:type="dxa"/>
            <w:vAlign w:val="bottom"/>
          </w:tcPr>
          <w:p w14:paraId="6CFD6B7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4,9%</w:t>
            </w:r>
          </w:p>
        </w:tc>
        <w:tc>
          <w:tcPr>
            <w:tcW w:w="1417" w:type="dxa"/>
            <w:vAlign w:val="bottom"/>
          </w:tcPr>
          <w:p w14:paraId="510F8EB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5,0%</w:t>
            </w:r>
          </w:p>
        </w:tc>
        <w:tc>
          <w:tcPr>
            <w:tcW w:w="1426" w:type="dxa"/>
            <w:vAlign w:val="bottom"/>
          </w:tcPr>
          <w:p w14:paraId="5CE2D30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4,8%</w:t>
            </w:r>
          </w:p>
        </w:tc>
      </w:tr>
      <w:tr w:rsidR="004D63F3" w14:paraId="7C2214EE"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51AEC8D0"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395AC00F"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Vilanova I la Geltrú</w:t>
            </w:r>
          </w:p>
        </w:tc>
        <w:tc>
          <w:tcPr>
            <w:tcW w:w="1559" w:type="dxa"/>
            <w:vAlign w:val="bottom"/>
          </w:tcPr>
          <w:p w14:paraId="6986D9E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4,4%</w:t>
            </w:r>
          </w:p>
        </w:tc>
        <w:tc>
          <w:tcPr>
            <w:tcW w:w="1418" w:type="dxa"/>
          </w:tcPr>
          <w:p w14:paraId="7561BC8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tcPr>
          <w:p w14:paraId="418A191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69F1CBB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4,8%</w:t>
            </w:r>
          </w:p>
        </w:tc>
      </w:tr>
      <w:tr w:rsidR="004D63F3" w14:paraId="1BEE362E"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289F7A8"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126" w:type="dxa"/>
            <w:vAlign w:val="bottom"/>
          </w:tcPr>
          <w:p w14:paraId="41EEB1FC"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Madrid Capital</w:t>
            </w:r>
          </w:p>
        </w:tc>
        <w:tc>
          <w:tcPr>
            <w:tcW w:w="1559" w:type="dxa"/>
            <w:vAlign w:val="bottom"/>
          </w:tcPr>
          <w:p w14:paraId="7D2EF51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4,4%</w:t>
            </w:r>
          </w:p>
        </w:tc>
        <w:tc>
          <w:tcPr>
            <w:tcW w:w="1418" w:type="dxa"/>
            <w:vAlign w:val="bottom"/>
          </w:tcPr>
          <w:p w14:paraId="0D7DB72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5,7%</w:t>
            </w:r>
          </w:p>
        </w:tc>
        <w:tc>
          <w:tcPr>
            <w:tcW w:w="1417" w:type="dxa"/>
            <w:vAlign w:val="bottom"/>
          </w:tcPr>
          <w:p w14:paraId="2AE7D20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4,6%</w:t>
            </w:r>
          </w:p>
        </w:tc>
        <w:tc>
          <w:tcPr>
            <w:tcW w:w="1426" w:type="dxa"/>
            <w:vAlign w:val="bottom"/>
          </w:tcPr>
          <w:p w14:paraId="1A71D46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4,8%</w:t>
            </w:r>
          </w:p>
        </w:tc>
      </w:tr>
      <w:tr w:rsidR="004D63F3" w14:paraId="1277D582"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1CA1567C"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2126" w:type="dxa"/>
            <w:vAlign w:val="bottom"/>
          </w:tcPr>
          <w:p w14:paraId="747F895E"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Orihuela</w:t>
            </w:r>
          </w:p>
        </w:tc>
        <w:tc>
          <w:tcPr>
            <w:tcW w:w="1559" w:type="dxa"/>
            <w:vAlign w:val="bottom"/>
          </w:tcPr>
          <w:p w14:paraId="5BC5CF70"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4,1%</w:t>
            </w:r>
          </w:p>
        </w:tc>
        <w:tc>
          <w:tcPr>
            <w:tcW w:w="1418" w:type="dxa"/>
          </w:tcPr>
          <w:p w14:paraId="4EB3D1E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tcPr>
          <w:p w14:paraId="638973E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2B31041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4,7%</w:t>
            </w:r>
          </w:p>
        </w:tc>
      </w:tr>
      <w:tr w:rsidR="004D63F3" w14:paraId="479C53EA"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1A469134"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126" w:type="dxa"/>
            <w:vAlign w:val="bottom"/>
          </w:tcPr>
          <w:p w14:paraId="203D3B7A"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Vélez-Málaga</w:t>
            </w:r>
          </w:p>
        </w:tc>
        <w:tc>
          <w:tcPr>
            <w:tcW w:w="1559" w:type="dxa"/>
            <w:vAlign w:val="bottom"/>
          </w:tcPr>
          <w:p w14:paraId="681F8B0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4,4%</w:t>
            </w:r>
          </w:p>
        </w:tc>
        <w:tc>
          <w:tcPr>
            <w:tcW w:w="1418" w:type="dxa"/>
          </w:tcPr>
          <w:p w14:paraId="1D24EE2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tcPr>
          <w:p w14:paraId="2CD1E00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0A8C68C7"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4,7%</w:t>
            </w:r>
          </w:p>
        </w:tc>
      </w:tr>
      <w:tr w:rsidR="004D63F3" w14:paraId="7047BD42"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534C05A2"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Navarra</w:t>
            </w:r>
          </w:p>
        </w:tc>
        <w:tc>
          <w:tcPr>
            <w:tcW w:w="2126" w:type="dxa"/>
            <w:vAlign w:val="bottom"/>
          </w:tcPr>
          <w:p w14:paraId="2680F896"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Pamplona / Iruña</w:t>
            </w:r>
          </w:p>
        </w:tc>
        <w:tc>
          <w:tcPr>
            <w:tcW w:w="1559" w:type="dxa"/>
            <w:vAlign w:val="bottom"/>
          </w:tcPr>
          <w:p w14:paraId="3CCD591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8" w:type="dxa"/>
            <w:vAlign w:val="bottom"/>
          </w:tcPr>
          <w:p w14:paraId="2CDF0BC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4,8%</w:t>
            </w:r>
          </w:p>
        </w:tc>
        <w:tc>
          <w:tcPr>
            <w:tcW w:w="1417" w:type="dxa"/>
            <w:vAlign w:val="bottom"/>
          </w:tcPr>
          <w:p w14:paraId="03D40EB7"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4,8%</w:t>
            </w:r>
          </w:p>
        </w:tc>
        <w:tc>
          <w:tcPr>
            <w:tcW w:w="1426" w:type="dxa"/>
            <w:vAlign w:val="bottom"/>
          </w:tcPr>
          <w:p w14:paraId="79453D2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4,7%</w:t>
            </w:r>
          </w:p>
        </w:tc>
      </w:tr>
      <w:tr w:rsidR="004D63F3" w14:paraId="6D49BB75"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B3480E5"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Pontevedra</w:t>
            </w:r>
          </w:p>
        </w:tc>
        <w:tc>
          <w:tcPr>
            <w:tcW w:w="2126" w:type="dxa"/>
            <w:vAlign w:val="bottom"/>
          </w:tcPr>
          <w:p w14:paraId="784184AA"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Vigo</w:t>
            </w:r>
          </w:p>
        </w:tc>
        <w:tc>
          <w:tcPr>
            <w:tcW w:w="1559" w:type="dxa"/>
            <w:vAlign w:val="bottom"/>
          </w:tcPr>
          <w:p w14:paraId="048B65C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3,7%</w:t>
            </w:r>
          </w:p>
        </w:tc>
        <w:tc>
          <w:tcPr>
            <w:tcW w:w="1418" w:type="dxa"/>
            <w:vAlign w:val="bottom"/>
          </w:tcPr>
          <w:p w14:paraId="72CCF64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4,8%</w:t>
            </w:r>
          </w:p>
        </w:tc>
        <w:tc>
          <w:tcPr>
            <w:tcW w:w="1417" w:type="dxa"/>
            <w:vAlign w:val="bottom"/>
          </w:tcPr>
          <w:p w14:paraId="3C112AA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4,7%</w:t>
            </w:r>
          </w:p>
        </w:tc>
        <w:tc>
          <w:tcPr>
            <w:tcW w:w="1426" w:type="dxa"/>
            <w:vAlign w:val="bottom"/>
          </w:tcPr>
          <w:p w14:paraId="799F3F3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4,7%</w:t>
            </w:r>
          </w:p>
        </w:tc>
      </w:tr>
      <w:tr w:rsidR="004D63F3" w14:paraId="7650FB25"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0A96F9D"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3F2BBA78"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Vic</w:t>
            </w:r>
          </w:p>
        </w:tc>
        <w:tc>
          <w:tcPr>
            <w:tcW w:w="1559" w:type="dxa"/>
            <w:vAlign w:val="bottom"/>
          </w:tcPr>
          <w:p w14:paraId="0B9D5EA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8" w:type="dxa"/>
          </w:tcPr>
          <w:p w14:paraId="2F458E2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vAlign w:val="bottom"/>
          </w:tcPr>
          <w:p w14:paraId="1A6A50D2" w14:textId="77777777" w:rsidR="004D63F3" w:rsidRDefault="004D63F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p>
        </w:tc>
        <w:tc>
          <w:tcPr>
            <w:tcW w:w="1426" w:type="dxa"/>
            <w:vAlign w:val="bottom"/>
          </w:tcPr>
          <w:p w14:paraId="7BAB510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4,7%</w:t>
            </w:r>
          </w:p>
        </w:tc>
      </w:tr>
      <w:tr w:rsidR="004D63F3" w14:paraId="6631D661"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1BBFA6DD"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126" w:type="dxa"/>
            <w:vAlign w:val="bottom"/>
          </w:tcPr>
          <w:p w14:paraId="22713FD5"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Las Rozas de Madrid</w:t>
            </w:r>
          </w:p>
        </w:tc>
        <w:tc>
          <w:tcPr>
            <w:tcW w:w="1559" w:type="dxa"/>
            <w:vAlign w:val="bottom"/>
          </w:tcPr>
          <w:p w14:paraId="6DAA962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4,0%</w:t>
            </w:r>
          </w:p>
        </w:tc>
        <w:tc>
          <w:tcPr>
            <w:tcW w:w="1418" w:type="dxa"/>
          </w:tcPr>
          <w:p w14:paraId="444F7D2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vAlign w:val="bottom"/>
          </w:tcPr>
          <w:p w14:paraId="3882494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4,2%</w:t>
            </w:r>
          </w:p>
        </w:tc>
        <w:tc>
          <w:tcPr>
            <w:tcW w:w="1426" w:type="dxa"/>
            <w:vAlign w:val="bottom"/>
          </w:tcPr>
          <w:p w14:paraId="7941A3B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4,6%</w:t>
            </w:r>
          </w:p>
        </w:tc>
      </w:tr>
      <w:tr w:rsidR="004D63F3" w14:paraId="52688AC3"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0FA24AD"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Illes Balears</w:t>
            </w:r>
          </w:p>
        </w:tc>
        <w:tc>
          <w:tcPr>
            <w:tcW w:w="2126" w:type="dxa"/>
            <w:vAlign w:val="bottom"/>
          </w:tcPr>
          <w:p w14:paraId="375DC7BB"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Calvià</w:t>
            </w:r>
          </w:p>
        </w:tc>
        <w:tc>
          <w:tcPr>
            <w:tcW w:w="1559" w:type="dxa"/>
            <w:vAlign w:val="bottom"/>
          </w:tcPr>
          <w:p w14:paraId="23C4245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3,9%</w:t>
            </w:r>
          </w:p>
        </w:tc>
        <w:tc>
          <w:tcPr>
            <w:tcW w:w="1418" w:type="dxa"/>
          </w:tcPr>
          <w:p w14:paraId="36B28AB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vAlign w:val="bottom"/>
          </w:tcPr>
          <w:p w14:paraId="7A80BDB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4,5%</w:t>
            </w:r>
          </w:p>
        </w:tc>
        <w:tc>
          <w:tcPr>
            <w:tcW w:w="1426" w:type="dxa"/>
            <w:vAlign w:val="bottom"/>
          </w:tcPr>
          <w:p w14:paraId="37FBD00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4,6%</w:t>
            </w:r>
          </w:p>
        </w:tc>
      </w:tr>
      <w:tr w:rsidR="004D63F3" w14:paraId="7CB1DC87"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0FA03C1A"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112E5C15"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Montgat</w:t>
            </w:r>
          </w:p>
        </w:tc>
        <w:tc>
          <w:tcPr>
            <w:tcW w:w="1559" w:type="dxa"/>
          </w:tcPr>
          <w:p w14:paraId="3A8F52A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8" w:type="dxa"/>
          </w:tcPr>
          <w:p w14:paraId="2763371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tcPr>
          <w:p w14:paraId="24449C4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772C61D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4,6%</w:t>
            </w:r>
          </w:p>
        </w:tc>
      </w:tr>
      <w:tr w:rsidR="004D63F3" w14:paraId="63D32295"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E661111"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 Coruña</w:t>
            </w:r>
          </w:p>
        </w:tc>
        <w:tc>
          <w:tcPr>
            <w:tcW w:w="2126" w:type="dxa"/>
            <w:vAlign w:val="bottom"/>
          </w:tcPr>
          <w:p w14:paraId="3CA993EA"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 Coruña Capital</w:t>
            </w:r>
          </w:p>
        </w:tc>
        <w:tc>
          <w:tcPr>
            <w:tcW w:w="1559" w:type="dxa"/>
            <w:vAlign w:val="bottom"/>
          </w:tcPr>
          <w:p w14:paraId="509C509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3,2%</w:t>
            </w:r>
          </w:p>
        </w:tc>
        <w:tc>
          <w:tcPr>
            <w:tcW w:w="1418" w:type="dxa"/>
            <w:vAlign w:val="bottom"/>
          </w:tcPr>
          <w:p w14:paraId="17CBE5B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4,2%</w:t>
            </w:r>
          </w:p>
        </w:tc>
        <w:tc>
          <w:tcPr>
            <w:tcW w:w="1417" w:type="dxa"/>
            <w:vAlign w:val="bottom"/>
          </w:tcPr>
          <w:p w14:paraId="0437FD1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4,3%</w:t>
            </w:r>
          </w:p>
        </w:tc>
        <w:tc>
          <w:tcPr>
            <w:tcW w:w="1426" w:type="dxa"/>
            <w:vAlign w:val="bottom"/>
          </w:tcPr>
          <w:p w14:paraId="72F6096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4,6%</w:t>
            </w:r>
          </w:p>
        </w:tc>
      </w:tr>
      <w:tr w:rsidR="004D63F3" w14:paraId="255D0CA2"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5E2A5A4"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126" w:type="dxa"/>
            <w:vAlign w:val="bottom"/>
          </w:tcPr>
          <w:p w14:paraId="52F9538D"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Majadahonda</w:t>
            </w:r>
          </w:p>
        </w:tc>
        <w:tc>
          <w:tcPr>
            <w:tcW w:w="1559" w:type="dxa"/>
            <w:vAlign w:val="bottom"/>
          </w:tcPr>
          <w:p w14:paraId="4207334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4,1%</w:t>
            </w:r>
          </w:p>
        </w:tc>
        <w:tc>
          <w:tcPr>
            <w:tcW w:w="1418" w:type="dxa"/>
            <w:vAlign w:val="bottom"/>
          </w:tcPr>
          <w:p w14:paraId="2947B3B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4,7%</w:t>
            </w:r>
          </w:p>
        </w:tc>
        <w:tc>
          <w:tcPr>
            <w:tcW w:w="1417" w:type="dxa"/>
            <w:vAlign w:val="bottom"/>
          </w:tcPr>
          <w:p w14:paraId="3EC73E4A" w14:textId="77777777" w:rsidR="004D63F3" w:rsidRDefault="004D63F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p>
        </w:tc>
        <w:tc>
          <w:tcPr>
            <w:tcW w:w="1426" w:type="dxa"/>
            <w:vAlign w:val="bottom"/>
          </w:tcPr>
          <w:p w14:paraId="7CAD748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4,5%</w:t>
            </w:r>
          </w:p>
        </w:tc>
      </w:tr>
      <w:tr w:rsidR="004D63F3" w14:paraId="0AC0F909"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DBA5A5F"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7129DF34"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Vilassar de Mar</w:t>
            </w:r>
          </w:p>
        </w:tc>
        <w:tc>
          <w:tcPr>
            <w:tcW w:w="1559" w:type="dxa"/>
          </w:tcPr>
          <w:p w14:paraId="6E64AEE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8" w:type="dxa"/>
          </w:tcPr>
          <w:p w14:paraId="2797764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tcPr>
          <w:p w14:paraId="78A0E325"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4F36F77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4,5%</w:t>
            </w:r>
          </w:p>
        </w:tc>
      </w:tr>
      <w:tr w:rsidR="004D63F3" w14:paraId="78494029"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81E8F75"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2126" w:type="dxa"/>
            <w:vAlign w:val="bottom"/>
          </w:tcPr>
          <w:p w14:paraId="37725665"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Fuengirola</w:t>
            </w:r>
          </w:p>
        </w:tc>
        <w:tc>
          <w:tcPr>
            <w:tcW w:w="1559" w:type="dxa"/>
            <w:vAlign w:val="bottom"/>
          </w:tcPr>
          <w:p w14:paraId="386920D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4,7%</w:t>
            </w:r>
          </w:p>
        </w:tc>
        <w:tc>
          <w:tcPr>
            <w:tcW w:w="1418" w:type="dxa"/>
            <w:vAlign w:val="bottom"/>
          </w:tcPr>
          <w:p w14:paraId="341D517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4,9%</w:t>
            </w:r>
          </w:p>
        </w:tc>
        <w:tc>
          <w:tcPr>
            <w:tcW w:w="1417" w:type="dxa"/>
            <w:vAlign w:val="bottom"/>
          </w:tcPr>
          <w:p w14:paraId="63CA092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4,2%</w:t>
            </w:r>
          </w:p>
        </w:tc>
        <w:tc>
          <w:tcPr>
            <w:tcW w:w="1426" w:type="dxa"/>
            <w:vAlign w:val="bottom"/>
          </w:tcPr>
          <w:p w14:paraId="58CE2AB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4,5%</w:t>
            </w:r>
          </w:p>
        </w:tc>
      </w:tr>
      <w:tr w:rsidR="004D63F3" w14:paraId="0EBED9FC"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D2F6001"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0D82CAA0"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Sitges</w:t>
            </w:r>
          </w:p>
        </w:tc>
        <w:tc>
          <w:tcPr>
            <w:tcW w:w="1559" w:type="dxa"/>
            <w:vAlign w:val="bottom"/>
          </w:tcPr>
          <w:p w14:paraId="6DA421C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3,5%</w:t>
            </w:r>
          </w:p>
        </w:tc>
        <w:tc>
          <w:tcPr>
            <w:tcW w:w="1418" w:type="dxa"/>
            <w:vAlign w:val="bottom"/>
          </w:tcPr>
          <w:p w14:paraId="4CB1D93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4,2%</w:t>
            </w:r>
          </w:p>
        </w:tc>
        <w:tc>
          <w:tcPr>
            <w:tcW w:w="1417" w:type="dxa"/>
            <w:vAlign w:val="bottom"/>
          </w:tcPr>
          <w:p w14:paraId="5DE6024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4,3%</w:t>
            </w:r>
          </w:p>
        </w:tc>
        <w:tc>
          <w:tcPr>
            <w:tcW w:w="1426" w:type="dxa"/>
            <w:vAlign w:val="bottom"/>
          </w:tcPr>
          <w:p w14:paraId="5BF2DAC0"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4,4%</w:t>
            </w:r>
          </w:p>
        </w:tc>
      </w:tr>
      <w:tr w:rsidR="004D63F3" w14:paraId="31E9E8F1"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4ABD510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 Coruña</w:t>
            </w:r>
          </w:p>
        </w:tc>
        <w:tc>
          <w:tcPr>
            <w:tcW w:w="2126" w:type="dxa"/>
            <w:vAlign w:val="bottom"/>
          </w:tcPr>
          <w:p w14:paraId="5BDAEB2F"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Santiago de Compostela</w:t>
            </w:r>
          </w:p>
        </w:tc>
        <w:tc>
          <w:tcPr>
            <w:tcW w:w="1559" w:type="dxa"/>
            <w:vAlign w:val="bottom"/>
          </w:tcPr>
          <w:p w14:paraId="787D624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2,9%</w:t>
            </w:r>
          </w:p>
        </w:tc>
        <w:tc>
          <w:tcPr>
            <w:tcW w:w="1418" w:type="dxa"/>
            <w:vAlign w:val="bottom"/>
          </w:tcPr>
          <w:p w14:paraId="7D2F654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3,7%</w:t>
            </w:r>
          </w:p>
        </w:tc>
        <w:tc>
          <w:tcPr>
            <w:tcW w:w="1417" w:type="dxa"/>
            <w:vAlign w:val="bottom"/>
          </w:tcPr>
          <w:p w14:paraId="1E4E276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4,2%</w:t>
            </w:r>
          </w:p>
        </w:tc>
        <w:tc>
          <w:tcPr>
            <w:tcW w:w="1426" w:type="dxa"/>
            <w:vAlign w:val="bottom"/>
          </w:tcPr>
          <w:p w14:paraId="374A213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4,4%</w:t>
            </w:r>
          </w:p>
        </w:tc>
      </w:tr>
      <w:tr w:rsidR="004D63F3" w14:paraId="7CD4F9EF"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759A3FD6"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2126" w:type="dxa"/>
            <w:vAlign w:val="bottom"/>
          </w:tcPr>
          <w:p w14:paraId="398FF03A"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Sant Cugat del Vallès</w:t>
            </w:r>
          </w:p>
        </w:tc>
        <w:tc>
          <w:tcPr>
            <w:tcW w:w="1559" w:type="dxa"/>
            <w:vAlign w:val="bottom"/>
          </w:tcPr>
          <w:p w14:paraId="61FFA1B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4,0%</w:t>
            </w:r>
          </w:p>
        </w:tc>
        <w:tc>
          <w:tcPr>
            <w:tcW w:w="1418" w:type="dxa"/>
            <w:vAlign w:val="bottom"/>
          </w:tcPr>
          <w:p w14:paraId="26EC79C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4,8%</w:t>
            </w:r>
          </w:p>
        </w:tc>
        <w:tc>
          <w:tcPr>
            <w:tcW w:w="1417" w:type="dxa"/>
            <w:vAlign w:val="bottom"/>
          </w:tcPr>
          <w:p w14:paraId="5908578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4,0%</w:t>
            </w:r>
          </w:p>
        </w:tc>
        <w:tc>
          <w:tcPr>
            <w:tcW w:w="1426" w:type="dxa"/>
            <w:vAlign w:val="bottom"/>
          </w:tcPr>
          <w:p w14:paraId="3013A60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4,3%</w:t>
            </w:r>
          </w:p>
        </w:tc>
      </w:tr>
      <w:tr w:rsidR="004D63F3" w14:paraId="22A15D50"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11854A27"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Bizkaia</w:t>
            </w:r>
          </w:p>
        </w:tc>
        <w:tc>
          <w:tcPr>
            <w:tcW w:w="2126" w:type="dxa"/>
            <w:vAlign w:val="bottom"/>
          </w:tcPr>
          <w:p w14:paraId="417A6541"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Getxo</w:t>
            </w:r>
          </w:p>
        </w:tc>
        <w:tc>
          <w:tcPr>
            <w:tcW w:w="1559" w:type="dxa"/>
            <w:vAlign w:val="bottom"/>
          </w:tcPr>
          <w:p w14:paraId="0F8B331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3,4%</w:t>
            </w:r>
          </w:p>
        </w:tc>
        <w:tc>
          <w:tcPr>
            <w:tcW w:w="1418" w:type="dxa"/>
            <w:vAlign w:val="bottom"/>
          </w:tcPr>
          <w:p w14:paraId="6A3420A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4,2%</w:t>
            </w:r>
          </w:p>
        </w:tc>
        <w:tc>
          <w:tcPr>
            <w:tcW w:w="1417" w:type="dxa"/>
            <w:vAlign w:val="bottom"/>
          </w:tcPr>
          <w:p w14:paraId="6CD6311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4,0%</w:t>
            </w:r>
          </w:p>
        </w:tc>
        <w:tc>
          <w:tcPr>
            <w:tcW w:w="1426" w:type="dxa"/>
            <w:vAlign w:val="bottom"/>
          </w:tcPr>
          <w:p w14:paraId="7026FC1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4,2%</w:t>
            </w:r>
          </w:p>
        </w:tc>
      </w:tr>
      <w:tr w:rsidR="004D63F3" w14:paraId="5C974DC5"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3859C02"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126" w:type="dxa"/>
            <w:vAlign w:val="bottom"/>
          </w:tcPr>
          <w:p w14:paraId="57BEB950"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Pozuelo de Alarcón</w:t>
            </w:r>
          </w:p>
        </w:tc>
        <w:tc>
          <w:tcPr>
            <w:tcW w:w="1559" w:type="dxa"/>
            <w:vAlign w:val="bottom"/>
          </w:tcPr>
          <w:p w14:paraId="4AD821E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3,7%</w:t>
            </w:r>
          </w:p>
        </w:tc>
        <w:tc>
          <w:tcPr>
            <w:tcW w:w="1418" w:type="dxa"/>
          </w:tcPr>
          <w:p w14:paraId="609A889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vAlign w:val="bottom"/>
          </w:tcPr>
          <w:p w14:paraId="23760C1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4,0%</w:t>
            </w:r>
          </w:p>
        </w:tc>
        <w:tc>
          <w:tcPr>
            <w:tcW w:w="1426" w:type="dxa"/>
            <w:vAlign w:val="bottom"/>
          </w:tcPr>
          <w:p w14:paraId="02BB0AB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4,2%</w:t>
            </w:r>
          </w:p>
        </w:tc>
      </w:tr>
      <w:tr w:rsidR="004D63F3" w14:paraId="228D604C"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338F745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Illes Balears</w:t>
            </w:r>
          </w:p>
        </w:tc>
        <w:tc>
          <w:tcPr>
            <w:tcW w:w="2126" w:type="dxa"/>
            <w:vAlign w:val="bottom"/>
          </w:tcPr>
          <w:p w14:paraId="216FA638"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Eivissa</w:t>
            </w:r>
          </w:p>
        </w:tc>
        <w:tc>
          <w:tcPr>
            <w:tcW w:w="1559" w:type="dxa"/>
            <w:vAlign w:val="bottom"/>
          </w:tcPr>
          <w:p w14:paraId="5348800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3,7%</w:t>
            </w:r>
          </w:p>
        </w:tc>
        <w:tc>
          <w:tcPr>
            <w:tcW w:w="1418" w:type="dxa"/>
          </w:tcPr>
          <w:p w14:paraId="1F650DB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vAlign w:val="bottom"/>
          </w:tcPr>
          <w:p w14:paraId="02CB4E7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4C8EEFA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4,1%</w:t>
            </w:r>
          </w:p>
        </w:tc>
      </w:tr>
      <w:tr w:rsidR="004D63F3" w14:paraId="6AF8FD08"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24B400AE"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126" w:type="dxa"/>
            <w:vAlign w:val="bottom"/>
          </w:tcPr>
          <w:p w14:paraId="288AC81D"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Tres Cantos</w:t>
            </w:r>
          </w:p>
        </w:tc>
        <w:tc>
          <w:tcPr>
            <w:tcW w:w="1559" w:type="dxa"/>
            <w:vAlign w:val="bottom"/>
          </w:tcPr>
          <w:p w14:paraId="6F2BBD2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4,3%</w:t>
            </w:r>
          </w:p>
        </w:tc>
        <w:tc>
          <w:tcPr>
            <w:tcW w:w="1418" w:type="dxa"/>
          </w:tcPr>
          <w:p w14:paraId="7C0458F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tcPr>
          <w:p w14:paraId="4DD690E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26" w:type="dxa"/>
            <w:vAlign w:val="bottom"/>
          </w:tcPr>
          <w:p w14:paraId="3B815079"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4,0%</w:t>
            </w:r>
          </w:p>
        </w:tc>
      </w:tr>
      <w:tr w:rsidR="004D63F3" w14:paraId="18FC0170" w14:textId="77777777" w:rsidTr="004D63F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D101C42"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Gipuzkoa</w:t>
            </w:r>
          </w:p>
        </w:tc>
        <w:tc>
          <w:tcPr>
            <w:tcW w:w="2126" w:type="dxa"/>
            <w:vAlign w:val="bottom"/>
          </w:tcPr>
          <w:p w14:paraId="1E18EFAA" w14:textId="77777777" w:rsidR="004D63F3"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Donostia - San Sebastián</w:t>
            </w:r>
          </w:p>
        </w:tc>
        <w:tc>
          <w:tcPr>
            <w:tcW w:w="1559" w:type="dxa"/>
            <w:vAlign w:val="bottom"/>
          </w:tcPr>
          <w:p w14:paraId="3DAEFE9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3,0%</w:t>
            </w:r>
          </w:p>
        </w:tc>
        <w:tc>
          <w:tcPr>
            <w:tcW w:w="1418" w:type="dxa"/>
            <w:vAlign w:val="bottom"/>
          </w:tcPr>
          <w:p w14:paraId="7D69924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3,8%</w:t>
            </w:r>
          </w:p>
        </w:tc>
        <w:tc>
          <w:tcPr>
            <w:tcW w:w="1417" w:type="dxa"/>
            <w:vAlign w:val="bottom"/>
          </w:tcPr>
          <w:p w14:paraId="561EEE6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3,6%</w:t>
            </w:r>
          </w:p>
        </w:tc>
        <w:tc>
          <w:tcPr>
            <w:tcW w:w="1426" w:type="dxa"/>
            <w:vAlign w:val="bottom"/>
          </w:tcPr>
          <w:p w14:paraId="7BAC386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3,9%</w:t>
            </w:r>
          </w:p>
        </w:tc>
      </w:tr>
      <w:tr w:rsidR="004D63F3" w14:paraId="1BFD5906" w14:textId="77777777" w:rsidTr="004D63F3">
        <w:trPr>
          <w:trHeight w:val="244"/>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16CFE6A7"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126" w:type="dxa"/>
            <w:vAlign w:val="bottom"/>
          </w:tcPr>
          <w:p w14:paraId="40D05AA7" w14:textId="77777777" w:rsidR="004D63F3"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La Moraleja</w:t>
            </w:r>
          </w:p>
        </w:tc>
        <w:tc>
          <w:tcPr>
            <w:tcW w:w="1559" w:type="dxa"/>
          </w:tcPr>
          <w:p w14:paraId="1432852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8" w:type="dxa"/>
          </w:tcPr>
          <w:p w14:paraId="712BADE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Open Sans" w:eastAsia="Open Sans" w:hAnsi="Open Sans" w:cs="Open Sans"/>
                <w:color w:val="000000"/>
                <w:sz w:val="22"/>
                <w:szCs w:val="22"/>
              </w:rPr>
              <w:t>-</w:t>
            </w:r>
          </w:p>
        </w:tc>
        <w:tc>
          <w:tcPr>
            <w:tcW w:w="1417" w:type="dxa"/>
            <w:vAlign w:val="bottom"/>
          </w:tcPr>
          <w:p w14:paraId="33BBEE6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3,7%</w:t>
            </w:r>
          </w:p>
        </w:tc>
        <w:tc>
          <w:tcPr>
            <w:tcW w:w="1426" w:type="dxa"/>
            <w:vAlign w:val="bottom"/>
          </w:tcPr>
          <w:p w14:paraId="4BB5E41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Pr>
                <w:rFonts w:ascii="Arial" w:eastAsia="Arial" w:hAnsi="Arial" w:cs="Arial"/>
                <w:color w:val="000000"/>
                <w:sz w:val="22"/>
                <w:szCs w:val="22"/>
              </w:rPr>
              <w:t>3,7%</w:t>
            </w:r>
          </w:p>
        </w:tc>
      </w:tr>
    </w:tbl>
    <w:p w14:paraId="614CF3E6" w14:textId="77777777" w:rsidR="004D63F3" w:rsidRDefault="004D63F3">
      <w:pPr>
        <w:jc w:val="both"/>
        <w:rPr>
          <w:rFonts w:ascii="Open Sans Light" w:eastAsia="Open Sans Light" w:hAnsi="Open Sans Light" w:cs="Open Sans Light"/>
          <w:color w:val="404040"/>
        </w:rPr>
      </w:pPr>
    </w:p>
    <w:p w14:paraId="6035ABA6" w14:textId="77777777" w:rsidR="004D63F3"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rPr>
        <w:t>Tabla 4. Rentabilidad de la vivienda por distritos de Madrid en 2017, 2021 y 2022</w:t>
      </w:r>
    </w:p>
    <w:tbl>
      <w:tblPr>
        <w:tblStyle w:val="a2"/>
        <w:tblW w:w="8880"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44"/>
        <w:gridCol w:w="2133"/>
        <w:gridCol w:w="1956"/>
        <w:gridCol w:w="1947"/>
      </w:tblGrid>
      <w:tr w:rsidR="004D63F3" w14:paraId="53B485FC" w14:textId="77777777" w:rsidTr="004D63F3">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844" w:type="dxa"/>
          </w:tcPr>
          <w:p w14:paraId="0606EB21" w14:textId="77777777" w:rsidR="004D63F3" w:rsidRDefault="00000000">
            <w:pPr>
              <w:rPr>
                <w:rFonts w:ascii="Open Sans" w:eastAsia="Open Sans" w:hAnsi="Open Sans" w:cs="Open Sans"/>
                <w:sz w:val="22"/>
                <w:szCs w:val="22"/>
              </w:rPr>
            </w:pPr>
            <w:r>
              <w:rPr>
                <w:rFonts w:ascii="Open Sans" w:eastAsia="Open Sans" w:hAnsi="Open Sans" w:cs="Open Sans"/>
                <w:sz w:val="22"/>
                <w:szCs w:val="22"/>
              </w:rPr>
              <w:t>Distritos de Madrid</w:t>
            </w:r>
          </w:p>
        </w:tc>
        <w:tc>
          <w:tcPr>
            <w:tcW w:w="2133" w:type="dxa"/>
          </w:tcPr>
          <w:p w14:paraId="52771313"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 xml:space="preserve">Rentabilidad </w:t>
            </w:r>
          </w:p>
          <w:p w14:paraId="3D23A1AF"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2017 (5 años)</w:t>
            </w:r>
          </w:p>
        </w:tc>
        <w:tc>
          <w:tcPr>
            <w:tcW w:w="1956" w:type="dxa"/>
          </w:tcPr>
          <w:p w14:paraId="1AFE91FD"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33336177"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2021 (1 año)</w:t>
            </w:r>
          </w:p>
        </w:tc>
        <w:tc>
          <w:tcPr>
            <w:tcW w:w="1947" w:type="dxa"/>
          </w:tcPr>
          <w:p w14:paraId="552EE1CE"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029971EF" w14:textId="77777777" w:rsidR="004D63F3"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i/>
                <w:color w:val="000000"/>
                <w:sz w:val="22"/>
                <w:szCs w:val="22"/>
              </w:rPr>
            </w:pPr>
            <w:r>
              <w:rPr>
                <w:rFonts w:ascii="Open Sans" w:eastAsia="Open Sans" w:hAnsi="Open Sans" w:cs="Open Sans"/>
                <w:b w:val="0"/>
                <w:color w:val="000000"/>
                <w:sz w:val="22"/>
                <w:szCs w:val="22"/>
              </w:rPr>
              <w:t>2022</w:t>
            </w:r>
          </w:p>
        </w:tc>
      </w:tr>
      <w:tr w:rsidR="004D63F3" w14:paraId="05C3BCBF" w14:textId="77777777" w:rsidTr="004D63F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844" w:type="dxa"/>
          </w:tcPr>
          <w:p w14:paraId="4F84FC2D"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Villaverde</w:t>
            </w:r>
          </w:p>
        </w:tc>
        <w:tc>
          <w:tcPr>
            <w:tcW w:w="2133" w:type="dxa"/>
            <w:vAlign w:val="bottom"/>
          </w:tcPr>
          <w:p w14:paraId="3BCB1CD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56" w:type="dxa"/>
            <w:vAlign w:val="bottom"/>
          </w:tcPr>
          <w:p w14:paraId="7A1E63C8"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7,6%</w:t>
            </w:r>
          </w:p>
        </w:tc>
        <w:tc>
          <w:tcPr>
            <w:tcW w:w="1947" w:type="dxa"/>
            <w:vAlign w:val="bottom"/>
          </w:tcPr>
          <w:p w14:paraId="7AE6DD4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7,9%</w:t>
            </w:r>
          </w:p>
        </w:tc>
      </w:tr>
      <w:tr w:rsidR="004D63F3" w14:paraId="4F7C28B3" w14:textId="77777777" w:rsidTr="004D63F3">
        <w:trPr>
          <w:trHeight w:val="289"/>
        </w:trPr>
        <w:tc>
          <w:tcPr>
            <w:cnfStyle w:val="001000000000" w:firstRow="0" w:lastRow="0" w:firstColumn="1" w:lastColumn="0" w:oddVBand="0" w:evenVBand="0" w:oddHBand="0" w:evenHBand="0" w:firstRowFirstColumn="0" w:firstRowLastColumn="0" w:lastRowFirstColumn="0" w:lastRowLastColumn="0"/>
            <w:tcW w:w="2844" w:type="dxa"/>
          </w:tcPr>
          <w:p w14:paraId="412C97A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Usera</w:t>
            </w:r>
          </w:p>
        </w:tc>
        <w:tc>
          <w:tcPr>
            <w:tcW w:w="2133" w:type="dxa"/>
            <w:vAlign w:val="bottom"/>
          </w:tcPr>
          <w:p w14:paraId="66C3625F"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7,4%</w:t>
            </w:r>
          </w:p>
        </w:tc>
        <w:tc>
          <w:tcPr>
            <w:tcW w:w="1956" w:type="dxa"/>
            <w:vAlign w:val="bottom"/>
          </w:tcPr>
          <w:p w14:paraId="70A1BBE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c>
          <w:tcPr>
            <w:tcW w:w="1947" w:type="dxa"/>
            <w:vAlign w:val="bottom"/>
          </w:tcPr>
          <w:p w14:paraId="07B1EA7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7,4%</w:t>
            </w:r>
          </w:p>
        </w:tc>
      </w:tr>
      <w:tr w:rsidR="004D63F3" w14:paraId="3B0D70F2" w14:textId="77777777" w:rsidTr="004D63F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844" w:type="dxa"/>
          </w:tcPr>
          <w:p w14:paraId="69323C95"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Puente de Vallecas</w:t>
            </w:r>
          </w:p>
        </w:tc>
        <w:tc>
          <w:tcPr>
            <w:tcW w:w="2133" w:type="dxa"/>
            <w:vAlign w:val="bottom"/>
          </w:tcPr>
          <w:p w14:paraId="474B0D0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8,0%</w:t>
            </w:r>
          </w:p>
        </w:tc>
        <w:tc>
          <w:tcPr>
            <w:tcW w:w="1956" w:type="dxa"/>
            <w:vAlign w:val="bottom"/>
          </w:tcPr>
          <w:p w14:paraId="253E8FE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7,0%</w:t>
            </w:r>
          </w:p>
        </w:tc>
        <w:tc>
          <w:tcPr>
            <w:tcW w:w="1947" w:type="dxa"/>
            <w:vAlign w:val="bottom"/>
          </w:tcPr>
          <w:p w14:paraId="6C23F8D2"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6,6%</w:t>
            </w:r>
          </w:p>
        </w:tc>
      </w:tr>
      <w:tr w:rsidR="004D63F3" w14:paraId="2FC0E8C8" w14:textId="77777777" w:rsidTr="004D63F3">
        <w:trPr>
          <w:trHeight w:val="289"/>
        </w:trPr>
        <w:tc>
          <w:tcPr>
            <w:cnfStyle w:val="001000000000" w:firstRow="0" w:lastRow="0" w:firstColumn="1" w:lastColumn="0" w:oddVBand="0" w:evenVBand="0" w:oddHBand="0" w:evenHBand="0" w:firstRowFirstColumn="0" w:firstRowLastColumn="0" w:lastRowFirstColumn="0" w:lastRowLastColumn="0"/>
            <w:tcW w:w="2844" w:type="dxa"/>
          </w:tcPr>
          <w:p w14:paraId="0DB2DA0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Carabanchel</w:t>
            </w:r>
          </w:p>
        </w:tc>
        <w:tc>
          <w:tcPr>
            <w:tcW w:w="2133" w:type="dxa"/>
            <w:vAlign w:val="bottom"/>
          </w:tcPr>
          <w:p w14:paraId="2163A19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6,7%</w:t>
            </w:r>
          </w:p>
        </w:tc>
        <w:tc>
          <w:tcPr>
            <w:tcW w:w="1956" w:type="dxa"/>
            <w:vAlign w:val="bottom"/>
          </w:tcPr>
          <w:p w14:paraId="063A6C7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6,3%</w:t>
            </w:r>
          </w:p>
        </w:tc>
        <w:tc>
          <w:tcPr>
            <w:tcW w:w="1947" w:type="dxa"/>
            <w:vAlign w:val="bottom"/>
          </w:tcPr>
          <w:p w14:paraId="0A6069A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r>
      <w:tr w:rsidR="004D63F3" w14:paraId="227161E2" w14:textId="77777777" w:rsidTr="004D63F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844" w:type="dxa"/>
          </w:tcPr>
          <w:p w14:paraId="16AF0957"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lastRenderedPageBreak/>
              <w:t>Latina</w:t>
            </w:r>
          </w:p>
        </w:tc>
        <w:tc>
          <w:tcPr>
            <w:tcW w:w="2133" w:type="dxa"/>
            <w:vAlign w:val="bottom"/>
          </w:tcPr>
          <w:p w14:paraId="5406096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5,9%</w:t>
            </w:r>
          </w:p>
        </w:tc>
        <w:tc>
          <w:tcPr>
            <w:tcW w:w="1956" w:type="dxa"/>
            <w:vAlign w:val="bottom"/>
          </w:tcPr>
          <w:p w14:paraId="06A464A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5,9%</w:t>
            </w:r>
          </w:p>
        </w:tc>
        <w:tc>
          <w:tcPr>
            <w:tcW w:w="1947" w:type="dxa"/>
            <w:vAlign w:val="bottom"/>
          </w:tcPr>
          <w:p w14:paraId="6BB539A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6,0%</w:t>
            </w:r>
          </w:p>
        </w:tc>
      </w:tr>
      <w:tr w:rsidR="004D63F3" w14:paraId="593F4656" w14:textId="77777777" w:rsidTr="004D63F3">
        <w:trPr>
          <w:trHeight w:val="304"/>
        </w:trPr>
        <w:tc>
          <w:tcPr>
            <w:cnfStyle w:val="001000000000" w:firstRow="0" w:lastRow="0" w:firstColumn="1" w:lastColumn="0" w:oddVBand="0" w:evenVBand="0" w:oddHBand="0" w:evenHBand="0" w:firstRowFirstColumn="0" w:firstRowLastColumn="0" w:lastRowFirstColumn="0" w:lastRowLastColumn="0"/>
            <w:tcW w:w="2844" w:type="dxa"/>
          </w:tcPr>
          <w:p w14:paraId="72C4E727"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Villa de Vallecas</w:t>
            </w:r>
          </w:p>
        </w:tc>
        <w:tc>
          <w:tcPr>
            <w:tcW w:w="2133" w:type="dxa"/>
            <w:vAlign w:val="bottom"/>
          </w:tcPr>
          <w:p w14:paraId="06E4AB0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5,5%</w:t>
            </w:r>
          </w:p>
        </w:tc>
        <w:tc>
          <w:tcPr>
            <w:tcW w:w="1956" w:type="dxa"/>
            <w:vAlign w:val="bottom"/>
          </w:tcPr>
          <w:p w14:paraId="0D81AF5E"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5,5%</w:t>
            </w:r>
          </w:p>
        </w:tc>
        <w:tc>
          <w:tcPr>
            <w:tcW w:w="1947" w:type="dxa"/>
            <w:vAlign w:val="bottom"/>
          </w:tcPr>
          <w:p w14:paraId="433166B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r>
      <w:tr w:rsidR="004D63F3" w14:paraId="4C3ED29D" w14:textId="77777777" w:rsidTr="004D63F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844" w:type="dxa"/>
          </w:tcPr>
          <w:p w14:paraId="6B7A3DBC"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Moratalaz</w:t>
            </w:r>
          </w:p>
        </w:tc>
        <w:tc>
          <w:tcPr>
            <w:tcW w:w="2133" w:type="dxa"/>
          </w:tcPr>
          <w:p w14:paraId="4B9F561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56" w:type="dxa"/>
          </w:tcPr>
          <w:p w14:paraId="3AB6E036"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47" w:type="dxa"/>
            <w:vAlign w:val="bottom"/>
          </w:tcPr>
          <w:p w14:paraId="14C45D5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5,4%</w:t>
            </w:r>
          </w:p>
        </w:tc>
      </w:tr>
      <w:tr w:rsidR="004D63F3" w14:paraId="34DA653B" w14:textId="77777777" w:rsidTr="004D63F3">
        <w:trPr>
          <w:trHeight w:val="304"/>
        </w:trPr>
        <w:tc>
          <w:tcPr>
            <w:cnfStyle w:val="001000000000" w:firstRow="0" w:lastRow="0" w:firstColumn="1" w:lastColumn="0" w:oddVBand="0" w:evenVBand="0" w:oddHBand="0" w:evenHBand="0" w:firstRowFirstColumn="0" w:firstRowLastColumn="0" w:lastRowFirstColumn="0" w:lastRowLastColumn="0"/>
            <w:tcW w:w="2844" w:type="dxa"/>
          </w:tcPr>
          <w:p w14:paraId="2122A75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Vicálvaro</w:t>
            </w:r>
          </w:p>
        </w:tc>
        <w:tc>
          <w:tcPr>
            <w:tcW w:w="2133" w:type="dxa"/>
          </w:tcPr>
          <w:p w14:paraId="497B0B20"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56" w:type="dxa"/>
          </w:tcPr>
          <w:p w14:paraId="1066A5E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47" w:type="dxa"/>
            <w:vAlign w:val="bottom"/>
          </w:tcPr>
          <w:p w14:paraId="4CF6D87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5,3%</w:t>
            </w:r>
          </w:p>
        </w:tc>
      </w:tr>
      <w:tr w:rsidR="004D63F3" w14:paraId="3BC639B5" w14:textId="77777777" w:rsidTr="004D63F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844" w:type="dxa"/>
          </w:tcPr>
          <w:p w14:paraId="396A5DC7"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San Blas</w:t>
            </w:r>
          </w:p>
        </w:tc>
        <w:tc>
          <w:tcPr>
            <w:tcW w:w="2133" w:type="dxa"/>
            <w:vAlign w:val="bottom"/>
          </w:tcPr>
          <w:p w14:paraId="409C70DD"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5,7%</w:t>
            </w:r>
          </w:p>
        </w:tc>
        <w:tc>
          <w:tcPr>
            <w:tcW w:w="1956" w:type="dxa"/>
            <w:vAlign w:val="bottom"/>
          </w:tcPr>
          <w:p w14:paraId="4CA2926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4,9%</w:t>
            </w:r>
          </w:p>
        </w:tc>
        <w:tc>
          <w:tcPr>
            <w:tcW w:w="1947" w:type="dxa"/>
            <w:vAlign w:val="bottom"/>
          </w:tcPr>
          <w:p w14:paraId="13D70AC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5,2%</w:t>
            </w:r>
          </w:p>
        </w:tc>
      </w:tr>
      <w:tr w:rsidR="004D63F3" w14:paraId="7D67F454" w14:textId="77777777" w:rsidTr="004D63F3">
        <w:trPr>
          <w:trHeight w:val="304"/>
        </w:trPr>
        <w:tc>
          <w:tcPr>
            <w:cnfStyle w:val="001000000000" w:firstRow="0" w:lastRow="0" w:firstColumn="1" w:lastColumn="0" w:oddVBand="0" w:evenVBand="0" w:oddHBand="0" w:evenHBand="0" w:firstRowFirstColumn="0" w:firstRowLastColumn="0" w:lastRowFirstColumn="0" w:lastRowLastColumn="0"/>
            <w:tcW w:w="2844" w:type="dxa"/>
          </w:tcPr>
          <w:p w14:paraId="3EA0A96C"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Ciudad Lineal</w:t>
            </w:r>
          </w:p>
        </w:tc>
        <w:tc>
          <w:tcPr>
            <w:tcW w:w="2133" w:type="dxa"/>
            <w:vAlign w:val="bottom"/>
          </w:tcPr>
          <w:p w14:paraId="349077D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5,9%</w:t>
            </w:r>
          </w:p>
        </w:tc>
        <w:tc>
          <w:tcPr>
            <w:tcW w:w="1956" w:type="dxa"/>
            <w:vAlign w:val="bottom"/>
          </w:tcPr>
          <w:p w14:paraId="25514FC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4,7%</w:t>
            </w:r>
          </w:p>
        </w:tc>
        <w:tc>
          <w:tcPr>
            <w:tcW w:w="1947" w:type="dxa"/>
            <w:vAlign w:val="bottom"/>
          </w:tcPr>
          <w:p w14:paraId="3B6DC69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4,9%</w:t>
            </w:r>
          </w:p>
        </w:tc>
      </w:tr>
      <w:tr w:rsidR="004D63F3" w14:paraId="4DD4085E" w14:textId="77777777" w:rsidTr="004D63F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844" w:type="dxa"/>
          </w:tcPr>
          <w:p w14:paraId="18152F2F"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Tetuán</w:t>
            </w:r>
          </w:p>
        </w:tc>
        <w:tc>
          <w:tcPr>
            <w:tcW w:w="2133" w:type="dxa"/>
            <w:vAlign w:val="bottom"/>
          </w:tcPr>
          <w:p w14:paraId="7FBFCA81"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c>
          <w:tcPr>
            <w:tcW w:w="1956" w:type="dxa"/>
            <w:vAlign w:val="bottom"/>
          </w:tcPr>
          <w:p w14:paraId="7BC8AC0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4,7%</w:t>
            </w:r>
          </w:p>
        </w:tc>
        <w:tc>
          <w:tcPr>
            <w:tcW w:w="1947" w:type="dxa"/>
            <w:vAlign w:val="bottom"/>
          </w:tcPr>
          <w:p w14:paraId="5C7D4BD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4,8%</w:t>
            </w:r>
          </w:p>
        </w:tc>
      </w:tr>
      <w:tr w:rsidR="004D63F3" w14:paraId="61CB6802" w14:textId="77777777" w:rsidTr="004D63F3">
        <w:trPr>
          <w:trHeight w:val="304"/>
        </w:trPr>
        <w:tc>
          <w:tcPr>
            <w:cnfStyle w:val="001000000000" w:firstRow="0" w:lastRow="0" w:firstColumn="1" w:lastColumn="0" w:oddVBand="0" w:evenVBand="0" w:oddHBand="0" w:evenHBand="0" w:firstRowFirstColumn="0" w:firstRowLastColumn="0" w:lastRowFirstColumn="0" w:lastRowLastColumn="0"/>
            <w:tcW w:w="2844" w:type="dxa"/>
          </w:tcPr>
          <w:p w14:paraId="5A51E8FF"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Barajas</w:t>
            </w:r>
          </w:p>
        </w:tc>
        <w:tc>
          <w:tcPr>
            <w:tcW w:w="2133" w:type="dxa"/>
            <w:vAlign w:val="bottom"/>
          </w:tcPr>
          <w:p w14:paraId="1364593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56" w:type="dxa"/>
            <w:vAlign w:val="bottom"/>
          </w:tcPr>
          <w:p w14:paraId="0BBFD0B4"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4,3%</w:t>
            </w:r>
          </w:p>
        </w:tc>
        <w:tc>
          <w:tcPr>
            <w:tcW w:w="1947" w:type="dxa"/>
            <w:vAlign w:val="bottom"/>
          </w:tcPr>
          <w:p w14:paraId="58B63991"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4,6%</w:t>
            </w:r>
          </w:p>
        </w:tc>
      </w:tr>
      <w:tr w:rsidR="004D63F3" w14:paraId="46DB3300" w14:textId="77777777" w:rsidTr="004D63F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844" w:type="dxa"/>
          </w:tcPr>
          <w:p w14:paraId="536209FD"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Arganzuela</w:t>
            </w:r>
          </w:p>
        </w:tc>
        <w:tc>
          <w:tcPr>
            <w:tcW w:w="2133" w:type="dxa"/>
            <w:vAlign w:val="bottom"/>
          </w:tcPr>
          <w:p w14:paraId="73261303"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5,1%</w:t>
            </w:r>
          </w:p>
        </w:tc>
        <w:tc>
          <w:tcPr>
            <w:tcW w:w="1956" w:type="dxa"/>
            <w:vAlign w:val="bottom"/>
          </w:tcPr>
          <w:p w14:paraId="16B44DB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4,3%</w:t>
            </w:r>
          </w:p>
        </w:tc>
        <w:tc>
          <w:tcPr>
            <w:tcW w:w="1947" w:type="dxa"/>
            <w:vAlign w:val="bottom"/>
          </w:tcPr>
          <w:p w14:paraId="1E15D6B9"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4,5%</w:t>
            </w:r>
          </w:p>
        </w:tc>
      </w:tr>
      <w:tr w:rsidR="004D63F3" w14:paraId="3FE3FFA2" w14:textId="77777777" w:rsidTr="004D63F3">
        <w:trPr>
          <w:trHeight w:val="289"/>
        </w:trPr>
        <w:tc>
          <w:tcPr>
            <w:cnfStyle w:val="001000000000" w:firstRow="0" w:lastRow="0" w:firstColumn="1" w:lastColumn="0" w:oddVBand="0" w:evenVBand="0" w:oddHBand="0" w:evenHBand="0" w:firstRowFirstColumn="0" w:firstRowLastColumn="0" w:lastRowFirstColumn="0" w:lastRowLastColumn="0"/>
            <w:tcW w:w="2844" w:type="dxa"/>
          </w:tcPr>
          <w:p w14:paraId="62405EE4"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Hortaleza</w:t>
            </w:r>
          </w:p>
        </w:tc>
        <w:tc>
          <w:tcPr>
            <w:tcW w:w="2133" w:type="dxa"/>
            <w:vAlign w:val="bottom"/>
          </w:tcPr>
          <w:p w14:paraId="5A852D23"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4,8%</w:t>
            </w:r>
          </w:p>
        </w:tc>
        <w:tc>
          <w:tcPr>
            <w:tcW w:w="1956" w:type="dxa"/>
            <w:vAlign w:val="bottom"/>
          </w:tcPr>
          <w:p w14:paraId="42218F86"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4,1%</w:t>
            </w:r>
          </w:p>
        </w:tc>
        <w:tc>
          <w:tcPr>
            <w:tcW w:w="1947" w:type="dxa"/>
            <w:vAlign w:val="bottom"/>
          </w:tcPr>
          <w:p w14:paraId="1C8BF28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4,5%</w:t>
            </w:r>
          </w:p>
        </w:tc>
      </w:tr>
      <w:tr w:rsidR="004D63F3" w14:paraId="6637814C" w14:textId="77777777" w:rsidTr="004D63F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844" w:type="dxa"/>
          </w:tcPr>
          <w:p w14:paraId="28D2B47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Centro</w:t>
            </w:r>
          </w:p>
        </w:tc>
        <w:tc>
          <w:tcPr>
            <w:tcW w:w="2133" w:type="dxa"/>
            <w:vAlign w:val="bottom"/>
          </w:tcPr>
          <w:p w14:paraId="3662A93A"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4,8%</w:t>
            </w:r>
          </w:p>
        </w:tc>
        <w:tc>
          <w:tcPr>
            <w:tcW w:w="1956" w:type="dxa"/>
            <w:vAlign w:val="bottom"/>
          </w:tcPr>
          <w:p w14:paraId="0202E80C"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4,1%</w:t>
            </w:r>
          </w:p>
        </w:tc>
        <w:tc>
          <w:tcPr>
            <w:tcW w:w="1947" w:type="dxa"/>
            <w:vAlign w:val="bottom"/>
          </w:tcPr>
          <w:p w14:paraId="448CBCE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4,4%</w:t>
            </w:r>
          </w:p>
        </w:tc>
      </w:tr>
      <w:tr w:rsidR="004D63F3" w14:paraId="497185C4" w14:textId="77777777" w:rsidTr="004D63F3">
        <w:trPr>
          <w:trHeight w:val="289"/>
        </w:trPr>
        <w:tc>
          <w:tcPr>
            <w:cnfStyle w:val="001000000000" w:firstRow="0" w:lastRow="0" w:firstColumn="1" w:lastColumn="0" w:oddVBand="0" w:evenVBand="0" w:oddHBand="0" w:evenHBand="0" w:firstRowFirstColumn="0" w:firstRowLastColumn="0" w:lastRowFirstColumn="0" w:lastRowLastColumn="0"/>
            <w:tcW w:w="2844" w:type="dxa"/>
          </w:tcPr>
          <w:p w14:paraId="7A6824DC"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Fuencarral - El Pardo</w:t>
            </w:r>
          </w:p>
        </w:tc>
        <w:tc>
          <w:tcPr>
            <w:tcW w:w="2133" w:type="dxa"/>
          </w:tcPr>
          <w:p w14:paraId="085B0D7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56" w:type="dxa"/>
          </w:tcPr>
          <w:p w14:paraId="2820B70C"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47" w:type="dxa"/>
            <w:vAlign w:val="bottom"/>
          </w:tcPr>
          <w:p w14:paraId="0A1B03E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4,3%</w:t>
            </w:r>
          </w:p>
        </w:tc>
      </w:tr>
      <w:tr w:rsidR="004D63F3" w14:paraId="1A4039D6" w14:textId="77777777" w:rsidTr="004D63F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844" w:type="dxa"/>
          </w:tcPr>
          <w:p w14:paraId="232589AB"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Moncloa - Aravaca</w:t>
            </w:r>
          </w:p>
        </w:tc>
        <w:tc>
          <w:tcPr>
            <w:tcW w:w="2133" w:type="dxa"/>
            <w:vAlign w:val="bottom"/>
          </w:tcPr>
          <w:p w14:paraId="721F3A5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4,4%</w:t>
            </w:r>
          </w:p>
        </w:tc>
        <w:tc>
          <w:tcPr>
            <w:tcW w:w="1956" w:type="dxa"/>
            <w:vAlign w:val="bottom"/>
          </w:tcPr>
          <w:p w14:paraId="330CFD0F"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3,9%</w:t>
            </w:r>
          </w:p>
        </w:tc>
        <w:tc>
          <w:tcPr>
            <w:tcW w:w="1947" w:type="dxa"/>
            <w:vAlign w:val="bottom"/>
          </w:tcPr>
          <w:p w14:paraId="1454F4CE"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4,1%</w:t>
            </w:r>
          </w:p>
        </w:tc>
      </w:tr>
      <w:tr w:rsidR="004D63F3" w14:paraId="57D745AB" w14:textId="77777777" w:rsidTr="004D63F3">
        <w:trPr>
          <w:trHeight w:val="304"/>
        </w:trPr>
        <w:tc>
          <w:tcPr>
            <w:cnfStyle w:val="001000000000" w:firstRow="0" w:lastRow="0" w:firstColumn="1" w:lastColumn="0" w:oddVBand="0" w:evenVBand="0" w:oddHBand="0" w:evenHBand="0" w:firstRowFirstColumn="0" w:firstRowLastColumn="0" w:lastRowFirstColumn="0" w:lastRowLastColumn="0"/>
            <w:tcW w:w="2844" w:type="dxa"/>
          </w:tcPr>
          <w:p w14:paraId="2CF786A8"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Retiro</w:t>
            </w:r>
          </w:p>
        </w:tc>
        <w:tc>
          <w:tcPr>
            <w:tcW w:w="2133" w:type="dxa"/>
            <w:vAlign w:val="bottom"/>
          </w:tcPr>
          <w:p w14:paraId="2EF5B28D"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4,5%</w:t>
            </w:r>
          </w:p>
        </w:tc>
        <w:tc>
          <w:tcPr>
            <w:tcW w:w="1956" w:type="dxa"/>
            <w:vAlign w:val="bottom"/>
          </w:tcPr>
          <w:p w14:paraId="22CF84B2"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3,8%</w:t>
            </w:r>
          </w:p>
        </w:tc>
        <w:tc>
          <w:tcPr>
            <w:tcW w:w="1947" w:type="dxa"/>
            <w:vAlign w:val="bottom"/>
          </w:tcPr>
          <w:p w14:paraId="0E22605B"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4,1%</w:t>
            </w:r>
          </w:p>
        </w:tc>
      </w:tr>
      <w:tr w:rsidR="004D63F3" w14:paraId="24BB42D5" w14:textId="77777777" w:rsidTr="004D63F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844" w:type="dxa"/>
          </w:tcPr>
          <w:p w14:paraId="78989D50"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Chamberí</w:t>
            </w:r>
          </w:p>
        </w:tc>
        <w:tc>
          <w:tcPr>
            <w:tcW w:w="2133" w:type="dxa"/>
            <w:vAlign w:val="bottom"/>
          </w:tcPr>
          <w:p w14:paraId="11D8115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4,4%</w:t>
            </w:r>
          </w:p>
        </w:tc>
        <w:tc>
          <w:tcPr>
            <w:tcW w:w="1956" w:type="dxa"/>
            <w:vAlign w:val="bottom"/>
          </w:tcPr>
          <w:p w14:paraId="291E9D5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3,7%</w:t>
            </w:r>
          </w:p>
        </w:tc>
        <w:tc>
          <w:tcPr>
            <w:tcW w:w="1947" w:type="dxa"/>
            <w:vAlign w:val="bottom"/>
          </w:tcPr>
          <w:p w14:paraId="1685C3F5"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3,9%</w:t>
            </w:r>
          </w:p>
        </w:tc>
      </w:tr>
      <w:tr w:rsidR="004D63F3" w14:paraId="369E5BEF" w14:textId="77777777" w:rsidTr="004D63F3">
        <w:trPr>
          <w:trHeight w:val="289"/>
        </w:trPr>
        <w:tc>
          <w:tcPr>
            <w:cnfStyle w:val="001000000000" w:firstRow="0" w:lastRow="0" w:firstColumn="1" w:lastColumn="0" w:oddVBand="0" w:evenVBand="0" w:oddHBand="0" w:evenHBand="0" w:firstRowFirstColumn="0" w:firstRowLastColumn="0" w:lastRowFirstColumn="0" w:lastRowLastColumn="0"/>
            <w:tcW w:w="2844" w:type="dxa"/>
          </w:tcPr>
          <w:p w14:paraId="3EFF9B07"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Chamartín</w:t>
            </w:r>
          </w:p>
        </w:tc>
        <w:tc>
          <w:tcPr>
            <w:tcW w:w="2133" w:type="dxa"/>
            <w:vAlign w:val="bottom"/>
          </w:tcPr>
          <w:p w14:paraId="6EEB377A"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4,1%</w:t>
            </w:r>
          </w:p>
        </w:tc>
        <w:tc>
          <w:tcPr>
            <w:tcW w:w="1956" w:type="dxa"/>
            <w:vAlign w:val="bottom"/>
          </w:tcPr>
          <w:p w14:paraId="50BC3EA7"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3,4%</w:t>
            </w:r>
          </w:p>
        </w:tc>
        <w:tc>
          <w:tcPr>
            <w:tcW w:w="1947" w:type="dxa"/>
            <w:vAlign w:val="bottom"/>
          </w:tcPr>
          <w:p w14:paraId="60BC65E8" w14:textId="77777777" w:rsidR="004D63F3"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3,7%</w:t>
            </w:r>
          </w:p>
        </w:tc>
      </w:tr>
      <w:tr w:rsidR="004D63F3" w14:paraId="3266A9DB" w14:textId="77777777" w:rsidTr="004D63F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844" w:type="dxa"/>
          </w:tcPr>
          <w:p w14:paraId="7439B3D1" w14:textId="77777777" w:rsidR="004D63F3" w:rsidRDefault="00000000">
            <w:pPr>
              <w:rPr>
                <w:rFonts w:ascii="Open Sans" w:eastAsia="Open Sans" w:hAnsi="Open Sans" w:cs="Open Sans"/>
                <w:sz w:val="22"/>
                <w:szCs w:val="22"/>
              </w:rPr>
            </w:pPr>
            <w:r>
              <w:rPr>
                <w:rFonts w:ascii="Open Sans" w:eastAsia="Open Sans" w:hAnsi="Open Sans" w:cs="Open Sans"/>
                <w:b w:val="0"/>
                <w:sz w:val="22"/>
                <w:szCs w:val="22"/>
              </w:rPr>
              <w:t>Barrio de Salamanca</w:t>
            </w:r>
          </w:p>
        </w:tc>
        <w:tc>
          <w:tcPr>
            <w:tcW w:w="2133" w:type="dxa"/>
            <w:vAlign w:val="bottom"/>
          </w:tcPr>
          <w:p w14:paraId="64B44A84"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4,1%</w:t>
            </w:r>
          </w:p>
        </w:tc>
        <w:tc>
          <w:tcPr>
            <w:tcW w:w="1956" w:type="dxa"/>
            <w:vAlign w:val="bottom"/>
          </w:tcPr>
          <w:p w14:paraId="739B91E0"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3,4%</w:t>
            </w:r>
          </w:p>
        </w:tc>
        <w:tc>
          <w:tcPr>
            <w:tcW w:w="1947" w:type="dxa"/>
            <w:vAlign w:val="bottom"/>
          </w:tcPr>
          <w:p w14:paraId="32383C1B" w14:textId="77777777" w:rsidR="004D63F3"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3,5%</w:t>
            </w:r>
          </w:p>
        </w:tc>
      </w:tr>
    </w:tbl>
    <w:p w14:paraId="278F0C6E" w14:textId="77777777" w:rsidR="004D63F3" w:rsidRDefault="004D63F3">
      <w:pPr>
        <w:pBdr>
          <w:top w:val="nil"/>
          <w:left w:val="nil"/>
          <w:bottom w:val="nil"/>
          <w:right w:val="nil"/>
          <w:between w:val="nil"/>
        </w:pBdr>
        <w:shd w:val="clear" w:color="auto" w:fill="FFFFFF"/>
        <w:spacing w:before="280" w:after="280" w:line="276" w:lineRule="auto"/>
        <w:ind w:right="-574"/>
        <w:rPr>
          <w:rFonts w:ascii="Open Sans Light" w:eastAsia="Open Sans Light" w:hAnsi="Open Sans Light" w:cs="Open Sans Light"/>
          <w:b/>
          <w:color w:val="303AB2"/>
        </w:rPr>
      </w:pPr>
    </w:p>
    <w:p w14:paraId="35DC9195" w14:textId="77777777" w:rsidR="004D63F3"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rPr>
        <w:t>Tabla 5. Rentabilidad de la vivienda por distritos de Barcelona en 2017, 2021 y 2022</w:t>
      </w:r>
    </w:p>
    <w:tbl>
      <w:tblPr>
        <w:tblStyle w:val="a3"/>
        <w:tblW w:w="9147"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830"/>
        <w:gridCol w:w="2127"/>
        <w:gridCol w:w="2218"/>
        <w:gridCol w:w="1972"/>
      </w:tblGrid>
      <w:tr w:rsidR="004D63F3" w14:paraId="4BA49039" w14:textId="77777777">
        <w:trPr>
          <w:trHeight w:val="559"/>
        </w:trPr>
        <w:tc>
          <w:tcPr>
            <w:tcW w:w="2830" w:type="dxa"/>
            <w:tcBorders>
              <w:top w:val="single" w:sz="4" w:space="0" w:color="FFFFFF"/>
              <w:left w:val="single" w:sz="4" w:space="0" w:color="FFFFFF"/>
              <w:right w:val="nil"/>
            </w:tcBorders>
            <w:shd w:val="clear" w:color="auto" w:fill="4472C4"/>
            <w:vAlign w:val="center"/>
          </w:tcPr>
          <w:p w14:paraId="69C9CEC1" w14:textId="77777777" w:rsidR="004D63F3" w:rsidRDefault="00000000">
            <w:pPr>
              <w:rPr>
                <w:rFonts w:ascii="Open Sans Light" w:eastAsia="Open Sans Light" w:hAnsi="Open Sans Light" w:cs="Open Sans Light"/>
                <w:b/>
                <w:color w:val="FFFFFF"/>
                <w:sz w:val="22"/>
                <w:szCs w:val="22"/>
              </w:rPr>
            </w:pPr>
            <w:r>
              <w:rPr>
                <w:rFonts w:ascii="Open Sans Light" w:eastAsia="Open Sans Light" w:hAnsi="Open Sans Light" w:cs="Open Sans Light"/>
                <w:b/>
                <w:color w:val="FFFFFF"/>
                <w:sz w:val="22"/>
                <w:szCs w:val="22"/>
              </w:rPr>
              <w:t>Distritos de Barcelona</w:t>
            </w:r>
          </w:p>
        </w:tc>
        <w:tc>
          <w:tcPr>
            <w:tcW w:w="2127" w:type="dxa"/>
            <w:tcBorders>
              <w:top w:val="single" w:sz="4" w:space="0" w:color="FFFFFF"/>
              <w:left w:val="nil"/>
              <w:right w:val="nil"/>
            </w:tcBorders>
            <w:shd w:val="clear" w:color="auto" w:fill="4472C4"/>
          </w:tcPr>
          <w:p w14:paraId="7E0DA2D8" w14:textId="77777777" w:rsidR="004D63F3" w:rsidRDefault="00000000">
            <w:pPr>
              <w:pBdr>
                <w:top w:val="nil"/>
                <w:left w:val="nil"/>
                <w:bottom w:val="nil"/>
                <w:right w:val="nil"/>
                <w:between w:val="nil"/>
              </w:pBdr>
              <w:jc w:val="center"/>
              <w:rPr>
                <w:rFonts w:ascii="Open Sans Light" w:eastAsia="Open Sans Light" w:hAnsi="Open Sans Light" w:cs="Open Sans Light"/>
                <w:b/>
                <w:color w:val="FFFFFF"/>
                <w:sz w:val="22"/>
                <w:szCs w:val="22"/>
              </w:rPr>
            </w:pPr>
            <w:r>
              <w:rPr>
                <w:rFonts w:ascii="Open Sans Light" w:eastAsia="Open Sans Light" w:hAnsi="Open Sans Light" w:cs="Open Sans Light"/>
                <w:b/>
                <w:color w:val="FFFFFF"/>
                <w:sz w:val="22"/>
                <w:szCs w:val="22"/>
              </w:rPr>
              <w:t xml:space="preserve">Rentabilidad </w:t>
            </w:r>
          </w:p>
          <w:p w14:paraId="6C2D256A" w14:textId="77777777" w:rsidR="004D63F3" w:rsidRDefault="00000000">
            <w:pPr>
              <w:pBdr>
                <w:top w:val="nil"/>
                <w:left w:val="nil"/>
                <w:bottom w:val="nil"/>
                <w:right w:val="nil"/>
                <w:between w:val="nil"/>
              </w:pBdr>
              <w:jc w:val="center"/>
              <w:rPr>
                <w:rFonts w:ascii="Open Sans Light" w:eastAsia="Open Sans Light" w:hAnsi="Open Sans Light" w:cs="Open Sans Light"/>
                <w:b/>
                <w:color w:val="FFFFFF"/>
                <w:sz w:val="22"/>
                <w:szCs w:val="22"/>
              </w:rPr>
            </w:pPr>
            <w:r>
              <w:rPr>
                <w:rFonts w:ascii="Open Sans Light" w:eastAsia="Open Sans Light" w:hAnsi="Open Sans Light" w:cs="Open Sans Light"/>
                <w:b/>
                <w:color w:val="FFFFFF"/>
                <w:sz w:val="22"/>
                <w:szCs w:val="22"/>
              </w:rPr>
              <w:t>2017 (5 años)</w:t>
            </w:r>
          </w:p>
        </w:tc>
        <w:tc>
          <w:tcPr>
            <w:tcW w:w="2218" w:type="dxa"/>
            <w:tcBorders>
              <w:top w:val="single" w:sz="4" w:space="0" w:color="FFFFFF"/>
              <w:left w:val="nil"/>
              <w:right w:val="nil"/>
            </w:tcBorders>
            <w:shd w:val="clear" w:color="auto" w:fill="4472C4"/>
            <w:vAlign w:val="center"/>
          </w:tcPr>
          <w:p w14:paraId="1B01318C" w14:textId="77777777" w:rsidR="004D63F3" w:rsidRDefault="00000000">
            <w:pPr>
              <w:pBdr>
                <w:top w:val="nil"/>
                <w:left w:val="nil"/>
                <w:bottom w:val="nil"/>
                <w:right w:val="nil"/>
                <w:between w:val="nil"/>
              </w:pBdr>
              <w:jc w:val="center"/>
              <w:rPr>
                <w:rFonts w:ascii="Open Sans Light" w:eastAsia="Open Sans Light" w:hAnsi="Open Sans Light" w:cs="Open Sans Light"/>
                <w:b/>
                <w:color w:val="FFFFFF"/>
                <w:sz w:val="22"/>
                <w:szCs w:val="22"/>
              </w:rPr>
            </w:pPr>
            <w:r>
              <w:rPr>
                <w:rFonts w:ascii="Open Sans Light" w:eastAsia="Open Sans Light" w:hAnsi="Open Sans Light" w:cs="Open Sans Light"/>
                <w:b/>
                <w:color w:val="FFFFFF"/>
                <w:sz w:val="22"/>
                <w:szCs w:val="22"/>
              </w:rPr>
              <w:t>Rentabilidad</w:t>
            </w:r>
          </w:p>
          <w:p w14:paraId="17D679D7" w14:textId="77777777" w:rsidR="004D63F3" w:rsidRDefault="00000000">
            <w:pPr>
              <w:pBdr>
                <w:top w:val="nil"/>
                <w:left w:val="nil"/>
                <w:bottom w:val="nil"/>
                <w:right w:val="nil"/>
                <w:between w:val="nil"/>
              </w:pBdr>
              <w:jc w:val="center"/>
              <w:rPr>
                <w:rFonts w:ascii="Open Sans Light" w:eastAsia="Open Sans Light" w:hAnsi="Open Sans Light" w:cs="Open Sans Light"/>
                <w:b/>
                <w:color w:val="FFFFFF"/>
                <w:sz w:val="22"/>
                <w:szCs w:val="22"/>
              </w:rPr>
            </w:pPr>
            <w:r>
              <w:rPr>
                <w:rFonts w:ascii="Open Sans Light" w:eastAsia="Open Sans Light" w:hAnsi="Open Sans Light" w:cs="Open Sans Light"/>
                <w:b/>
                <w:color w:val="FFFFFF"/>
                <w:sz w:val="22"/>
                <w:szCs w:val="22"/>
              </w:rPr>
              <w:t>2021 (1 año)</w:t>
            </w:r>
          </w:p>
        </w:tc>
        <w:tc>
          <w:tcPr>
            <w:tcW w:w="1972" w:type="dxa"/>
            <w:tcBorders>
              <w:top w:val="single" w:sz="4" w:space="0" w:color="FFFFFF"/>
              <w:left w:val="nil"/>
              <w:right w:val="single" w:sz="4" w:space="0" w:color="FFFFFF"/>
            </w:tcBorders>
            <w:shd w:val="clear" w:color="auto" w:fill="4472C4"/>
            <w:vAlign w:val="center"/>
          </w:tcPr>
          <w:p w14:paraId="1A0CE681" w14:textId="77777777" w:rsidR="004D63F3" w:rsidRDefault="00000000">
            <w:pPr>
              <w:pBdr>
                <w:top w:val="nil"/>
                <w:left w:val="nil"/>
                <w:bottom w:val="nil"/>
                <w:right w:val="nil"/>
                <w:between w:val="nil"/>
              </w:pBdr>
              <w:jc w:val="center"/>
              <w:rPr>
                <w:rFonts w:ascii="Open Sans Light" w:eastAsia="Open Sans Light" w:hAnsi="Open Sans Light" w:cs="Open Sans Light"/>
                <w:b/>
                <w:color w:val="FFFFFF"/>
                <w:sz w:val="22"/>
                <w:szCs w:val="22"/>
              </w:rPr>
            </w:pPr>
            <w:r>
              <w:rPr>
                <w:rFonts w:ascii="Open Sans Light" w:eastAsia="Open Sans Light" w:hAnsi="Open Sans Light" w:cs="Open Sans Light"/>
                <w:b/>
                <w:color w:val="FFFFFF"/>
                <w:sz w:val="22"/>
                <w:szCs w:val="22"/>
              </w:rPr>
              <w:t>Rentabilidad</w:t>
            </w:r>
          </w:p>
          <w:p w14:paraId="7BF39B95" w14:textId="77777777" w:rsidR="004D63F3" w:rsidRDefault="00000000">
            <w:pPr>
              <w:pBdr>
                <w:top w:val="nil"/>
                <w:left w:val="nil"/>
                <w:bottom w:val="nil"/>
                <w:right w:val="nil"/>
                <w:between w:val="nil"/>
              </w:pBdr>
              <w:jc w:val="center"/>
              <w:rPr>
                <w:rFonts w:ascii="Open Sans Light" w:eastAsia="Open Sans Light" w:hAnsi="Open Sans Light" w:cs="Open Sans Light"/>
                <w:b/>
                <w:i/>
                <w:color w:val="FFFFFF"/>
                <w:sz w:val="22"/>
                <w:szCs w:val="22"/>
              </w:rPr>
            </w:pPr>
            <w:r>
              <w:rPr>
                <w:rFonts w:ascii="Open Sans Light" w:eastAsia="Open Sans Light" w:hAnsi="Open Sans Light" w:cs="Open Sans Light"/>
                <w:b/>
                <w:color w:val="FFFFFF"/>
                <w:sz w:val="22"/>
                <w:szCs w:val="22"/>
              </w:rPr>
              <w:t>2022</w:t>
            </w:r>
          </w:p>
        </w:tc>
      </w:tr>
      <w:tr w:rsidR="004D63F3" w14:paraId="4B1569DA" w14:textId="77777777">
        <w:trPr>
          <w:trHeight w:val="279"/>
        </w:trPr>
        <w:tc>
          <w:tcPr>
            <w:tcW w:w="2830" w:type="dxa"/>
            <w:tcBorders>
              <w:left w:val="single" w:sz="4" w:space="0" w:color="FFFFFF"/>
            </w:tcBorders>
            <w:shd w:val="clear" w:color="auto" w:fill="4472C4"/>
            <w:vAlign w:val="bottom"/>
          </w:tcPr>
          <w:p w14:paraId="033DC688"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Nou Barris</w:t>
            </w:r>
          </w:p>
        </w:tc>
        <w:tc>
          <w:tcPr>
            <w:tcW w:w="2127" w:type="dxa"/>
            <w:shd w:val="clear" w:color="auto" w:fill="B4C6E7"/>
            <w:vAlign w:val="bottom"/>
          </w:tcPr>
          <w:p w14:paraId="73F6117D"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6,4%</w:t>
            </w:r>
          </w:p>
        </w:tc>
        <w:tc>
          <w:tcPr>
            <w:tcW w:w="2218" w:type="dxa"/>
            <w:shd w:val="clear" w:color="auto" w:fill="B4C6E7"/>
            <w:vAlign w:val="bottom"/>
          </w:tcPr>
          <w:p w14:paraId="4209F08F"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6,5%</w:t>
            </w:r>
          </w:p>
        </w:tc>
        <w:tc>
          <w:tcPr>
            <w:tcW w:w="1972" w:type="dxa"/>
            <w:shd w:val="clear" w:color="auto" w:fill="B4C6E7"/>
            <w:vAlign w:val="bottom"/>
          </w:tcPr>
          <w:p w14:paraId="125E6A01"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6,5%</w:t>
            </w:r>
          </w:p>
        </w:tc>
      </w:tr>
      <w:tr w:rsidR="004D63F3" w14:paraId="7568BE8D" w14:textId="77777777">
        <w:trPr>
          <w:trHeight w:val="279"/>
        </w:trPr>
        <w:tc>
          <w:tcPr>
            <w:tcW w:w="2830" w:type="dxa"/>
            <w:tcBorders>
              <w:left w:val="single" w:sz="4" w:space="0" w:color="FFFFFF"/>
            </w:tcBorders>
            <w:shd w:val="clear" w:color="auto" w:fill="4472C4"/>
            <w:vAlign w:val="bottom"/>
          </w:tcPr>
          <w:p w14:paraId="0F8AA099"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Sants - Montjuïc</w:t>
            </w:r>
          </w:p>
        </w:tc>
        <w:tc>
          <w:tcPr>
            <w:tcW w:w="2127" w:type="dxa"/>
            <w:shd w:val="clear" w:color="auto" w:fill="D9E2F3"/>
            <w:vAlign w:val="bottom"/>
          </w:tcPr>
          <w:p w14:paraId="543FBD3C"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4,9%</w:t>
            </w:r>
          </w:p>
        </w:tc>
        <w:tc>
          <w:tcPr>
            <w:tcW w:w="2218" w:type="dxa"/>
            <w:shd w:val="clear" w:color="auto" w:fill="D9E2F3"/>
            <w:vAlign w:val="bottom"/>
          </w:tcPr>
          <w:p w14:paraId="2C4B94B8"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5,4%</w:t>
            </w:r>
          </w:p>
        </w:tc>
        <w:tc>
          <w:tcPr>
            <w:tcW w:w="1972" w:type="dxa"/>
            <w:shd w:val="clear" w:color="auto" w:fill="D9E2F3"/>
            <w:vAlign w:val="bottom"/>
          </w:tcPr>
          <w:p w14:paraId="6A951C3A"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6,3%</w:t>
            </w:r>
          </w:p>
        </w:tc>
      </w:tr>
      <w:tr w:rsidR="004D63F3" w14:paraId="49BD0F3E" w14:textId="77777777">
        <w:trPr>
          <w:trHeight w:val="294"/>
        </w:trPr>
        <w:tc>
          <w:tcPr>
            <w:tcW w:w="2830" w:type="dxa"/>
            <w:tcBorders>
              <w:left w:val="single" w:sz="4" w:space="0" w:color="FFFFFF"/>
            </w:tcBorders>
            <w:shd w:val="clear" w:color="auto" w:fill="4472C4"/>
            <w:vAlign w:val="bottom"/>
          </w:tcPr>
          <w:p w14:paraId="4E630D20"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Sant Martí</w:t>
            </w:r>
          </w:p>
        </w:tc>
        <w:tc>
          <w:tcPr>
            <w:tcW w:w="2127" w:type="dxa"/>
            <w:shd w:val="clear" w:color="auto" w:fill="B4C6E7"/>
            <w:vAlign w:val="bottom"/>
          </w:tcPr>
          <w:p w14:paraId="48FB5FAA"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5,5%</w:t>
            </w:r>
          </w:p>
        </w:tc>
        <w:tc>
          <w:tcPr>
            <w:tcW w:w="2218" w:type="dxa"/>
            <w:shd w:val="clear" w:color="auto" w:fill="B4C6E7"/>
            <w:vAlign w:val="bottom"/>
          </w:tcPr>
          <w:p w14:paraId="6E91CAD5"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5,0%</w:t>
            </w:r>
          </w:p>
        </w:tc>
        <w:tc>
          <w:tcPr>
            <w:tcW w:w="1972" w:type="dxa"/>
            <w:shd w:val="clear" w:color="auto" w:fill="B4C6E7"/>
            <w:vAlign w:val="bottom"/>
          </w:tcPr>
          <w:p w14:paraId="6A1F318E"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6,2%</w:t>
            </w:r>
          </w:p>
        </w:tc>
      </w:tr>
      <w:tr w:rsidR="004D63F3" w14:paraId="68AF9ED3" w14:textId="77777777">
        <w:trPr>
          <w:trHeight w:val="279"/>
        </w:trPr>
        <w:tc>
          <w:tcPr>
            <w:tcW w:w="2830" w:type="dxa"/>
            <w:tcBorders>
              <w:left w:val="single" w:sz="4" w:space="0" w:color="FFFFFF"/>
            </w:tcBorders>
            <w:shd w:val="clear" w:color="auto" w:fill="4472C4"/>
            <w:vAlign w:val="bottom"/>
          </w:tcPr>
          <w:p w14:paraId="74FEA49F"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Horta - Guinardó</w:t>
            </w:r>
          </w:p>
        </w:tc>
        <w:tc>
          <w:tcPr>
            <w:tcW w:w="2127" w:type="dxa"/>
            <w:shd w:val="clear" w:color="auto" w:fill="D9E2F3"/>
            <w:vAlign w:val="bottom"/>
          </w:tcPr>
          <w:p w14:paraId="67FE6590"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5,2%</w:t>
            </w:r>
          </w:p>
        </w:tc>
        <w:tc>
          <w:tcPr>
            <w:tcW w:w="2218" w:type="dxa"/>
            <w:shd w:val="clear" w:color="auto" w:fill="D9E2F3"/>
            <w:vAlign w:val="bottom"/>
          </w:tcPr>
          <w:p w14:paraId="258B449E"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4,9%</w:t>
            </w:r>
          </w:p>
        </w:tc>
        <w:tc>
          <w:tcPr>
            <w:tcW w:w="1972" w:type="dxa"/>
            <w:shd w:val="clear" w:color="auto" w:fill="D9E2F3"/>
            <w:vAlign w:val="bottom"/>
          </w:tcPr>
          <w:p w14:paraId="6AD42C2D"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6,0%</w:t>
            </w:r>
          </w:p>
        </w:tc>
      </w:tr>
      <w:tr w:rsidR="004D63F3" w14:paraId="50B55986" w14:textId="77777777">
        <w:trPr>
          <w:trHeight w:val="279"/>
        </w:trPr>
        <w:tc>
          <w:tcPr>
            <w:tcW w:w="2830" w:type="dxa"/>
            <w:tcBorders>
              <w:left w:val="single" w:sz="4" w:space="0" w:color="FFFFFF"/>
            </w:tcBorders>
            <w:shd w:val="clear" w:color="auto" w:fill="4472C4"/>
            <w:vAlign w:val="bottom"/>
          </w:tcPr>
          <w:p w14:paraId="346CF4D2"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Sant Andreu</w:t>
            </w:r>
          </w:p>
        </w:tc>
        <w:tc>
          <w:tcPr>
            <w:tcW w:w="2127" w:type="dxa"/>
            <w:shd w:val="clear" w:color="auto" w:fill="B4C6E7"/>
            <w:vAlign w:val="bottom"/>
          </w:tcPr>
          <w:p w14:paraId="52F8F2E8"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5,4%</w:t>
            </w:r>
          </w:p>
        </w:tc>
        <w:tc>
          <w:tcPr>
            <w:tcW w:w="2218" w:type="dxa"/>
            <w:shd w:val="clear" w:color="auto" w:fill="B4C6E7"/>
            <w:vAlign w:val="bottom"/>
          </w:tcPr>
          <w:p w14:paraId="338B8739"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5,3%</w:t>
            </w:r>
          </w:p>
        </w:tc>
        <w:tc>
          <w:tcPr>
            <w:tcW w:w="1972" w:type="dxa"/>
            <w:shd w:val="clear" w:color="auto" w:fill="B4C6E7"/>
            <w:vAlign w:val="bottom"/>
          </w:tcPr>
          <w:p w14:paraId="0ACF607D"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5,7%</w:t>
            </w:r>
          </w:p>
        </w:tc>
      </w:tr>
      <w:tr w:rsidR="004D63F3" w14:paraId="2527CDE0" w14:textId="77777777">
        <w:trPr>
          <w:trHeight w:val="279"/>
        </w:trPr>
        <w:tc>
          <w:tcPr>
            <w:tcW w:w="2830" w:type="dxa"/>
            <w:tcBorders>
              <w:left w:val="single" w:sz="4" w:space="0" w:color="FFFFFF"/>
            </w:tcBorders>
            <w:shd w:val="clear" w:color="auto" w:fill="4472C4"/>
            <w:vAlign w:val="bottom"/>
          </w:tcPr>
          <w:p w14:paraId="583859C5" w14:textId="77777777" w:rsidR="004D63F3" w:rsidRDefault="00000000">
            <w:pPr>
              <w:rPr>
                <w:rFonts w:ascii="Open Sans" w:eastAsia="Open Sans" w:hAnsi="Open Sans" w:cs="Open Sans"/>
                <w:color w:val="FFFFFF"/>
                <w:sz w:val="22"/>
                <w:szCs w:val="22"/>
              </w:rPr>
            </w:pPr>
            <w:proofErr w:type="spellStart"/>
            <w:r>
              <w:rPr>
                <w:rFonts w:ascii="Open Sans" w:eastAsia="Open Sans" w:hAnsi="Open Sans" w:cs="Open Sans"/>
                <w:color w:val="FFFFFF"/>
                <w:sz w:val="22"/>
                <w:szCs w:val="22"/>
              </w:rPr>
              <w:t>Ciutat</w:t>
            </w:r>
            <w:proofErr w:type="spellEnd"/>
            <w:r>
              <w:rPr>
                <w:rFonts w:ascii="Open Sans" w:eastAsia="Open Sans" w:hAnsi="Open Sans" w:cs="Open Sans"/>
                <w:color w:val="FFFFFF"/>
                <w:sz w:val="22"/>
                <w:szCs w:val="22"/>
              </w:rPr>
              <w:t xml:space="preserve"> Vella</w:t>
            </w:r>
          </w:p>
        </w:tc>
        <w:tc>
          <w:tcPr>
            <w:tcW w:w="2127" w:type="dxa"/>
            <w:shd w:val="clear" w:color="auto" w:fill="D9E2F3"/>
            <w:vAlign w:val="bottom"/>
          </w:tcPr>
          <w:p w14:paraId="04D8D095"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4,8%</w:t>
            </w:r>
          </w:p>
        </w:tc>
        <w:tc>
          <w:tcPr>
            <w:tcW w:w="2218" w:type="dxa"/>
            <w:shd w:val="clear" w:color="auto" w:fill="D9E2F3"/>
            <w:vAlign w:val="bottom"/>
          </w:tcPr>
          <w:p w14:paraId="0CC69AD4"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4,9%</w:t>
            </w:r>
          </w:p>
        </w:tc>
        <w:tc>
          <w:tcPr>
            <w:tcW w:w="1972" w:type="dxa"/>
            <w:shd w:val="clear" w:color="auto" w:fill="D9E2F3"/>
            <w:vAlign w:val="bottom"/>
          </w:tcPr>
          <w:p w14:paraId="3A2E816C"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5,6%</w:t>
            </w:r>
          </w:p>
        </w:tc>
      </w:tr>
      <w:tr w:rsidR="004D63F3" w14:paraId="6E97F61C" w14:textId="77777777">
        <w:trPr>
          <w:trHeight w:val="279"/>
        </w:trPr>
        <w:tc>
          <w:tcPr>
            <w:tcW w:w="2830" w:type="dxa"/>
            <w:tcBorders>
              <w:left w:val="single" w:sz="4" w:space="0" w:color="FFFFFF"/>
            </w:tcBorders>
            <w:shd w:val="clear" w:color="auto" w:fill="4472C4"/>
            <w:vAlign w:val="bottom"/>
          </w:tcPr>
          <w:p w14:paraId="0311C25A"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Gràcia</w:t>
            </w:r>
          </w:p>
        </w:tc>
        <w:tc>
          <w:tcPr>
            <w:tcW w:w="2127" w:type="dxa"/>
            <w:shd w:val="clear" w:color="auto" w:fill="B4C6E7"/>
            <w:vAlign w:val="bottom"/>
          </w:tcPr>
          <w:p w14:paraId="5B599E1B"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4,5%</w:t>
            </w:r>
          </w:p>
        </w:tc>
        <w:tc>
          <w:tcPr>
            <w:tcW w:w="2218" w:type="dxa"/>
            <w:shd w:val="clear" w:color="auto" w:fill="B4C6E7"/>
            <w:vAlign w:val="bottom"/>
          </w:tcPr>
          <w:p w14:paraId="1813607C"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4,4%</w:t>
            </w:r>
          </w:p>
        </w:tc>
        <w:tc>
          <w:tcPr>
            <w:tcW w:w="1972" w:type="dxa"/>
            <w:shd w:val="clear" w:color="auto" w:fill="B4C6E7"/>
            <w:vAlign w:val="bottom"/>
          </w:tcPr>
          <w:p w14:paraId="3A692407"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5,3%</w:t>
            </w:r>
          </w:p>
        </w:tc>
      </w:tr>
      <w:tr w:rsidR="004D63F3" w14:paraId="51122457" w14:textId="77777777">
        <w:trPr>
          <w:trHeight w:val="279"/>
        </w:trPr>
        <w:tc>
          <w:tcPr>
            <w:tcW w:w="2830" w:type="dxa"/>
            <w:tcBorders>
              <w:left w:val="single" w:sz="4" w:space="0" w:color="FFFFFF"/>
            </w:tcBorders>
            <w:shd w:val="clear" w:color="auto" w:fill="4472C4"/>
            <w:vAlign w:val="bottom"/>
          </w:tcPr>
          <w:p w14:paraId="56C97AA5"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Eixample</w:t>
            </w:r>
          </w:p>
        </w:tc>
        <w:tc>
          <w:tcPr>
            <w:tcW w:w="2127" w:type="dxa"/>
            <w:shd w:val="clear" w:color="auto" w:fill="D9E2F3"/>
            <w:vAlign w:val="bottom"/>
          </w:tcPr>
          <w:p w14:paraId="0A72EA21"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4,2%</w:t>
            </w:r>
          </w:p>
        </w:tc>
        <w:tc>
          <w:tcPr>
            <w:tcW w:w="2218" w:type="dxa"/>
            <w:shd w:val="clear" w:color="auto" w:fill="D9E2F3"/>
            <w:vAlign w:val="bottom"/>
          </w:tcPr>
          <w:p w14:paraId="758CB3D3"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3,9%</w:t>
            </w:r>
          </w:p>
        </w:tc>
        <w:tc>
          <w:tcPr>
            <w:tcW w:w="1972" w:type="dxa"/>
            <w:shd w:val="clear" w:color="auto" w:fill="D9E2F3"/>
            <w:vAlign w:val="bottom"/>
          </w:tcPr>
          <w:p w14:paraId="31DB9C91"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4,4%</w:t>
            </w:r>
          </w:p>
        </w:tc>
      </w:tr>
      <w:tr w:rsidR="004D63F3" w14:paraId="5A285A63" w14:textId="77777777">
        <w:trPr>
          <w:trHeight w:val="294"/>
        </w:trPr>
        <w:tc>
          <w:tcPr>
            <w:tcW w:w="2830" w:type="dxa"/>
            <w:tcBorders>
              <w:left w:val="single" w:sz="4" w:space="0" w:color="FFFFFF"/>
            </w:tcBorders>
            <w:shd w:val="clear" w:color="auto" w:fill="4472C4"/>
            <w:vAlign w:val="bottom"/>
          </w:tcPr>
          <w:p w14:paraId="40090A40"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Les Corts</w:t>
            </w:r>
          </w:p>
        </w:tc>
        <w:tc>
          <w:tcPr>
            <w:tcW w:w="2127" w:type="dxa"/>
            <w:shd w:val="clear" w:color="auto" w:fill="B4C6E7"/>
            <w:vAlign w:val="bottom"/>
          </w:tcPr>
          <w:p w14:paraId="35DB21A0"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3,8%</w:t>
            </w:r>
          </w:p>
        </w:tc>
        <w:tc>
          <w:tcPr>
            <w:tcW w:w="2218" w:type="dxa"/>
            <w:shd w:val="clear" w:color="auto" w:fill="B4C6E7"/>
            <w:vAlign w:val="bottom"/>
          </w:tcPr>
          <w:p w14:paraId="32A5D1F0"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3,7%</w:t>
            </w:r>
          </w:p>
        </w:tc>
        <w:tc>
          <w:tcPr>
            <w:tcW w:w="1972" w:type="dxa"/>
            <w:shd w:val="clear" w:color="auto" w:fill="B4C6E7"/>
            <w:vAlign w:val="bottom"/>
          </w:tcPr>
          <w:p w14:paraId="1E73C3B9"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4,1%</w:t>
            </w:r>
          </w:p>
        </w:tc>
      </w:tr>
      <w:tr w:rsidR="004D63F3" w14:paraId="075252D2" w14:textId="77777777">
        <w:trPr>
          <w:trHeight w:val="279"/>
        </w:trPr>
        <w:tc>
          <w:tcPr>
            <w:tcW w:w="2830" w:type="dxa"/>
            <w:tcBorders>
              <w:left w:val="single" w:sz="4" w:space="0" w:color="FFFFFF"/>
              <w:bottom w:val="single" w:sz="4" w:space="0" w:color="FFFFFF"/>
            </w:tcBorders>
            <w:shd w:val="clear" w:color="auto" w:fill="4472C4"/>
            <w:vAlign w:val="bottom"/>
          </w:tcPr>
          <w:p w14:paraId="59205B0F" w14:textId="77777777" w:rsidR="004D63F3"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Sarrià - Sant Gervasi</w:t>
            </w:r>
          </w:p>
        </w:tc>
        <w:tc>
          <w:tcPr>
            <w:tcW w:w="2127" w:type="dxa"/>
            <w:shd w:val="clear" w:color="auto" w:fill="D9E2F3"/>
            <w:vAlign w:val="bottom"/>
          </w:tcPr>
          <w:p w14:paraId="49523926"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3,8%</w:t>
            </w:r>
          </w:p>
        </w:tc>
        <w:tc>
          <w:tcPr>
            <w:tcW w:w="2218" w:type="dxa"/>
            <w:shd w:val="clear" w:color="auto" w:fill="D9E2F3"/>
            <w:vAlign w:val="bottom"/>
          </w:tcPr>
          <w:p w14:paraId="72673374" w14:textId="77777777" w:rsidR="004D63F3"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3,5%</w:t>
            </w:r>
          </w:p>
        </w:tc>
        <w:tc>
          <w:tcPr>
            <w:tcW w:w="1972" w:type="dxa"/>
            <w:shd w:val="clear" w:color="auto" w:fill="D9E2F3"/>
            <w:vAlign w:val="bottom"/>
          </w:tcPr>
          <w:p w14:paraId="7C2DE25F" w14:textId="77777777" w:rsidR="004D63F3"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4,0%</w:t>
            </w:r>
          </w:p>
        </w:tc>
      </w:tr>
    </w:tbl>
    <w:p w14:paraId="7C4002F3" w14:textId="77777777" w:rsidR="004D63F3" w:rsidRDefault="004D63F3">
      <w:pPr>
        <w:spacing w:line="276" w:lineRule="auto"/>
        <w:ind w:right="-574"/>
        <w:jc w:val="right"/>
        <w:rPr>
          <w:rFonts w:ascii="Open Sans Light" w:eastAsia="Open Sans Light" w:hAnsi="Open Sans Light" w:cs="Open Sans Light"/>
          <w:b/>
          <w:color w:val="303AB2"/>
        </w:rPr>
      </w:pPr>
    </w:p>
    <w:p w14:paraId="3EBE1B1D" w14:textId="77777777" w:rsidR="004D63F3" w:rsidRDefault="00000000">
      <w:pPr>
        <w:spacing w:line="276" w:lineRule="auto"/>
        <w:ind w:right="-574"/>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Fotocasa</w:t>
      </w:r>
    </w:p>
    <w:p w14:paraId="1E2304AC" w14:textId="77777777" w:rsidR="004D63F3" w:rsidRDefault="00000000">
      <w:pPr>
        <w:pBdr>
          <w:top w:val="nil"/>
          <w:left w:val="nil"/>
          <w:bottom w:val="nil"/>
          <w:right w:val="nil"/>
          <w:between w:val="nil"/>
        </w:pBdr>
        <w:shd w:val="clear" w:color="auto" w:fill="FFFFFF"/>
        <w:spacing w:before="280" w:after="280"/>
        <w:ind w:right="-567"/>
        <w:jc w:val="both"/>
        <w:rPr>
          <w:rFonts w:ascii="Open Sans" w:eastAsia="Open Sans" w:hAnsi="Open Sans" w:cs="Open Sans"/>
          <w:color w:val="222222"/>
          <w:sz w:val="22"/>
          <w:szCs w:val="22"/>
        </w:rPr>
      </w:pPr>
      <w:r>
        <w:rPr>
          <w:rFonts w:ascii="Open Sans" w:eastAsia="Open Sans" w:hAnsi="Open Sans" w:cs="Open Sans"/>
          <w:color w:val="000000"/>
          <w:sz w:val="22"/>
          <w:szCs w:val="22"/>
        </w:rPr>
        <w:t>Portal inmobiliario que cuenta con inmuebles de segunda mano, promociones de obra nueva y viviendas de alquiler. Mensualmente elabora el </w:t>
      </w:r>
      <w:hyperlink r:id="rId30">
        <w:r>
          <w:rPr>
            <w:rFonts w:ascii="Open Sans" w:eastAsia="Open Sans" w:hAnsi="Open Sans" w:cs="Open Sans"/>
            <w:color w:val="0000FF"/>
            <w:sz w:val="22"/>
            <w:szCs w:val="22"/>
            <w:u w:val="single"/>
          </w:rPr>
          <w:t>índice inmobiliario Fotocasa</w:t>
        </w:r>
      </w:hyperlink>
      <w:r>
        <w:rPr>
          <w:rFonts w:ascii="Open Sans" w:eastAsia="Open Sans" w:hAnsi="Open Sans" w:cs="Open Sans"/>
          <w:color w:val="000000"/>
          <w:sz w:val="22"/>
          <w:szCs w:val="22"/>
        </w:rPr>
        <w:t xml:space="preserve">, un informe de referencia sobre la evolución del precio medio de la vivienda en España, tanto en venta como en alquiler. Además, desde hace varios años cuenta con un consolidado departamento de estudios, bajo el nombre de </w:t>
      </w:r>
      <w:hyperlink r:id="rId31">
        <w:r>
          <w:rPr>
            <w:rFonts w:ascii="Open Sans" w:eastAsia="Open Sans" w:hAnsi="Open Sans" w:cs="Open Sans"/>
            <w:color w:val="0000FF"/>
            <w:sz w:val="22"/>
            <w:szCs w:val="22"/>
            <w:u w:val="single"/>
          </w:rPr>
          <w:t xml:space="preserve">Fotocasa </w:t>
        </w:r>
        <w:proofErr w:type="spellStart"/>
        <w:r>
          <w:rPr>
            <w:rFonts w:ascii="Open Sans" w:eastAsia="Open Sans" w:hAnsi="Open Sans" w:cs="Open Sans"/>
            <w:color w:val="0000FF"/>
            <w:sz w:val="22"/>
            <w:szCs w:val="22"/>
            <w:u w:val="single"/>
          </w:rPr>
          <w:t>Research</w:t>
        </w:r>
        <w:proofErr w:type="spellEnd"/>
      </w:hyperlink>
      <w:r>
        <w:rPr>
          <w:rFonts w:ascii="Open Sans" w:eastAsia="Open Sans" w:hAnsi="Open Sans" w:cs="Open Sans"/>
          <w:color w:val="000000"/>
          <w:sz w:val="22"/>
          <w:szCs w:val="22"/>
        </w:rPr>
        <w:t xml:space="preserve">, que analizan los cambios y tendencias del sector inmobiliario. </w:t>
      </w:r>
    </w:p>
    <w:p w14:paraId="40770BDB" w14:textId="77777777" w:rsidR="004D63F3" w:rsidRDefault="00000000">
      <w:pPr>
        <w:pBdr>
          <w:top w:val="nil"/>
          <w:left w:val="nil"/>
          <w:bottom w:val="nil"/>
          <w:right w:val="nil"/>
          <w:between w:val="nil"/>
        </w:pBdr>
        <w:shd w:val="clear" w:color="auto" w:fill="FFFFFF"/>
        <w:spacing w:before="280" w:after="280"/>
        <w:ind w:right="-567"/>
        <w:jc w:val="both"/>
        <w:rPr>
          <w:rFonts w:ascii="Open Sans" w:eastAsia="Open Sans" w:hAnsi="Open Sans" w:cs="Open Sans"/>
          <w:color w:val="000000"/>
          <w:sz w:val="22"/>
          <w:szCs w:val="22"/>
        </w:rPr>
      </w:pPr>
      <w:hyperlink r:id="rId32">
        <w:r>
          <w:rPr>
            <w:rFonts w:ascii="Open Sans" w:eastAsia="Open Sans" w:hAnsi="Open Sans" w:cs="Open Sans"/>
            <w:b/>
            <w:color w:val="0000FF"/>
            <w:sz w:val="22"/>
            <w:szCs w:val="22"/>
            <w:u w:val="single"/>
          </w:rPr>
          <w:t>Fotocasa</w:t>
        </w:r>
      </w:hyperlink>
      <w:r>
        <w:rPr>
          <w:rFonts w:ascii="Open Sans" w:eastAsia="Open Sans" w:hAnsi="Open Sans" w:cs="Open Sans"/>
          <w:color w:val="000000"/>
          <w:sz w:val="22"/>
          <w:szCs w:val="22"/>
        </w:rPr>
        <w:t> pertenece a </w:t>
      </w:r>
      <w:proofErr w:type="spellStart"/>
      <w:r>
        <w:fldChar w:fldCharType="begin"/>
      </w:r>
      <w:r>
        <w:instrText>HYPERLINK "https://www.adevinta.com/" \h</w:instrText>
      </w:r>
      <w:r>
        <w:fldChar w:fldCharType="separate"/>
      </w:r>
      <w:r>
        <w:rPr>
          <w:rFonts w:ascii="Open Sans" w:eastAsia="Open Sans" w:hAnsi="Open Sans" w:cs="Open Sans"/>
          <w:color w:val="0000FF"/>
          <w:sz w:val="22"/>
          <w:szCs w:val="22"/>
          <w:u w:val="single"/>
        </w:rPr>
        <w:t>Adevinta</w:t>
      </w:r>
      <w:proofErr w:type="spellEnd"/>
      <w:r>
        <w:rPr>
          <w:rFonts w:ascii="Open Sans" w:eastAsia="Open Sans" w:hAnsi="Open Sans" w:cs="Open Sans"/>
          <w:color w:val="0000FF"/>
          <w:sz w:val="22"/>
          <w:szCs w:val="22"/>
          <w:u w:val="single"/>
        </w:rPr>
        <w:fldChar w:fldCharType="end"/>
      </w:r>
      <w:r>
        <w:rPr>
          <w:rFonts w:ascii="Open Sans" w:eastAsia="Open Sans" w:hAnsi="Open Sans" w:cs="Open Sans"/>
          <w:color w:val="000000"/>
          <w:sz w:val="22"/>
          <w:szCs w:val="22"/>
        </w:rPr>
        <w:t xml:space="preserve">, una compañía líder en </w:t>
      </w:r>
      <w:proofErr w:type="spellStart"/>
      <w:r>
        <w:rPr>
          <w:rFonts w:ascii="Open Sans" w:eastAsia="Open Sans" w:hAnsi="Open Sans" w:cs="Open Sans"/>
          <w:color w:val="000000"/>
          <w:sz w:val="22"/>
          <w:szCs w:val="22"/>
        </w:rPr>
        <w:t>marketplaces</w:t>
      </w:r>
      <w:proofErr w:type="spellEnd"/>
      <w:r>
        <w:rPr>
          <w:rFonts w:ascii="Open Sans" w:eastAsia="Open Sans" w:hAnsi="Open Sans" w:cs="Open Sans"/>
          <w:color w:val="000000"/>
          <w:sz w:val="22"/>
          <w:szCs w:val="22"/>
        </w:rPr>
        <w:t xml:space="preserve"> digitales y una de las principales empresas del sector tecnológico del país, con más de 18 millones de usuarios al mes en sus plataformas de los sectores inmobiliario (</w:t>
      </w:r>
      <w:hyperlink r:id="rId33">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 y </w:t>
      </w:r>
      <w:proofErr w:type="spellStart"/>
      <w:r>
        <w:fldChar w:fldCharType="begin"/>
      </w:r>
      <w:r>
        <w:instrText>HYPERLINK "https://www.habitaclia.com/" \h</w:instrText>
      </w:r>
      <w:r>
        <w:fldChar w:fldCharType="separate"/>
      </w:r>
      <w:r>
        <w:rPr>
          <w:rFonts w:ascii="Open Sans" w:eastAsia="Open Sans" w:hAnsi="Open Sans" w:cs="Open Sans"/>
          <w:color w:val="0000FF"/>
          <w:sz w:val="22"/>
          <w:szCs w:val="22"/>
          <w:u w:val="single"/>
        </w:rPr>
        <w:t>habitaclia</w:t>
      </w:r>
      <w:proofErr w:type="spellEnd"/>
      <w:r>
        <w:rPr>
          <w:rFonts w:ascii="Open Sans" w:eastAsia="Open Sans" w:hAnsi="Open Sans" w:cs="Open Sans"/>
          <w:color w:val="0000FF"/>
          <w:sz w:val="22"/>
          <w:szCs w:val="22"/>
          <w:u w:val="single"/>
        </w:rPr>
        <w:fldChar w:fldCharType="end"/>
      </w:r>
      <w:r>
        <w:rPr>
          <w:rFonts w:ascii="Open Sans" w:eastAsia="Open Sans" w:hAnsi="Open Sans" w:cs="Open Sans"/>
          <w:color w:val="000000"/>
          <w:sz w:val="22"/>
          <w:szCs w:val="22"/>
        </w:rPr>
        <w:t>), empleo (</w:t>
      </w:r>
      <w:hyperlink r:id="rId34">
        <w:r>
          <w:rPr>
            <w:rFonts w:ascii="Open Sans" w:eastAsia="Open Sans" w:hAnsi="Open Sans" w:cs="Open Sans"/>
            <w:color w:val="0000FF"/>
            <w:sz w:val="22"/>
            <w:szCs w:val="22"/>
            <w:u w:val="single"/>
          </w:rPr>
          <w:t>Infojobs.net</w:t>
        </w:r>
      </w:hyperlink>
      <w:r>
        <w:rPr>
          <w:rFonts w:ascii="Open Sans" w:eastAsia="Open Sans" w:hAnsi="Open Sans" w:cs="Open Sans"/>
          <w:color w:val="000000"/>
          <w:sz w:val="22"/>
          <w:szCs w:val="22"/>
        </w:rPr>
        <w:t>), motor (</w:t>
      </w:r>
      <w:hyperlink r:id="rId35">
        <w:r>
          <w:rPr>
            <w:rFonts w:ascii="Open Sans" w:eastAsia="Open Sans" w:hAnsi="Open Sans" w:cs="Open Sans"/>
            <w:color w:val="0000FF"/>
            <w:sz w:val="22"/>
            <w:szCs w:val="22"/>
            <w:u w:val="single"/>
          </w:rPr>
          <w:t>coches.net</w:t>
        </w:r>
      </w:hyperlink>
      <w:r>
        <w:rPr>
          <w:rFonts w:ascii="Open Sans" w:eastAsia="Open Sans" w:hAnsi="Open Sans" w:cs="Open Sans"/>
          <w:color w:val="000000"/>
          <w:sz w:val="22"/>
          <w:szCs w:val="22"/>
        </w:rPr>
        <w:t> y </w:t>
      </w:r>
      <w:hyperlink r:id="rId36">
        <w:r>
          <w:rPr>
            <w:rFonts w:ascii="Open Sans" w:eastAsia="Open Sans" w:hAnsi="Open Sans" w:cs="Open Sans"/>
            <w:color w:val="0000FF"/>
            <w:sz w:val="22"/>
            <w:szCs w:val="22"/>
            <w:u w:val="single"/>
          </w:rPr>
          <w:t>motos.ne</w:t>
        </w:r>
      </w:hyperlink>
      <w:r>
        <w:rPr>
          <w:rFonts w:ascii="Open Sans" w:eastAsia="Open Sans" w:hAnsi="Open Sans" w:cs="Open Sans"/>
          <w:color w:val="000000"/>
          <w:sz w:val="22"/>
          <w:szCs w:val="22"/>
        </w:rPr>
        <w:t>t) y compraventa de artículos de segunda mano (</w:t>
      </w:r>
      <w:proofErr w:type="spellStart"/>
      <w:r>
        <w:fldChar w:fldCharType="begin"/>
      </w:r>
      <w:r>
        <w:instrText>HYPERLINK "https://www.milanuncios.es/" \h</w:instrText>
      </w:r>
      <w:r>
        <w:fldChar w:fldCharType="separate"/>
      </w:r>
      <w:r>
        <w:rPr>
          <w:rFonts w:ascii="Open Sans" w:eastAsia="Open Sans" w:hAnsi="Open Sans" w:cs="Open Sans"/>
          <w:color w:val="0000FF"/>
          <w:sz w:val="22"/>
          <w:szCs w:val="22"/>
          <w:u w:val="single"/>
        </w:rPr>
        <w:t>Milanuncios</w:t>
      </w:r>
      <w:proofErr w:type="spellEnd"/>
      <w:r>
        <w:rPr>
          <w:rFonts w:ascii="Open Sans" w:eastAsia="Open Sans" w:hAnsi="Open Sans" w:cs="Open Sans"/>
          <w:color w:val="0000FF"/>
          <w:sz w:val="22"/>
          <w:szCs w:val="22"/>
          <w:u w:val="single"/>
        </w:rPr>
        <w:fldChar w:fldCharType="end"/>
      </w:r>
      <w:r>
        <w:rPr>
          <w:rFonts w:ascii="Open Sans" w:eastAsia="Open Sans" w:hAnsi="Open Sans" w:cs="Open Sans"/>
          <w:color w:val="000000"/>
          <w:sz w:val="22"/>
          <w:szCs w:val="22"/>
        </w:rPr>
        <w:t> y </w:t>
      </w:r>
      <w:proofErr w:type="spellStart"/>
      <w:r>
        <w:fldChar w:fldCharType="begin"/>
      </w:r>
      <w:r>
        <w:instrText>HYPERLINK "https://www.vibbo.com/" \h</w:instrText>
      </w:r>
      <w:r>
        <w:fldChar w:fldCharType="separate"/>
      </w:r>
      <w:r>
        <w:rPr>
          <w:rFonts w:ascii="Open Sans" w:eastAsia="Open Sans" w:hAnsi="Open Sans" w:cs="Open Sans"/>
          <w:color w:val="0000FF"/>
          <w:sz w:val="22"/>
          <w:szCs w:val="22"/>
          <w:u w:val="single"/>
        </w:rPr>
        <w:t>vibbo</w:t>
      </w:r>
      <w:proofErr w:type="spellEnd"/>
      <w:r>
        <w:rPr>
          <w:rFonts w:ascii="Open Sans" w:eastAsia="Open Sans" w:hAnsi="Open Sans" w:cs="Open Sans"/>
          <w:color w:val="0000FF"/>
          <w:sz w:val="22"/>
          <w:szCs w:val="22"/>
          <w:u w:val="single"/>
        </w:rPr>
        <w:fldChar w:fldCharType="end"/>
      </w:r>
      <w:r>
        <w:rPr>
          <w:rFonts w:ascii="Open Sans" w:eastAsia="Open Sans" w:hAnsi="Open Sans" w:cs="Open Sans"/>
          <w:color w:val="000000"/>
          <w:sz w:val="22"/>
          <w:szCs w:val="22"/>
        </w:rPr>
        <w:t>).</w:t>
      </w:r>
    </w:p>
    <w:p w14:paraId="320EB470" w14:textId="77777777" w:rsidR="004D63F3" w:rsidRDefault="00000000">
      <w:pPr>
        <w:pBdr>
          <w:top w:val="nil"/>
          <w:left w:val="nil"/>
          <w:bottom w:val="nil"/>
          <w:right w:val="nil"/>
          <w:between w:val="nil"/>
        </w:pBdr>
        <w:shd w:val="clear" w:color="auto" w:fill="FFFFFF"/>
        <w:spacing w:before="280" w:after="280"/>
        <w:ind w:right="-567"/>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Los negocios de </w:t>
      </w:r>
      <w:proofErr w:type="spellStart"/>
      <w:r>
        <w:rPr>
          <w:rFonts w:ascii="Open Sans" w:eastAsia="Open Sans" w:hAnsi="Open Sans" w:cs="Open Sans"/>
          <w:color w:val="000000"/>
          <w:sz w:val="22"/>
          <w:szCs w:val="22"/>
        </w:rPr>
        <w:t>Adevinta</w:t>
      </w:r>
      <w:proofErr w:type="spellEnd"/>
      <w:r>
        <w:rPr>
          <w:rFonts w:ascii="Open Sans" w:eastAsia="Open Sans" w:hAnsi="Open Sans" w:cs="Open Sans"/>
          <w:color w:val="000000"/>
          <w:sz w:val="22"/>
          <w:szCs w:val="22"/>
        </w:rPr>
        <w:t xml:space="preserve"> han evolucionado del papel al online a lo largo de más de 40 años de trayectoria en España, convirtiéndose en referentes de Internet. La sede de la compañía está en Barcelona y cuenta con una plantilla de 1.100 empleados comprometidos con fomentar un cambio positivo en el mundo a través de tecnología innovadora, otorgando una nueva oportunidad a quienes la están buscando y dando a las cosas una segunda vida.</w:t>
      </w:r>
    </w:p>
    <w:p w14:paraId="792D0B65" w14:textId="77777777" w:rsidR="004D63F3" w:rsidRDefault="00000000">
      <w:pPr>
        <w:pBdr>
          <w:top w:val="nil"/>
          <w:left w:val="nil"/>
          <w:bottom w:val="nil"/>
          <w:right w:val="nil"/>
          <w:between w:val="nil"/>
        </w:pBdr>
        <w:shd w:val="clear" w:color="auto" w:fill="FFFFFF"/>
        <w:spacing w:before="280" w:after="280"/>
        <w:ind w:right="-567"/>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Además de en España, </w:t>
      </w:r>
      <w:proofErr w:type="spellStart"/>
      <w:r>
        <w:rPr>
          <w:rFonts w:ascii="Open Sans" w:eastAsia="Open Sans" w:hAnsi="Open Sans" w:cs="Open Sans"/>
          <w:color w:val="000000"/>
          <w:sz w:val="22"/>
          <w:szCs w:val="22"/>
        </w:rPr>
        <w:t>Adevinta</w:t>
      </w:r>
      <w:proofErr w:type="spellEnd"/>
      <w:r>
        <w:rPr>
          <w:rFonts w:ascii="Open Sans" w:eastAsia="Open Sans" w:hAnsi="Open Sans" w:cs="Open Sans"/>
          <w:color w:val="000000"/>
          <w:sz w:val="22"/>
          <w:szCs w:val="22"/>
        </w:rPr>
        <w:t xml:space="preserve"> tiene presencia en 14 países más de Europa, América Latina y África del Norte. El conjunto de sus plataformas locales recibe un promedio de 1.500 millones de visitas cada mes. </w:t>
      </w:r>
    </w:p>
    <w:p w14:paraId="501B124F" w14:textId="77777777" w:rsidR="004D63F3" w:rsidRDefault="004D63F3">
      <w:pPr>
        <w:pBdr>
          <w:top w:val="nil"/>
          <w:left w:val="nil"/>
          <w:bottom w:val="nil"/>
          <w:right w:val="nil"/>
          <w:between w:val="nil"/>
        </w:pBdr>
        <w:shd w:val="clear" w:color="auto" w:fill="FFFFFF"/>
        <w:spacing w:line="276" w:lineRule="auto"/>
        <w:ind w:right="-574"/>
        <w:jc w:val="both"/>
        <w:rPr>
          <w:rFonts w:ascii="Open Sans" w:eastAsia="Open Sans" w:hAnsi="Open Sans" w:cs="Open Sans"/>
          <w:color w:val="000000"/>
          <w:sz w:val="22"/>
          <w:szCs w:val="22"/>
        </w:rPr>
      </w:pPr>
    </w:p>
    <w:p w14:paraId="399A3AD7" w14:textId="77777777" w:rsidR="004D63F3" w:rsidRDefault="00000000">
      <w:pPr>
        <w:spacing w:line="276" w:lineRule="auto"/>
        <w:ind w:right="-574"/>
        <w:jc w:val="right"/>
        <w:rPr>
          <w:rFonts w:ascii="Open Sans Light" w:eastAsia="Open Sans Light" w:hAnsi="Open Sans Light" w:cs="Open Sans Light"/>
          <w:b/>
          <w:color w:val="303AB2"/>
        </w:rPr>
      </w:pPr>
      <w:r>
        <w:rPr>
          <w:rFonts w:ascii="Open Sans Light" w:eastAsia="Open Sans Light" w:hAnsi="Open Sans Light" w:cs="Open Sans Light"/>
          <w:b/>
          <w:color w:val="303AB2"/>
        </w:rPr>
        <w:t>Departamento de Comunicación de Fotocasa</w:t>
      </w:r>
    </w:p>
    <w:p w14:paraId="6CD01149" w14:textId="77777777" w:rsidR="004D63F3" w:rsidRDefault="00000000">
      <w:pPr>
        <w:pBdr>
          <w:top w:val="nil"/>
          <w:left w:val="nil"/>
          <w:bottom w:val="nil"/>
          <w:right w:val="nil"/>
          <w:between w:val="nil"/>
        </w:pBdr>
        <w:shd w:val="clear" w:color="auto" w:fill="FFFFFF"/>
        <w:spacing w:line="276" w:lineRule="auto"/>
        <w:ind w:right="-574"/>
        <w:jc w:val="right"/>
        <w:rPr>
          <w:rFonts w:ascii="Open Sans" w:eastAsia="Open Sans" w:hAnsi="Open Sans" w:cs="Open Sans"/>
          <w:b/>
          <w:color w:val="000000"/>
          <w:sz w:val="21"/>
          <w:szCs w:val="21"/>
        </w:rPr>
      </w:pPr>
      <w:r>
        <w:rPr>
          <w:rFonts w:ascii="Open Sans" w:eastAsia="Open Sans" w:hAnsi="Open Sans" w:cs="Open Sans"/>
          <w:b/>
          <w:color w:val="000000"/>
          <w:sz w:val="21"/>
          <w:szCs w:val="21"/>
        </w:rPr>
        <w:t>Anaïs López</w:t>
      </w:r>
    </w:p>
    <w:p w14:paraId="05340CCB" w14:textId="77777777" w:rsidR="004D63F3" w:rsidRPr="00106CF6" w:rsidRDefault="00000000">
      <w:pPr>
        <w:pBdr>
          <w:top w:val="nil"/>
          <w:left w:val="nil"/>
          <w:bottom w:val="nil"/>
          <w:right w:val="nil"/>
          <w:between w:val="nil"/>
        </w:pBdr>
        <w:shd w:val="clear" w:color="auto" w:fill="FFFFFF"/>
        <w:spacing w:line="276" w:lineRule="auto"/>
        <w:ind w:right="-574"/>
        <w:jc w:val="right"/>
        <w:rPr>
          <w:rFonts w:ascii="Open Sans" w:eastAsia="Open Sans" w:hAnsi="Open Sans" w:cs="Open Sans"/>
          <w:color w:val="000000"/>
          <w:sz w:val="21"/>
          <w:szCs w:val="21"/>
          <w:lang w:val="en-US"/>
        </w:rPr>
      </w:pPr>
      <w:proofErr w:type="spellStart"/>
      <w:r w:rsidRPr="00106CF6">
        <w:rPr>
          <w:rFonts w:ascii="Open Sans" w:eastAsia="Open Sans" w:hAnsi="Open Sans" w:cs="Open Sans"/>
          <w:color w:val="000000"/>
          <w:sz w:val="21"/>
          <w:szCs w:val="21"/>
          <w:lang w:val="en-US"/>
        </w:rPr>
        <w:t>Tlf</w:t>
      </w:r>
      <w:proofErr w:type="spellEnd"/>
      <w:r w:rsidRPr="00106CF6">
        <w:rPr>
          <w:rFonts w:ascii="Open Sans" w:eastAsia="Open Sans" w:hAnsi="Open Sans" w:cs="Open Sans"/>
          <w:color w:val="000000"/>
          <w:sz w:val="21"/>
          <w:szCs w:val="21"/>
          <w:lang w:val="en-US"/>
        </w:rPr>
        <w:t>.: 93 576 56 79</w:t>
      </w:r>
    </w:p>
    <w:p w14:paraId="38DB712F" w14:textId="77777777" w:rsidR="004D63F3" w:rsidRPr="00106CF6" w:rsidRDefault="00000000">
      <w:pPr>
        <w:pBdr>
          <w:top w:val="nil"/>
          <w:left w:val="nil"/>
          <w:bottom w:val="nil"/>
          <w:right w:val="nil"/>
          <w:between w:val="nil"/>
        </w:pBdr>
        <w:shd w:val="clear" w:color="auto" w:fill="FFFFFF"/>
        <w:spacing w:line="276" w:lineRule="auto"/>
        <w:ind w:right="-574"/>
        <w:jc w:val="right"/>
        <w:rPr>
          <w:rFonts w:ascii="Open Sans" w:eastAsia="Open Sans" w:hAnsi="Open Sans" w:cs="Open Sans"/>
          <w:color w:val="000000"/>
          <w:sz w:val="21"/>
          <w:szCs w:val="21"/>
          <w:lang w:val="en-US"/>
        </w:rPr>
      </w:pPr>
      <w:proofErr w:type="spellStart"/>
      <w:r w:rsidRPr="00106CF6">
        <w:rPr>
          <w:rFonts w:ascii="Open Sans" w:eastAsia="Open Sans" w:hAnsi="Open Sans" w:cs="Open Sans"/>
          <w:color w:val="000000"/>
          <w:sz w:val="21"/>
          <w:szCs w:val="21"/>
          <w:lang w:val="en-US"/>
        </w:rPr>
        <w:t>Móvil</w:t>
      </w:r>
      <w:proofErr w:type="spellEnd"/>
      <w:r w:rsidRPr="00106CF6">
        <w:rPr>
          <w:rFonts w:ascii="Open Sans" w:eastAsia="Open Sans" w:hAnsi="Open Sans" w:cs="Open Sans"/>
          <w:color w:val="000000"/>
          <w:sz w:val="21"/>
          <w:szCs w:val="21"/>
          <w:lang w:val="en-US"/>
        </w:rPr>
        <w:t>: 620 66 29 26</w:t>
      </w:r>
    </w:p>
    <w:p w14:paraId="5591DCB5" w14:textId="77777777" w:rsidR="004D63F3" w:rsidRPr="00106CF6" w:rsidRDefault="00000000">
      <w:pPr>
        <w:pBdr>
          <w:top w:val="nil"/>
          <w:left w:val="nil"/>
          <w:bottom w:val="nil"/>
          <w:right w:val="nil"/>
          <w:between w:val="nil"/>
        </w:pBdr>
        <w:shd w:val="clear" w:color="auto" w:fill="FFFFFF"/>
        <w:spacing w:line="276" w:lineRule="auto"/>
        <w:ind w:right="-574"/>
        <w:jc w:val="right"/>
        <w:rPr>
          <w:rFonts w:ascii="Open Sans" w:eastAsia="Open Sans" w:hAnsi="Open Sans" w:cs="Open Sans"/>
          <w:color w:val="000000"/>
          <w:sz w:val="21"/>
          <w:szCs w:val="21"/>
          <w:lang w:val="en-US"/>
        </w:rPr>
      </w:pPr>
      <w:hyperlink r:id="rId37">
        <w:r w:rsidRPr="00106CF6">
          <w:rPr>
            <w:rFonts w:ascii="Open Sans" w:eastAsia="Open Sans" w:hAnsi="Open Sans" w:cs="Open Sans"/>
            <w:color w:val="0000FF"/>
            <w:sz w:val="21"/>
            <w:szCs w:val="21"/>
            <w:u w:val="single"/>
            <w:lang w:val="en-US"/>
          </w:rPr>
          <w:t>comunicacion@fotocasa.es</w:t>
        </w:r>
      </w:hyperlink>
    </w:p>
    <w:p w14:paraId="57CCF447" w14:textId="77777777" w:rsidR="004D63F3" w:rsidRPr="00106CF6" w:rsidRDefault="00000000">
      <w:pPr>
        <w:pBdr>
          <w:top w:val="nil"/>
          <w:left w:val="nil"/>
          <w:bottom w:val="nil"/>
          <w:right w:val="nil"/>
          <w:between w:val="nil"/>
        </w:pBdr>
        <w:shd w:val="clear" w:color="auto" w:fill="FFFFFF"/>
        <w:spacing w:line="276" w:lineRule="auto"/>
        <w:ind w:right="-574"/>
        <w:jc w:val="right"/>
        <w:rPr>
          <w:rFonts w:ascii="Open Sans" w:eastAsia="Open Sans" w:hAnsi="Open Sans" w:cs="Open Sans"/>
          <w:color w:val="000000"/>
          <w:sz w:val="21"/>
          <w:szCs w:val="21"/>
          <w:lang w:val="en-US"/>
        </w:rPr>
      </w:pPr>
      <w:hyperlink r:id="rId38">
        <w:r w:rsidRPr="00106CF6">
          <w:rPr>
            <w:rFonts w:ascii="Open Sans" w:eastAsia="Open Sans" w:hAnsi="Open Sans" w:cs="Open Sans"/>
            <w:color w:val="0000FF"/>
            <w:sz w:val="21"/>
            <w:szCs w:val="21"/>
            <w:u w:val="single"/>
            <w:lang w:val="en-US"/>
          </w:rPr>
          <w:t>http://prensa.fotocasa.es</w:t>
        </w:r>
      </w:hyperlink>
    </w:p>
    <w:p w14:paraId="6CC4308A" w14:textId="77777777" w:rsidR="004D63F3" w:rsidRDefault="00000000">
      <w:pPr>
        <w:pBdr>
          <w:top w:val="nil"/>
          <w:left w:val="nil"/>
          <w:bottom w:val="nil"/>
          <w:right w:val="nil"/>
          <w:between w:val="nil"/>
        </w:pBdr>
        <w:shd w:val="clear" w:color="auto" w:fill="FFFFFF"/>
        <w:spacing w:line="276" w:lineRule="auto"/>
        <w:ind w:right="-574"/>
        <w:jc w:val="right"/>
        <w:rPr>
          <w:rFonts w:ascii="Open Sans" w:eastAsia="Open Sans" w:hAnsi="Open Sans" w:cs="Open Sans"/>
          <w:color w:val="000000"/>
          <w:sz w:val="21"/>
          <w:szCs w:val="21"/>
        </w:rPr>
      </w:pPr>
      <w:proofErr w:type="spellStart"/>
      <w:r>
        <w:rPr>
          <w:rFonts w:ascii="Open Sans" w:eastAsia="Open Sans" w:hAnsi="Open Sans" w:cs="Open Sans"/>
          <w:color w:val="000000"/>
          <w:sz w:val="21"/>
          <w:szCs w:val="21"/>
        </w:rPr>
        <w:t>twitter</w:t>
      </w:r>
      <w:proofErr w:type="spellEnd"/>
      <w:r>
        <w:rPr>
          <w:rFonts w:ascii="Open Sans" w:eastAsia="Open Sans" w:hAnsi="Open Sans" w:cs="Open Sans"/>
          <w:color w:val="000000"/>
          <w:sz w:val="21"/>
          <w:szCs w:val="21"/>
        </w:rPr>
        <w:t>: @fotocasa</w:t>
      </w:r>
    </w:p>
    <w:sectPr w:rsidR="004D63F3">
      <w:footerReference w:type="default" r:id="rId39"/>
      <w:pgSz w:w="11900" w:h="16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BAE62" w14:textId="77777777" w:rsidR="00303E4C" w:rsidRDefault="00303E4C">
      <w:r>
        <w:separator/>
      </w:r>
    </w:p>
  </w:endnote>
  <w:endnote w:type="continuationSeparator" w:id="0">
    <w:p w14:paraId="1C5CFD55" w14:textId="77777777" w:rsidR="00303E4C" w:rsidRDefault="0030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
    <w:altName w:val="Calibri"/>
    <w:charset w:val="00"/>
    <w:family w:val="auto"/>
    <w:pitch w:val="default"/>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79D6" w14:textId="77777777" w:rsidR="004D63F3" w:rsidRDefault="00000000">
    <w:pPr>
      <w:pBdr>
        <w:top w:val="nil"/>
        <w:left w:val="nil"/>
        <w:bottom w:val="nil"/>
        <w:right w:val="nil"/>
        <w:between w:val="nil"/>
      </w:pBdr>
      <w:tabs>
        <w:tab w:val="center" w:pos="4252"/>
        <w:tab w:val="right" w:pos="8504"/>
      </w:tabs>
      <w:jc w:val="right"/>
      <w:rPr>
        <w:color w:val="000000"/>
      </w:rPr>
    </w:pPr>
    <w:r>
      <w:rPr>
        <w:color w:val="4472C4"/>
        <w:sz w:val="20"/>
        <w:szCs w:val="20"/>
      </w:rPr>
      <w:t xml:space="preserve">pág. </w:t>
    </w:r>
    <w:r>
      <w:rPr>
        <w:color w:val="4472C4"/>
        <w:sz w:val="20"/>
        <w:szCs w:val="20"/>
      </w:rPr>
      <w:fldChar w:fldCharType="begin"/>
    </w:r>
    <w:r>
      <w:rPr>
        <w:color w:val="4472C4"/>
        <w:sz w:val="20"/>
        <w:szCs w:val="20"/>
      </w:rPr>
      <w:instrText>PAGE</w:instrText>
    </w:r>
    <w:r>
      <w:rPr>
        <w:color w:val="4472C4"/>
        <w:sz w:val="20"/>
        <w:szCs w:val="20"/>
      </w:rPr>
      <w:fldChar w:fldCharType="separate"/>
    </w:r>
    <w:r w:rsidR="00106CF6">
      <w:rPr>
        <w:noProof/>
        <w:color w:val="4472C4"/>
        <w:sz w:val="20"/>
        <w:szCs w:val="20"/>
      </w:rPr>
      <w:t>1</w:t>
    </w:r>
    <w:r>
      <w:rPr>
        <w:color w:val="4472C4"/>
        <w:sz w:val="20"/>
        <w:szCs w:val="20"/>
      </w:rPr>
      <w:fldChar w:fldCharType="end"/>
    </w:r>
  </w:p>
  <w:p w14:paraId="5FB1C468" w14:textId="77777777" w:rsidR="004D63F3" w:rsidRDefault="004D63F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619EF" w14:textId="77777777" w:rsidR="00303E4C" w:rsidRDefault="00303E4C">
      <w:r>
        <w:separator/>
      </w:r>
    </w:p>
  </w:footnote>
  <w:footnote w:type="continuationSeparator" w:id="0">
    <w:p w14:paraId="04EDEB97" w14:textId="77777777" w:rsidR="00303E4C" w:rsidRDefault="00303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A6CEB"/>
    <w:multiLevelType w:val="multilevel"/>
    <w:tmpl w:val="88B28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40811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3F3"/>
    <w:rsid w:val="00106CF6"/>
    <w:rsid w:val="001B58CE"/>
    <w:rsid w:val="00303E4C"/>
    <w:rsid w:val="004D63F3"/>
    <w:rsid w:val="00D16C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4899"/>
  <w15:docId w15:val="{10DFE54C-6B0D-44E4-BE15-A803BA42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989"/>
    <w:rPr>
      <w:lang w:val="es-ES_tradnl"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Refdecomentario">
    <w:name w:val="annotation reference"/>
    <w:uiPriority w:val="99"/>
    <w:semiHidden/>
    <w:unhideWhenUsed/>
    <w:rsid w:val="00964BED"/>
    <w:rPr>
      <w:sz w:val="16"/>
      <w:szCs w:val="16"/>
    </w:rPr>
  </w:style>
  <w:style w:type="paragraph" w:styleId="Textocomentario">
    <w:name w:val="annotation text"/>
    <w:basedOn w:val="Normal"/>
    <w:link w:val="TextocomentarioCar"/>
    <w:uiPriority w:val="99"/>
    <w:semiHidden/>
    <w:unhideWhenUsed/>
    <w:rsid w:val="00964BED"/>
    <w:rPr>
      <w:sz w:val="20"/>
      <w:szCs w:val="20"/>
    </w:rPr>
  </w:style>
  <w:style w:type="character" w:customStyle="1" w:styleId="TextocomentarioCar">
    <w:name w:val="Texto comentario Car"/>
    <w:link w:val="Textocomentario"/>
    <w:uiPriority w:val="99"/>
    <w:semiHidden/>
    <w:rsid w:val="00964BED"/>
    <w:rPr>
      <w:sz w:val="20"/>
      <w:szCs w:val="20"/>
    </w:rPr>
  </w:style>
  <w:style w:type="character" w:styleId="Mencinsinresolver">
    <w:name w:val="Unresolved Mention"/>
    <w:uiPriority w:val="99"/>
    <w:semiHidden/>
    <w:unhideWhenUsed/>
    <w:rsid w:val="00E84EE3"/>
    <w:rPr>
      <w:color w:val="605E5C"/>
      <w:shd w:val="clear" w:color="auto" w:fill="E1DFDD"/>
    </w:rPr>
  </w:style>
  <w:style w:type="paragraph" w:customStyle="1" w:styleId="Cuerpo">
    <w:name w:val="Cuerpo"/>
    <w:rsid w:val="0014415E"/>
    <w:rPr>
      <w:rFonts w:ascii="Times New Roman" w:eastAsia="Arial Unicode MS" w:hAnsi="Times New Roman" w:cs="Arial Unicode MS"/>
      <w:color w:val="000000"/>
      <w:u w:color="000000"/>
      <w:lang w:val="en-US" w:eastAsia="en-US"/>
    </w:rPr>
  </w:style>
  <w:style w:type="character" w:customStyle="1" w:styleId="Ninguno">
    <w:name w:val="Ninguno"/>
    <w:rsid w:val="0014415E"/>
    <w:rPr>
      <w:lang w:val="es-ES_tradnl"/>
    </w:rPr>
  </w:style>
  <w:style w:type="table" w:styleId="Tablaconcuadrcula5oscura-nfasis1">
    <w:name w:val="Grid Table 5 Dark Accent 1"/>
    <w:basedOn w:val="Tablanormal"/>
    <w:uiPriority w:val="50"/>
    <w:rsid w:val="001441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Texto">
    <w:name w:val="Texto"/>
    <w:basedOn w:val="Normal"/>
    <w:uiPriority w:val="99"/>
    <w:rsid w:val="0014415E"/>
    <w:rPr>
      <w:rFonts w:ascii="Gill Sans MT" w:eastAsia="Times New Roman" w:hAnsi="Gill Sans MT" w:cs="Arial"/>
      <w:sz w:val="22"/>
      <w:szCs w:val="22"/>
      <w:lang w:val="pt-BR" w:eastAsia="es-ES"/>
    </w:rPr>
  </w:style>
  <w:style w:type="paragraph" w:customStyle="1" w:styleId="Listavistosa-nfasis11">
    <w:name w:val="Lista vistosa - Énfasis 11"/>
    <w:basedOn w:val="Normal"/>
    <w:qFormat/>
    <w:rsid w:val="0014415E"/>
    <w:pPr>
      <w:ind w:left="708"/>
    </w:pPr>
    <w:rPr>
      <w:rFonts w:ascii="Times New Roman" w:eastAsia="Times New Roman" w:hAnsi="Times New Roman" w:cs="Times New Roman"/>
      <w:lang w:val="es-ES" w:eastAsia="es-ES"/>
    </w:rPr>
  </w:style>
  <w:style w:type="character" w:styleId="nfasis">
    <w:name w:val="Emphasis"/>
    <w:qFormat/>
    <w:rsid w:val="0014415E"/>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1">
    <w:basedOn w:val="TableNormal"/>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2">
    <w:basedOn w:val="TableNormal"/>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youtu.be/hmCR_Q9Wres" TargetMode="External"/><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footer" Target="footer1.xml"/><Relationship Id="rId21" Type="http://schemas.openxmlformats.org/officeDocument/2006/relationships/image" Target="media/image7.png"/><Relationship Id="rId34" Type="http://schemas.openxmlformats.org/officeDocument/2006/relationships/hyperlink" Target="https://www.infojobs.n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fotocasa.es" TargetMode="External"/><Relationship Id="rId29" Type="http://schemas.openxmlformats.org/officeDocument/2006/relationships/hyperlink" Target="http://www.fotocasa.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fotocasa.es" TargetMode="External"/><Relationship Id="rId32" Type="http://schemas.openxmlformats.org/officeDocument/2006/relationships/hyperlink" Target="http://www.fotocasa.es/" TargetMode="External"/><Relationship Id="rId37" Type="http://schemas.openxmlformats.org/officeDocument/2006/relationships/hyperlink" Target="about:blan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hyperlink" Target="https://motos.coches.net/" TargetMode="External"/><Relationship Id="rId10" Type="http://schemas.openxmlformats.org/officeDocument/2006/relationships/hyperlink" Target="http://www.fotocasa.es" TargetMode="External"/><Relationship Id="rId19" Type="http://schemas.openxmlformats.org/officeDocument/2006/relationships/image" Target="media/image6.png"/><Relationship Id="rId31" Type="http://schemas.openxmlformats.org/officeDocument/2006/relationships/hyperlink" Target="https://research.fotocasa.es/" TargetMode="External"/><Relationship Id="rId4" Type="http://schemas.openxmlformats.org/officeDocument/2006/relationships/settings" Target="settings.xml"/><Relationship Id="rId9" Type="http://schemas.openxmlformats.org/officeDocument/2006/relationships/hyperlink" Target="https://youtu.be/hmCR_Q9Wres" TargetMode="External"/><Relationship Id="rId14" Type="http://schemas.openxmlformats.org/officeDocument/2006/relationships/image" Target="media/image2.jpe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hyperlink" Target="https://www.fotocasa.es/indice/" TargetMode="External"/><Relationship Id="rId35" Type="http://schemas.openxmlformats.org/officeDocument/2006/relationships/hyperlink" Target="https://www.coches.net/"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fotocasa.es" TargetMode="Externa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yperlink" Target="http://www.fotocasa.es/" TargetMode="External"/><Relationship Id="rId38" Type="http://schemas.openxmlformats.org/officeDocument/2006/relationships/hyperlink" Target="http://prensa.fotocasa.e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Mi%20unidad\01-SCHIBSTED\04-ESTUDIO%20NdP\RENTABILIDAD\NOTAS%20DE%20PRENSA\2022\DICIEMBRE\Prensa%20Rentabilidad%20DIC%202022.xlsm"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H:\Mi%20unidad\01-SCHIBSTED\04-ESTUDIO%20NdP\RENTABILIDAD\NOTAS%20DE%20PRENSA\2022\DICIEMBRE\Prensa%20Rentabilidad%20DIC%202022.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rgbClr val="5B9BD5">
              <a:lumMod val="75000"/>
            </a:srgb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5B9BD5">
              <a:lumMod val="75000"/>
            </a:srgbClr>
          </a:solidFill>
          <a:ln>
            <a:noFill/>
          </a:ln>
          <a:effectLst/>
        </c:spPr>
      </c:pivotFmt>
      <c:pivotFmt>
        <c:idx val="2"/>
        <c:spPr>
          <a:solidFill>
            <a:srgbClr val="FFC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FFC000"/>
          </a:solidFill>
          <a:ln>
            <a:noFill/>
          </a:ln>
          <a:effectLst/>
        </c:spPr>
      </c:pivotFmt>
    </c:pivotFmts>
    <c:plotArea>
      <c:layout>
        <c:manualLayout>
          <c:layoutTarget val="inner"/>
          <c:xMode val="edge"/>
          <c:yMode val="edge"/>
          <c:x val="2.5836556262427656E-2"/>
          <c:y val="9.8885544295752262E-2"/>
          <c:w val="0.9517014656528725"/>
          <c:h val="0.65198527594364608"/>
        </c:manualLayout>
      </c:layout>
      <c:barChart>
        <c:barDir val="col"/>
        <c:grouping val="clustered"/>
        <c:varyColors val="0"/>
        <c:ser>
          <c:idx val="0"/>
          <c:order val="0"/>
          <c:tx>
            <c:strRef>
              <c:f>Hoja1!$F$2</c:f>
              <c:strCache>
                <c:ptCount val="1"/>
                <c:pt idx="0">
                  <c:v>España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Hoja1!$E$3:$E$10</c:f>
              <c:strCache>
                <c:ptCount val="8"/>
                <c:pt idx="0">
                  <c:v>2007                            (15 AÑOS)</c:v>
                </c:pt>
                <c:pt idx="1">
                  <c:v>2012                        (10 AÑOS)</c:v>
                </c:pt>
                <c:pt idx="2">
                  <c:v>2017                         (5 AÑOS)</c:v>
                </c:pt>
                <c:pt idx="3">
                  <c:v>2018</c:v>
                </c:pt>
                <c:pt idx="4">
                  <c:v>2019</c:v>
                </c:pt>
                <c:pt idx="5">
                  <c:v>2020</c:v>
                </c:pt>
                <c:pt idx="6">
                  <c:v>2021                          (1 AÑO)</c:v>
                </c:pt>
                <c:pt idx="7">
                  <c:v>2022</c:v>
                </c:pt>
              </c:strCache>
            </c:strRef>
          </c:cat>
          <c:val>
            <c:numRef>
              <c:f>Hoja1!$F$3:$F$10</c:f>
              <c:numCache>
                <c:formatCode>0.0%</c:formatCode>
                <c:ptCount val="8"/>
                <c:pt idx="0">
                  <c:v>4.0482196870059085E-2</c:v>
                </c:pt>
                <c:pt idx="1">
                  <c:v>4.6228986147428729E-2</c:v>
                </c:pt>
                <c:pt idx="2">
                  <c:v>6.1684022269016633E-2</c:v>
                </c:pt>
                <c:pt idx="3">
                  <c:v>6.2207106867722371E-2</c:v>
                </c:pt>
                <c:pt idx="4">
                  <c:v>6.6187705211143963E-2</c:v>
                </c:pt>
                <c:pt idx="5">
                  <c:v>6.8126935727193721E-2</c:v>
                </c:pt>
                <c:pt idx="6">
                  <c:v>6.4616933369686033E-2</c:v>
                </c:pt>
                <c:pt idx="7">
                  <c:v>6.4540037643479181E-2</c:v>
                </c:pt>
              </c:numCache>
            </c:numRef>
          </c:val>
          <c:extLst>
            <c:ext xmlns:c16="http://schemas.microsoft.com/office/drawing/2014/chart" uri="{C3380CC4-5D6E-409C-BE32-E72D297353CC}">
              <c16:uniqueId val="{00000000-3885-4468-B821-366888D1CCF1}"/>
            </c:ext>
          </c:extLst>
        </c:ser>
        <c:dLbls>
          <c:showLegendKey val="0"/>
          <c:showVal val="0"/>
          <c:showCatName val="0"/>
          <c:showSerName val="0"/>
          <c:showPercent val="0"/>
          <c:showBubbleSize val="0"/>
        </c:dLbls>
        <c:gapWidth val="50"/>
        <c:overlap val="-27"/>
        <c:axId val="1587936352"/>
        <c:axId val="663677872"/>
      </c:barChart>
      <c:catAx>
        <c:axId val="158793635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ES"/>
          </a:p>
        </c:txPr>
        <c:crossAx val="663677872"/>
        <c:crosses val="autoZero"/>
        <c:auto val="1"/>
        <c:lblAlgn val="ctr"/>
        <c:lblOffset val="100"/>
        <c:noMultiLvlLbl val="0"/>
      </c:catAx>
      <c:valAx>
        <c:axId val="663677872"/>
        <c:scaling>
          <c:orientation val="minMax"/>
        </c:scaling>
        <c:delete val="1"/>
        <c:axPos val="l"/>
        <c:numFmt formatCode="0.0%" sourceLinked="1"/>
        <c:majorTickMark val="none"/>
        <c:minorTickMark val="none"/>
        <c:tickLblPos val="nextTo"/>
        <c:crossAx val="1587936352"/>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rgbClr val="5B9BD5">
              <a:lumMod val="75000"/>
            </a:srgb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5B9BD5">
              <a:lumMod val="75000"/>
            </a:srgbClr>
          </a:solidFill>
          <a:ln>
            <a:noFill/>
          </a:ln>
          <a:effectLst/>
        </c:spPr>
      </c:pivotFmt>
      <c:pivotFmt>
        <c:idx val="2"/>
        <c:spPr>
          <a:solidFill>
            <a:srgbClr val="FFC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FFC000"/>
          </a:solidFill>
          <a:ln>
            <a:noFill/>
          </a:ln>
          <a:effectLst/>
        </c:spPr>
      </c:pivotFmt>
    </c:pivotFmts>
    <c:plotArea>
      <c:layout>
        <c:manualLayout>
          <c:layoutTarget val="inner"/>
          <c:xMode val="edge"/>
          <c:yMode val="edge"/>
          <c:x val="0.10518096703312359"/>
          <c:y val="8.2711136162209653E-2"/>
          <c:w val="0.87796522042614411"/>
          <c:h val="0.50995610364322685"/>
        </c:manualLayout>
      </c:layout>
      <c:barChart>
        <c:barDir val="col"/>
        <c:grouping val="clustered"/>
        <c:varyColors val="0"/>
        <c:ser>
          <c:idx val="0"/>
          <c:order val="0"/>
          <c:tx>
            <c:strRef>
              <c:f>Hoja1!$B$36</c:f>
              <c:strCache>
                <c:ptCount val="1"/>
                <c:pt idx="0">
                  <c:v>01/06/2022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Hoja1!$A$37:$A$54</c:f>
              <c:strCache>
                <c:ptCount val="18"/>
                <c:pt idx="0">
                  <c:v>Comunitat Valenciana</c:v>
                </c:pt>
                <c:pt idx="1">
                  <c:v>Región de Murcia</c:v>
                </c:pt>
                <c:pt idx="2">
                  <c:v>Cantabria</c:v>
                </c:pt>
                <c:pt idx="3">
                  <c:v>Canarias</c:v>
                </c:pt>
                <c:pt idx="4">
                  <c:v>Cataluña</c:v>
                </c:pt>
                <c:pt idx="5">
                  <c:v>Navarra</c:v>
                </c:pt>
                <c:pt idx="6">
                  <c:v>Castilla y León</c:v>
                </c:pt>
                <c:pt idx="7">
                  <c:v>España</c:v>
                </c:pt>
                <c:pt idx="8">
                  <c:v>Aragón</c:v>
                </c:pt>
                <c:pt idx="9">
                  <c:v>Asturias</c:v>
                </c:pt>
                <c:pt idx="10">
                  <c:v>La Rioja</c:v>
                </c:pt>
                <c:pt idx="11">
                  <c:v>Castilla-La Mancha</c:v>
                </c:pt>
                <c:pt idx="12">
                  <c:v>Extremadura</c:v>
                </c:pt>
                <c:pt idx="13">
                  <c:v>Andalucía</c:v>
                </c:pt>
                <c:pt idx="14">
                  <c:v>Galicia</c:v>
                </c:pt>
                <c:pt idx="15">
                  <c:v>País Vasco</c:v>
                </c:pt>
                <c:pt idx="16">
                  <c:v>Madrid</c:v>
                </c:pt>
                <c:pt idx="17">
                  <c:v>Baleares</c:v>
                </c:pt>
              </c:strCache>
            </c:strRef>
          </c:cat>
          <c:val>
            <c:numRef>
              <c:f>Hoja1!$B$37:$B$54</c:f>
              <c:numCache>
                <c:formatCode>0.0%</c:formatCode>
                <c:ptCount val="18"/>
                <c:pt idx="0">
                  <c:v>7.7094482640409842E-2</c:v>
                </c:pt>
                <c:pt idx="1">
                  <c:v>7.6993859898613043E-2</c:v>
                </c:pt>
                <c:pt idx="2">
                  <c:v>6.9068214901199673E-2</c:v>
                </c:pt>
                <c:pt idx="3">
                  <c:v>6.8362230778181959E-2</c:v>
                </c:pt>
                <c:pt idx="4">
                  <c:v>6.7737871387332435E-2</c:v>
                </c:pt>
                <c:pt idx="5">
                  <c:v>6.6308567781736966E-2</c:v>
                </c:pt>
                <c:pt idx="6">
                  <c:v>6.4777776239843862E-2</c:v>
                </c:pt>
                <c:pt idx="7">
                  <c:v>6.4540037643479181E-2</c:v>
                </c:pt>
                <c:pt idx="8">
                  <c:v>6.4329717058278377E-2</c:v>
                </c:pt>
                <c:pt idx="9">
                  <c:v>6.2992125984251968E-2</c:v>
                </c:pt>
                <c:pt idx="10">
                  <c:v>6.1418949200761234E-2</c:v>
                </c:pt>
                <c:pt idx="11">
                  <c:v>6.1348950268596297E-2</c:v>
                </c:pt>
                <c:pt idx="12">
                  <c:v>6.0198835557844201E-2</c:v>
                </c:pt>
                <c:pt idx="13">
                  <c:v>6.0173275538562783E-2</c:v>
                </c:pt>
                <c:pt idx="14">
                  <c:v>5.6988079754674424E-2</c:v>
                </c:pt>
                <c:pt idx="15">
                  <c:v>5.6846853341297382E-2</c:v>
                </c:pt>
                <c:pt idx="16">
                  <c:v>5.4712216814604114E-2</c:v>
                </c:pt>
                <c:pt idx="17">
                  <c:v>5.1648672308141227E-2</c:v>
                </c:pt>
              </c:numCache>
            </c:numRef>
          </c:val>
          <c:extLst>
            <c:ext xmlns:c16="http://schemas.microsoft.com/office/drawing/2014/chart" uri="{C3380CC4-5D6E-409C-BE32-E72D297353CC}">
              <c16:uniqueId val="{00000000-4553-41E6-8E8E-9E8526AC2C60}"/>
            </c:ext>
          </c:extLst>
        </c:ser>
        <c:dLbls>
          <c:showLegendKey val="0"/>
          <c:showVal val="0"/>
          <c:showCatName val="0"/>
          <c:showSerName val="0"/>
          <c:showPercent val="0"/>
          <c:showBubbleSize val="0"/>
        </c:dLbls>
        <c:gapWidth val="50"/>
        <c:overlap val="-27"/>
        <c:axId val="1587936352"/>
        <c:axId val="663677872"/>
      </c:barChart>
      <c:catAx>
        <c:axId val="158793635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663677872"/>
        <c:crosses val="autoZero"/>
        <c:auto val="1"/>
        <c:lblAlgn val="ctr"/>
        <c:lblOffset val="100"/>
        <c:noMultiLvlLbl val="0"/>
      </c:catAx>
      <c:valAx>
        <c:axId val="663677872"/>
        <c:scaling>
          <c:orientation val="minMax"/>
        </c:scaling>
        <c:delete val="1"/>
        <c:axPos val="l"/>
        <c:numFmt formatCode="0.0%" sourceLinked="1"/>
        <c:majorTickMark val="none"/>
        <c:minorTickMark val="none"/>
        <c:tickLblPos val="nextTo"/>
        <c:crossAx val="1587936352"/>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ersonalizado 1">
    <a:dk1>
      <a:sysClr val="windowText" lastClr="000000"/>
    </a:dk1>
    <a:lt1>
      <a:sysClr val="window" lastClr="FFFFFF"/>
    </a:lt1>
    <a:dk2>
      <a:srgbClr val="323232"/>
    </a:dk2>
    <a:lt2>
      <a:srgbClr val="E3DED1"/>
    </a:lt2>
    <a:accent1>
      <a:srgbClr val="0070C0"/>
    </a:accent1>
    <a:accent2>
      <a:srgbClr val="FFC000"/>
    </a:accent2>
    <a:accent3>
      <a:srgbClr val="FF0000"/>
    </a:accent3>
    <a:accent4>
      <a:srgbClr val="00B0F0"/>
    </a:accent4>
    <a:accent5>
      <a:srgbClr val="92D050"/>
    </a:accent5>
    <a:accent6>
      <a:srgbClr val="00B050"/>
    </a:accent6>
    <a:hlink>
      <a:srgbClr val="F07F09"/>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ersonalizado 1">
    <a:dk1>
      <a:sysClr val="windowText" lastClr="000000"/>
    </a:dk1>
    <a:lt1>
      <a:sysClr val="window" lastClr="FFFFFF"/>
    </a:lt1>
    <a:dk2>
      <a:srgbClr val="323232"/>
    </a:dk2>
    <a:lt2>
      <a:srgbClr val="E3DED1"/>
    </a:lt2>
    <a:accent1>
      <a:srgbClr val="0070C0"/>
    </a:accent1>
    <a:accent2>
      <a:srgbClr val="FFC000"/>
    </a:accent2>
    <a:accent3>
      <a:srgbClr val="FF0000"/>
    </a:accent3>
    <a:accent4>
      <a:srgbClr val="00B0F0"/>
    </a:accent4>
    <a:accent5>
      <a:srgbClr val="92D050"/>
    </a:accent5>
    <a:accent6>
      <a:srgbClr val="00B050"/>
    </a:accent6>
    <a:hlink>
      <a:srgbClr val="F07F09"/>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48Xuwph/FFZ/qC4x0YIa7gOq8w==">AMUW2mW2ph/YdL1AN08O5efNDyZXdlTNxbliv7LMRbRqRXVBQMVJ3bXdyb9V9uC472ojtPw7r0MTJJKagO4e5VK0BNpmWtFENhBDhd1WCcHnWsD1EK3NmuOl5DK7M1XDopvyd7aOgyBeOUB7sahTVqQo+neSj03Jj0IJK5WbCc+e9T98M1Gsx1g=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3086</Words>
  <Characters>16976</Characters>
  <Application>Microsoft Office Word</Application>
  <DocSecurity>0</DocSecurity>
  <Lines>141</Lines>
  <Paragraphs>40</Paragraphs>
  <ScaleCrop>false</ScaleCrop>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Urrea Rodriguez</dc:creator>
  <cp:lastModifiedBy>Anaïs López García</cp:lastModifiedBy>
  <cp:revision>4</cp:revision>
  <dcterms:created xsi:type="dcterms:W3CDTF">2021-01-12T19:15:00Z</dcterms:created>
  <dcterms:modified xsi:type="dcterms:W3CDTF">2023-01-26T12:12:00Z</dcterms:modified>
</cp:coreProperties>
</file>