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D89F" w14:textId="77777777" w:rsidR="00421140" w:rsidRDefault="00000000">
      <w:pPr>
        <w:spacing w:line="240" w:lineRule="auto"/>
        <w:rPr>
          <w:rFonts w:ascii="Calibri" w:eastAsia="Calibri" w:hAnsi="Calibri" w:cs="Calibri"/>
          <w:sz w:val="24"/>
          <w:szCs w:val="24"/>
        </w:rPr>
      </w:pPr>
      <w:r>
        <w:rPr>
          <w:rFonts w:ascii="Calibri" w:eastAsia="Calibri" w:hAnsi="Calibri" w:cs="Calibri"/>
          <w:sz w:val="24"/>
          <w:szCs w:val="24"/>
        </w:rPr>
        <w:t xml:space="preserve"> </w:t>
      </w:r>
      <w:r>
        <w:rPr>
          <w:noProof/>
        </w:rPr>
        <w:drawing>
          <wp:anchor distT="0" distB="0" distL="0" distR="0" simplePos="0" relativeHeight="251658240" behindDoc="0" locked="0" layoutInCell="1" hidden="0" allowOverlap="1" wp14:anchorId="20C81DE2" wp14:editId="382F3DDF">
            <wp:simplePos x="0" y="0"/>
            <wp:positionH relativeFrom="column">
              <wp:posOffset>-1056050</wp:posOffset>
            </wp:positionH>
            <wp:positionV relativeFrom="paragraph">
              <wp:posOffset>-346319</wp:posOffset>
            </wp:positionV>
            <wp:extent cx="7711147" cy="1037167"/>
            <wp:effectExtent l="0" t="0" r="0" b="0"/>
            <wp:wrapSquare wrapText="bothSides" distT="0" distB="0" distL="0" distR="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1D464C31" w14:textId="77777777" w:rsidR="00421140" w:rsidRDefault="00421140">
      <w:pPr>
        <w:spacing w:line="240" w:lineRule="auto"/>
        <w:jc w:val="right"/>
        <w:rPr>
          <w:rFonts w:ascii="National" w:eastAsia="National" w:hAnsi="National" w:cs="National"/>
          <w:color w:val="303AB2"/>
          <w:sz w:val="36"/>
          <w:szCs w:val="36"/>
        </w:rPr>
      </w:pPr>
    </w:p>
    <w:p w14:paraId="2CE5B404" w14:textId="64252BC5" w:rsidR="00421140" w:rsidRPr="00F75390" w:rsidRDefault="00000000">
      <w:pPr>
        <w:pBdr>
          <w:top w:val="nil"/>
          <w:left w:val="nil"/>
          <w:bottom w:val="nil"/>
          <w:right w:val="nil"/>
          <w:between w:val="nil"/>
        </w:pBdr>
        <w:shd w:val="clear" w:color="auto" w:fill="FFFFFF"/>
        <w:spacing w:after="225"/>
        <w:ind w:right="-135"/>
        <w:jc w:val="center"/>
        <w:rPr>
          <w:rFonts w:ascii="Open Sans" w:eastAsia="Open Sans" w:hAnsi="Open Sans" w:cs="Open Sans"/>
          <w:b/>
          <w:color w:val="303AB2"/>
          <w:sz w:val="20"/>
          <w:szCs w:val="20"/>
        </w:rPr>
      </w:pPr>
      <w:r w:rsidRPr="00F75390">
        <w:rPr>
          <w:rFonts w:ascii="National" w:eastAsia="National" w:hAnsi="National" w:cs="National"/>
          <w:b/>
          <w:color w:val="303AB2"/>
          <w:sz w:val="52"/>
          <w:szCs w:val="52"/>
        </w:rPr>
        <w:t>"Año histórico para la vivienda: las compraventas marcan récord desde 2007”</w:t>
      </w:r>
      <w:r w:rsidRPr="00F75390">
        <w:rPr>
          <w:rFonts w:ascii="National" w:eastAsia="National" w:hAnsi="National" w:cs="National"/>
          <w:b/>
          <w:color w:val="303AB2"/>
          <w:sz w:val="54"/>
          <w:szCs w:val="54"/>
        </w:rPr>
        <w:t xml:space="preserve"> </w:t>
      </w:r>
    </w:p>
    <w:p w14:paraId="0337CA7C" w14:textId="10B31A44" w:rsidR="00421140" w:rsidRDefault="00DE6B51">
      <w:pPr>
        <w:numPr>
          <w:ilvl w:val="0"/>
          <w:numId w:val="1"/>
        </w:numPr>
        <w:shd w:val="clear" w:color="auto" w:fill="FFFFFF"/>
        <w:spacing w:after="225"/>
        <w:jc w:val="both"/>
        <w:rPr>
          <w:rFonts w:ascii="Open Sans" w:eastAsia="Open Sans" w:hAnsi="Open Sans" w:cs="Open Sans"/>
          <w:b/>
          <w:color w:val="303AB2"/>
          <w:sz w:val="24"/>
          <w:szCs w:val="24"/>
        </w:rPr>
      </w:pPr>
      <w:hyperlink r:id="rId9" w:history="1">
        <w:r w:rsidR="00000000" w:rsidRPr="00DE6B51">
          <w:rPr>
            <w:rStyle w:val="Hipervnculo"/>
            <w:rFonts w:ascii="Open Sans" w:eastAsia="Open Sans" w:hAnsi="Open Sans" w:cs="Open Sans"/>
            <w:b/>
            <w:sz w:val="24"/>
            <w:szCs w:val="24"/>
          </w:rPr>
          <w:t xml:space="preserve">Aquí se puede ver la valoración en vídeo de la </w:t>
        </w:r>
        <w:r w:rsidR="00F75390" w:rsidRPr="00DE6B51">
          <w:rPr>
            <w:rStyle w:val="Hipervnculo"/>
            <w:rFonts w:ascii="Open Sans" w:eastAsia="Open Sans" w:hAnsi="Open Sans" w:cs="Open Sans"/>
            <w:b/>
            <w:sz w:val="24"/>
            <w:szCs w:val="24"/>
          </w:rPr>
          <w:t>d</w:t>
        </w:r>
        <w:r w:rsidR="00000000" w:rsidRPr="00DE6B51">
          <w:rPr>
            <w:rStyle w:val="Hipervnculo"/>
            <w:rFonts w:ascii="Open Sans" w:eastAsia="Open Sans" w:hAnsi="Open Sans" w:cs="Open Sans"/>
            <w:b/>
            <w:sz w:val="24"/>
            <w:szCs w:val="24"/>
          </w:rPr>
          <w:t>irectora de Estudios de Fotocasa</w:t>
        </w:r>
      </w:hyperlink>
    </w:p>
    <w:p w14:paraId="0E5FA009" w14:textId="5373A028" w:rsidR="00421140" w:rsidRDefault="00000000">
      <w:pPr>
        <w:pBdr>
          <w:top w:val="nil"/>
          <w:left w:val="nil"/>
          <w:bottom w:val="nil"/>
          <w:right w:val="nil"/>
          <w:between w:val="nil"/>
        </w:pBdr>
        <w:shd w:val="clear" w:color="auto" w:fill="FFFFFF"/>
        <w:spacing w:after="225"/>
        <w:jc w:val="both"/>
        <w:rPr>
          <w:rFonts w:ascii="Open Sans" w:eastAsia="Open Sans" w:hAnsi="Open Sans" w:cs="Open Sans"/>
          <w:color w:val="000000"/>
          <w:sz w:val="20"/>
          <w:szCs w:val="20"/>
        </w:rPr>
      </w:pPr>
      <w:r>
        <w:rPr>
          <w:rFonts w:ascii="Open Sans" w:eastAsia="Open Sans" w:hAnsi="Open Sans" w:cs="Open Sans"/>
          <w:b/>
          <w:color w:val="303AB2"/>
        </w:rPr>
        <w:t>Madrid, 17 de febrero de 2023</w:t>
      </w:r>
    </w:p>
    <w:p w14:paraId="058B3A77" w14:textId="2073B76D" w:rsidR="00421140"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color w:val="000000"/>
          <w:sz w:val="21"/>
          <w:szCs w:val="21"/>
        </w:rPr>
        <w:t xml:space="preserve">Los datos de transacciones inmobiliarias correspondientes al </w:t>
      </w:r>
      <w:r>
        <w:rPr>
          <w:rFonts w:ascii="Open Sans" w:eastAsia="Open Sans" w:hAnsi="Open Sans" w:cs="Open Sans"/>
          <w:sz w:val="21"/>
          <w:szCs w:val="21"/>
        </w:rPr>
        <w:t xml:space="preserve">cierre de </w:t>
      </w:r>
      <w:r>
        <w:rPr>
          <w:rFonts w:ascii="Open Sans" w:eastAsia="Open Sans" w:hAnsi="Open Sans" w:cs="Open Sans"/>
          <w:color w:val="000000"/>
          <w:sz w:val="21"/>
          <w:szCs w:val="21"/>
        </w:rPr>
        <w:t>202</w:t>
      </w:r>
      <w:r>
        <w:rPr>
          <w:rFonts w:ascii="Open Sans" w:eastAsia="Open Sans" w:hAnsi="Open Sans" w:cs="Open Sans"/>
          <w:sz w:val="21"/>
          <w:szCs w:val="21"/>
        </w:rPr>
        <w:t>2</w:t>
      </w:r>
      <w:r>
        <w:rPr>
          <w:rFonts w:ascii="Open Sans" w:eastAsia="Open Sans" w:hAnsi="Open Sans" w:cs="Open Sans"/>
          <w:color w:val="000000"/>
          <w:sz w:val="21"/>
          <w:szCs w:val="21"/>
        </w:rPr>
        <w:t xml:space="preserve"> dados a conocer hoy por el INE reflejan </w:t>
      </w:r>
      <w:r>
        <w:rPr>
          <w:rFonts w:ascii="Open Sans" w:eastAsia="Open Sans" w:hAnsi="Open Sans" w:cs="Open Sans"/>
          <w:sz w:val="21"/>
          <w:szCs w:val="21"/>
        </w:rPr>
        <w:t xml:space="preserve">una bajada mensual del </w:t>
      </w:r>
      <w:r w:rsidR="00CA674E">
        <w:rPr>
          <w:rFonts w:ascii="Open Sans" w:eastAsia="Open Sans" w:hAnsi="Open Sans" w:cs="Open Sans"/>
          <w:sz w:val="21"/>
          <w:szCs w:val="21"/>
        </w:rPr>
        <w:t>-</w:t>
      </w:r>
      <w:r>
        <w:rPr>
          <w:rFonts w:ascii="Open Sans" w:eastAsia="Open Sans" w:hAnsi="Open Sans" w:cs="Open Sans"/>
          <w:sz w:val="21"/>
          <w:szCs w:val="21"/>
        </w:rPr>
        <w:t>21,3</w:t>
      </w:r>
      <w:r>
        <w:rPr>
          <w:rFonts w:ascii="Open Sans" w:eastAsia="Open Sans" w:hAnsi="Open Sans" w:cs="Open Sans"/>
          <w:color w:val="000000"/>
          <w:sz w:val="21"/>
          <w:szCs w:val="21"/>
        </w:rPr>
        <w:t xml:space="preserve">% y </w:t>
      </w:r>
      <w:r w:rsidR="00CA674E">
        <w:rPr>
          <w:rFonts w:ascii="Open Sans" w:eastAsia="Open Sans" w:hAnsi="Open Sans" w:cs="Open Sans"/>
          <w:color w:val="000000"/>
          <w:sz w:val="21"/>
          <w:szCs w:val="21"/>
        </w:rPr>
        <w:t>una subida anual del 14,7</w:t>
      </w:r>
      <w:r>
        <w:rPr>
          <w:rFonts w:ascii="Open Sans" w:eastAsia="Open Sans" w:hAnsi="Open Sans" w:cs="Open Sans"/>
          <w:color w:val="000000"/>
          <w:sz w:val="21"/>
          <w:szCs w:val="21"/>
        </w:rPr>
        <w:t>%</w:t>
      </w:r>
      <w:r>
        <w:rPr>
          <w:rFonts w:ascii="Open Sans" w:eastAsia="Open Sans" w:hAnsi="Open Sans" w:cs="Open Sans"/>
          <w:sz w:val="21"/>
          <w:szCs w:val="21"/>
        </w:rPr>
        <w:t>. “</w:t>
      </w:r>
      <w:r w:rsidR="00CA674E">
        <w:rPr>
          <w:rFonts w:ascii="Open Sans" w:eastAsia="Open Sans" w:hAnsi="Open Sans" w:cs="Open Sans"/>
          <w:sz w:val="21"/>
          <w:szCs w:val="21"/>
        </w:rPr>
        <w:t>Con</w:t>
      </w:r>
      <w:r>
        <w:rPr>
          <w:rFonts w:ascii="Open Sans" w:eastAsia="Open Sans" w:hAnsi="Open Sans" w:cs="Open Sans"/>
          <w:sz w:val="21"/>
          <w:szCs w:val="21"/>
        </w:rPr>
        <w:t xml:space="preserve"> casi 650.000 operaciones firmadas, el 2022 se convierte en el nuevo año dorado tras el boom del 2007, habiendo superado las cifras de un año clave y muy fructífero como ha sido el 2021. Además, el mérito es evidente, al alcanzar una cifra tan ab</w:t>
      </w:r>
      <w:r w:rsidR="00CA674E">
        <w:rPr>
          <w:rFonts w:ascii="Open Sans" w:eastAsia="Open Sans" w:hAnsi="Open Sans" w:cs="Open Sans"/>
          <w:sz w:val="21"/>
          <w:szCs w:val="21"/>
        </w:rPr>
        <w:t xml:space="preserve">ultada </w:t>
      </w:r>
      <w:r>
        <w:rPr>
          <w:rFonts w:ascii="Open Sans" w:eastAsia="Open Sans" w:hAnsi="Open Sans" w:cs="Open Sans"/>
          <w:sz w:val="21"/>
          <w:szCs w:val="21"/>
        </w:rPr>
        <w:t xml:space="preserve">a pesar del cambio en la política monetaria por parte del BCE, en mitad del año. Se constata así, que el boom del sector inmobiliario todavía continúa a pesar de las cinco subidas de tipos de los últimos meses. La compraventa de viviendas indica que sigue habiendo una gran actividad en el mercado y un interés muy fuerte por comprar”, comenta María Matos, directora de Estudios de </w:t>
      </w:r>
      <w:hyperlink r:id="rId10">
        <w:r>
          <w:rPr>
            <w:rFonts w:ascii="Open Sans" w:eastAsia="Open Sans" w:hAnsi="Open Sans" w:cs="Open Sans"/>
            <w:color w:val="1155CC"/>
            <w:sz w:val="21"/>
            <w:szCs w:val="21"/>
            <w:u w:val="single"/>
          </w:rPr>
          <w:t>Fotocasa</w:t>
        </w:r>
      </w:hyperlink>
      <w:r>
        <w:rPr>
          <w:rFonts w:ascii="Open Sans" w:eastAsia="Open Sans" w:hAnsi="Open Sans" w:cs="Open Sans"/>
          <w:sz w:val="21"/>
          <w:szCs w:val="21"/>
        </w:rPr>
        <w:t>.</w:t>
      </w:r>
    </w:p>
    <w:p w14:paraId="494E8C65" w14:textId="77777777" w:rsidR="00421140"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En diciembre se cerraron 43.370 operaciones, lo que efectúa una suma total de 649.494 durante 2022. Esta cifra indica que ha sido </w:t>
      </w:r>
      <w:r>
        <w:rPr>
          <w:rFonts w:ascii="Open Sans" w:eastAsia="Open Sans" w:hAnsi="Open Sans" w:cs="Open Sans"/>
          <w:b/>
          <w:sz w:val="21"/>
          <w:szCs w:val="21"/>
        </w:rPr>
        <w:t>el mejor ejercicio de los últimos 15 años, solo superado por el boom de 2007</w:t>
      </w:r>
      <w:r>
        <w:rPr>
          <w:rFonts w:ascii="Open Sans" w:eastAsia="Open Sans" w:hAnsi="Open Sans" w:cs="Open Sans"/>
          <w:sz w:val="21"/>
          <w:szCs w:val="21"/>
        </w:rPr>
        <w:t xml:space="preserve">. “Lejos de frenar la demanda de compra, el impacto de la subida de tipos, la está acelerando, al menos temporalmente. De hecho, en la comparativa con 2021, que también supuso un año histórico, </w:t>
      </w:r>
      <w:r>
        <w:rPr>
          <w:rFonts w:ascii="Open Sans" w:eastAsia="Open Sans" w:hAnsi="Open Sans" w:cs="Open Sans"/>
          <w:b/>
          <w:sz w:val="21"/>
          <w:szCs w:val="21"/>
        </w:rPr>
        <w:t>se cerraron 566.485 compraventas y la cifra de 2022 representa un 14,5% más de operaciones que el pasado año</w:t>
      </w:r>
      <w:r>
        <w:rPr>
          <w:rFonts w:ascii="Open Sans" w:eastAsia="Open Sans" w:hAnsi="Open Sans" w:cs="Open Sans"/>
          <w:sz w:val="21"/>
          <w:szCs w:val="21"/>
        </w:rPr>
        <w:t>”, explica la directora de Estudios.</w:t>
      </w:r>
    </w:p>
    <w:p w14:paraId="656CDC20" w14:textId="161799D1" w:rsidR="00421140" w:rsidRDefault="00000000">
      <w:pPr>
        <w:pBdr>
          <w:top w:val="nil"/>
          <w:left w:val="nil"/>
          <w:bottom w:val="nil"/>
          <w:right w:val="nil"/>
          <w:between w:val="nil"/>
        </w:pBd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“A pesar del gran dinamismo hay que tener en cuenta que las compras cerradas en diciembre todavía no se enfrentaban a tipos de interés de noviembre, porque son operaciones que llevan un tiempo estimado de entre 60 y 90 días, entre la firma de arras y la concesión de la hipoteca, por lo que </w:t>
      </w:r>
      <w:r>
        <w:rPr>
          <w:rFonts w:ascii="Open Sans" w:eastAsia="Open Sans" w:hAnsi="Open Sans" w:cs="Open Sans"/>
          <w:b/>
          <w:sz w:val="21"/>
          <w:szCs w:val="21"/>
        </w:rPr>
        <w:t xml:space="preserve">es probable que las compraventas que se firmasen en diciembre, mantuviesen un tipo de interés similar al del mes de octubre </w:t>
      </w:r>
      <w:r>
        <w:rPr>
          <w:rFonts w:ascii="Open Sans" w:eastAsia="Open Sans" w:hAnsi="Open Sans" w:cs="Open Sans"/>
          <w:sz w:val="21"/>
          <w:szCs w:val="21"/>
        </w:rPr>
        <w:t xml:space="preserve">-cuando el euríbor aún  </w:t>
      </w:r>
      <w:r w:rsidR="0012624A">
        <w:rPr>
          <w:rFonts w:ascii="Open Sans" w:eastAsia="Open Sans" w:hAnsi="Open Sans" w:cs="Open Sans"/>
          <w:sz w:val="21"/>
          <w:szCs w:val="21"/>
        </w:rPr>
        <w:t>n</w:t>
      </w:r>
      <w:r>
        <w:rPr>
          <w:rFonts w:ascii="Open Sans" w:eastAsia="Open Sans" w:hAnsi="Open Sans" w:cs="Open Sans"/>
          <w:sz w:val="21"/>
          <w:szCs w:val="21"/>
        </w:rPr>
        <w:t>o había llegado al 3%-</w:t>
      </w:r>
      <w:r>
        <w:rPr>
          <w:rFonts w:ascii="Open Sans" w:eastAsia="Open Sans" w:hAnsi="Open Sans" w:cs="Open Sans"/>
          <w:b/>
          <w:sz w:val="21"/>
          <w:szCs w:val="21"/>
        </w:rPr>
        <w:t xml:space="preserve"> y que aún no tuviesen un efecto ralentizador, ya que son operaciones que ya se habían </w:t>
      </w:r>
      <w:r w:rsidR="0012624A">
        <w:rPr>
          <w:rFonts w:ascii="Open Sans" w:eastAsia="Open Sans" w:hAnsi="Open Sans" w:cs="Open Sans"/>
          <w:b/>
          <w:sz w:val="21"/>
          <w:szCs w:val="21"/>
        </w:rPr>
        <w:t>pactado</w:t>
      </w:r>
      <w:r>
        <w:rPr>
          <w:rFonts w:ascii="Open Sans" w:eastAsia="Open Sans" w:hAnsi="Open Sans" w:cs="Open Sans"/>
          <w:b/>
          <w:sz w:val="21"/>
          <w:szCs w:val="21"/>
        </w:rPr>
        <w:t xml:space="preserve"> previamente</w:t>
      </w:r>
      <w:r>
        <w:rPr>
          <w:rFonts w:ascii="Open Sans" w:eastAsia="Open Sans" w:hAnsi="Open Sans" w:cs="Open Sans"/>
          <w:sz w:val="21"/>
          <w:szCs w:val="21"/>
        </w:rPr>
        <w:t>”, recuerda la portavoz.</w:t>
      </w:r>
    </w:p>
    <w:p w14:paraId="1C45A4DF" w14:textId="77777777" w:rsidR="00421140"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lastRenderedPageBreak/>
        <w:t xml:space="preserve">Uno de los datos más relevantes y donde hay que poner más atención es en las operaciones sobre viviendas nuevas que reflejan un 18% del total. En concreto, el 2022 cierra con un 2,6% más de operaciones de vivienda nueva que en 2021. “La tipología de vivienda de obra nueva está viviendo un auge sin precedentes desde el estallido de la pandemia. Sin embargo, </w:t>
      </w:r>
      <w:r>
        <w:rPr>
          <w:rFonts w:ascii="Open Sans" w:eastAsia="Open Sans" w:hAnsi="Open Sans" w:cs="Open Sans"/>
          <w:b/>
          <w:sz w:val="21"/>
          <w:szCs w:val="21"/>
        </w:rPr>
        <w:t>podemos encontrarnos con una grave problemática de subida de precios, si la demanda continúa tan latente</w:t>
      </w:r>
      <w:r>
        <w:rPr>
          <w:rFonts w:ascii="Open Sans" w:eastAsia="Open Sans" w:hAnsi="Open Sans" w:cs="Open Sans"/>
          <w:sz w:val="21"/>
          <w:szCs w:val="21"/>
        </w:rPr>
        <w:t xml:space="preserve">. No solo por la inflación desbocada, que afecta al coste de los materiales, a la producción y logística, que ha ocasionado la ralentización y paralización de algunas promociones, sino a la demanda de compra tan fuerte y solvente frente a los niveles productivos tan escasos de la vivienda a estrenar”, explica María Matos. </w:t>
      </w:r>
    </w:p>
    <w:p w14:paraId="36D2D268" w14:textId="4CBE1455" w:rsidR="00421140" w:rsidRDefault="00000000">
      <w:pPr>
        <w:shd w:val="clear" w:color="auto" w:fill="FFFFFF"/>
        <w:spacing w:before="280" w:after="280"/>
        <w:jc w:val="both"/>
        <w:rPr>
          <w:rFonts w:ascii="Open Sans" w:eastAsia="Open Sans" w:hAnsi="Open Sans" w:cs="Open Sans"/>
          <w:sz w:val="21"/>
          <w:szCs w:val="21"/>
        </w:rPr>
      </w:pPr>
      <w:r>
        <w:rPr>
          <w:rFonts w:ascii="Open Sans" w:eastAsia="Open Sans" w:hAnsi="Open Sans" w:cs="Open Sans"/>
          <w:sz w:val="21"/>
          <w:szCs w:val="21"/>
        </w:rPr>
        <w:t xml:space="preserve">“Con casi 650.000 compraventas, nos quedamos a tan solo un </w:t>
      </w:r>
      <w:r w:rsidR="0012624A">
        <w:rPr>
          <w:rFonts w:ascii="Open Sans" w:eastAsia="Open Sans" w:hAnsi="Open Sans" w:cs="Open Sans"/>
          <w:sz w:val="21"/>
          <w:szCs w:val="21"/>
        </w:rPr>
        <w:t>-</w:t>
      </w:r>
      <w:r>
        <w:rPr>
          <w:rFonts w:ascii="Open Sans" w:eastAsia="Open Sans" w:hAnsi="Open Sans" w:cs="Open Sans"/>
          <w:sz w:val="21"/>
          <w:szCs w:val="21"/>
        </w:rPr>
        <w:t xml:space="preserve">16% de superar las cifras de la burbuja de 2007. </w:t>
      </w:r>
      <w:r>
        <w:rPr>
          <w:rFonts w:ascii="Open Sans" w:eastAsia="Open Sans" w:hAnsi="Open Sans" w:cs="Open Sans"/>
          <w:b/>
          <w:sz w:val="21"/>
          <w:szCs w:val="21"/>
        </w:rPr>
        <w:t>En la cifra de diciembre se refleja ya una leve moderación de ese  aceleramiento por parte de los ciudadanos, que se han apresurado a comprar para intentar sortear el endurecimiento de las condiciones crediticias</w:t>
      </w:r>
      <w:r>
        <w:rPr>
          <w:rFonts w:ascii="Open Sans" w:eastAsia="Open Sans" w:hAnsi="Open Sans" w:cs="Open Sans"/>
          <w:sz w:val="21"/>
          <w:szCs w:val="21"/>
        </w:rPr>
        <w:t xml:space="preserve">. También, hay que tener en cuenta que la inflación desbocada que estamos viviendo está empezando a hacer mella en el bolsillo de los hogares y la capacidad de ahorro </w:t>
      </w:r>
      <w:r w:rsidR="00D632B5">
        <w:rPr>
          <w:rFonts w:ascii="Open Sans" w:eastAsia="Open Sans" w:hAnsi="Open Sans" w:cs="Open Sans"/>
          <w:sz w:val="21"/>
          <w:szCs w:val="21"/>
        </w:rPr>
        <w:t xml:space="preserve">se </w:t>
      </w:r>
      <w:r>
        <w:rPr>
          <w:rFonts w:ascii="Open Sans" w:eastAsia="Open Sans" w:hAnsi="Open Sans" w:cs="Open Sans"/>
          <w:sz w:val="21"/>
          <w:szCs w:val="21"/>
        </w:rPr>
        <w:t xml:space="preserve">está viendo mermada por los grandes incrementos no solo de la energía y carburantes, sino también de la cesta de la compra. Esto hará que a la larga los españoles no puedan ahorrar tanto para la compra de vivienda y que por tanto se modere la compraventa de inmuebles. Además, </w:t>
      </w:r>
      <w:r>
        <w:rPr>
          <w:rFonts w:ascii="Open Sans" w:eastAsia="Open Sans" w:hAnsi="Open Sans" w:cs="Open Sans"/>
          <w:b/>
          <w:sz w:val="21"/>
          <w:szCs w:val="21"/>
        </w:rPr>
        <w:t>las sucesivas subidas de tipos encarecerán cada vez más los créditos financieros, lo que expulsará a un volumen importante de compradores</w:t>
      </w:r>
      <w:r>
        <w:rPr>
          <w:rFonts w:ascii="Open Sans" w:eastAsia="Open Sans" w:hAnsi="Open Sans" w:cs="Open Sans"/>
          <w:sz w:val="21"/>
          <w:szCs w:val="21"/>
        </w:rPr>
        <w:t xml:space="preserve">. Desde </w:t>
      </w:r>
      <w:hyperlink r:id="rId11" w:history="1">
        <w:r w:rsidRPr="00D632B5">
          <w:rPr>
            <w:rStyle w:val="Hipervnculo"/>
            <w:rFonts w:ascii="Open Sans" w:eastAsia="Open Sans" w:hAnsi="Open Sans" w:cs="Open Sans"/>
            <w:sz w:val="21"/>
            <w:szCs w:val="21"/>
          </w:rPr>
          <w:t>Fotoc</w:t>
        </w:r>
        <w:r w:rsidRPr="00D632B5">
          <w:rPr>
            <w:rStyle w:val="Hipervnculo"/>
            <w:rFonts w:ascii="Open Sans" w:eastAsia="Open Sans" w:hAnsi="Open Sans" w:cs="Open Sans"/>
            <w:sz w:val="21"/>
            <w:szCs w:val="21"/>
          </w:rPr>
          <w:t>asa</w:t>
        </w:r>
      </w:hyperlink>
      <w:r>
        <w:rPr>
          <w:rFonts w:ascii="Open Sans" w:eastAsia="Open Sans" w:hAnsi="Open Sans" w:cs="Open Sans"/>
          <w:sz w:val="21"/>
          <w:szCs w:val="21"/>
        </w:rPr>
        <w:t xml:space="preserve"> estimamos que las compraventas podrán moderarse en torno a un 15% en 2023”, comenta la directora de Estudios. </w:t>
      </w:r>
    </w:p>
    <w:p w14:paraId="331ED387" w14:textId="3C667891" w:rsidR="00137D44" w:rsidRDefault="00DE6B51">
      <w:pPr>
        <w:shd w:val="clear" w:color="auto" w:fill="FFFFFF"/>
        <w:spacing w:before="280" w:after="280"/>
        <w:jc w:val="both"/>
        <w:rPr>
          <w:rFonts w:ascii="Open Sans" w:eastAsia="Open Sans" w:hAnsi="Open Sans" w:cs="Open Sans"/>
          <w:sz w:val="21"/>
          <w:szCs w:val="21"/>
        </w:rPr>
      </w:pPr>
      <w:r>
        <w:rPr>
          <w:noProof/>
        </w:rPr>
        <w:drawing>
          <wp:inline distT="0" distB="0" distL="0" distR="0" wp14:anchorId="6B11A981" wp14:editId="0FA03917">
            <wp:extent cx="5733415" cy="3175635"/>
            <wp:effectExtent l="0" t="0" r="635" b="5715"/>
            <wp:docPr id="1"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3175635"/>
                    </a:xfrm>
                    <a:prstGeom prst="rect">
                      <a:avLst/>
                    </a:prstGeom>
                    <a:noFill/>
                    <a:ln>
                      <a:noFill/>
                    </a:ln>
                  </pic:spPr>
                </pic:pic>
              </a:graphicData>
            </a:graphic>
          </wp:inline>
        </w:drawing>
      </w:r>
    </w:p>
    <w:p w14:paraId="2D6869D7" w14:textId="77777777" w:rsidR="00137D44" w:rsidRDefault="00137D44">
      <w:pPr>
        <w:shd w:val="clear" w:color="auto" w:fill="FFFFFF"/>
        <w:spacing w:before="280" w:after="280"/>
        <w:jc w:val="both"/>
        <w:rPr>
          <w:rFonts w:ascii="Open Sans Light" w:eastAsia="Open Sans Light" w:hAnsi="Open Sans Light" w:cs="Open Sans Light"/>
          <w:b/>
          <w:color w:val="303AB2"/>
        </w:rPr>
      </w:pPr>
    </w:p>
    <w:p w14:paraId="50DEBFFD" w14:textId="77777777" w:rsidR="00421140" w:rsidRDefault="00421140">
      <w:pPr>
        <w:ind w:right="-12"/>
        <w:rPr>
          <w:rFonts w:ascii="Open Sans Light" w:eastAsia="Open Sans Light" w:hAnsi="Open Sans Light" w:cs="Open Sans Light"/>
          <w:b/>
          <w:color w:val="303AB2"/>
        </w:rPr>
      </w:pPr>
    </w:p>
    <w:p w14:paraId="0C782F72" w14:textId="77777777" w:rsidR="00421140" w:rsidRDefault="00000000">
      <w:pPr>
        <w:ind w:right="-7"/>
        <w:jc w:val="right"/>
        <w:rPr>
          <w:rFonts w:ascii="Open Sans Light" w:eastAsia="Open Sans Light" w:hAnsi="Open Sans Light" w:cs="Open Sans Light"/>
          <w:b/>
          <w:color w:val="303AB2"/>
          <w:sz w:val="24"/>
          <w:szCs w:val="24"/>
        </w:rPr>
      </w:pPr>
      <w:r>
        <w:rPr>
          <w:rFonts w:ascii="Open Sans Light" w:eastAsia="Open Sans Light" w:hAnsi="Open Sans Light" w:cs="Open Sans Light"/>
          <w:b/>
          <w:color w:val="303AB2"/>
          <w:sz w:val="24"/>
          <w:szCs w:val="24"/>
        </w:rPr>
        <w:t>Departamento de Comunicación de Fotocasa</w:t>
      </w:r>
    </w:p>
    <w:p w14:paraId="79C0D66B" w14:textId="77777777" w:rsidR="00421140" w:rsidRDefault="00000000">
      <w:pPr>
        <w:shd w:val="clear" w:color="auto" w:fill="FFFFFF"/>
        <w:ind w:right="-7"/>
        <w:jc w:val="right"/>
        <w:rPr>
          <w:rFonts w:ascii="Open Sans" w:eastAsia="Open Sans" w:hAnsi="Open Sans" w:cs="Open Sans"/>
          <w:b/>
          <w:sz w:val="21"/>
          <w:szCs w:val="21"/>
        </w:rPr>
      </w:pPr>
      <w:r>
        <w:rPr>
          <w:rFonts w:ascii="Open Sans" w:eastAsia="Open Sans" w:hAnsi="Open Sans" w:cs="Open Sans"/>
          <w:b/>
          <w:sz w:val="21"/>
          <w:szCs w:val="21"/>
        </w:rPr>
        <w:t>Anaïs López</w:t>
      </w:r>
    </w:p>
    <w:p w14:paraId="75EEB4F0" w14:textId="77777777" w:rsidR="00421140" w:rsidRDefault="00000000">
      <w:pPr>
        <w:shd w:val="clear" w:color="auto" w:fill="FFFFFF"/>
        <w:ind w:right="-7"/>
        <w:jc w:val="right"/>
        <w:rPr>
          <w:rFonts w:ascii="Open Sans" w:eastAsia="Open Sans" w:hAnsi="Open Sans" w:cs="Open Sans"/>
          <w:sz w:val="21"/>
          <w:szCs w:val="21"/>
        </w:rPr>
      </w:pPr>
      <w:r>
        <w:rPr>
          <w:rFonts w:ascii="Open Sans" w:eastAsia="Open Sans" w:hAnsi="Open Sans" w:cs="Open Sans"/>
          <w:sz w:val="21"/>
          <w:szCs w:val="21"/>
        </w:rPr>
        <w:t>Móvil: 620 66 29 26</w:t>
      </w:r>
    </w:p>
    <w:p w14:paraId="61A054F2" w14:textId="77777777" w:rsidR="00421140" w:rsidRDefault="00000000">
      <w:pPr>
        <w:shd w:val="clear" w:color="auto" w:fill="FFFFFF"/>
        <w:ind w:right="-7"/>
        <w:jc w:val="right"/>
        <w:rPr>
          <w:rFonts w:ascii="Open Sans" w:eastAsia="Open Sans" w:hAnsi="Open Sans" w:cs="Open Sans"/>
          <w:sz w:val="21"/>
          <w:szCs w:val="21"/>
        </w:rPr>
      </w:pPr>
      <w:hyperlink r:id="rId13">
        <w:r>
          <w:rPr>
            <w:rFonts w:ascii="Open Sans" w:eastAsia="Open Sans" w:hAnsi="Open Sans" w:cs="Open Sans"/>
            <w:color w:val="0563C1"/>
            <w:sz w:val="21"/>
            <w:szCs w:val="21"/>
            <w:u w:val="single"/>
          </w:rPr>
          <w:t>comunicacion@fotocasa.es</w:t>
        </w:r>
      </w:hyperlink>
    </w:p>
    <w:p w14:paraId="5EE7A832" w14:textId="77777777" w:rsidR="00421140" w:rsidRDefault="00000000">
      <w:pPr>
        <w:shd w:val="clear" w:color="auto" w:fill="FFFFFF"/>
        <w:ind w:right="-7"/>
        <w:jc w:val="right"/>
        <w:rPr>
          <w:rFonts w:ascii="Open Sans" w:eastAsia="Open Sans" w:hAnsi="Open Sans" w:cs="Open Sans"/>
          <w:sz w:val="21"/>
          <w:szCs w:val="21"/>
        </w:rPr>
      </w:pPr>
      <w:hyperlink r:id="rId14">
        <w:r>
          <w:rPr>
            <w:rFonts w:ascii="Open Sans" w:eastAsia="Open Sans" w:hAnsi="Open Sans" w:cs="Open Sans"/>
            <w:color w:val="0563C1"/>
            <w:sz w:val="21"/>
            <w:szCs w:val="21"/>
            <w:u w:val="single"/>
          </w:rPr>
          <w:t>http://prensa.fotocasa.es</w:t>
        </w:r>
      </w:hyperlink>
    </w:p>
    <w:p w14:paraId="782C6FA9" w14:textId="77777777" w:rsidR="00421140" w:rsidRDefault="00000000">
      <w:pPr>
        <w:shd w:val="clear" w:color="auto" w:fill="FFFFFF"/>
        <w:ind w:right="-7"/>
        <w:jc w:val="right"/>
        <w:rPr>
          <w:rFonts w:ascii="Open Sans" w:eastAsia="Open Sans" w:hAnsi="Open Sans" w:cs="Open Sans"/>
          <w:sz w:val="21"/>
          <w:szCs w:val="21"/>
        </w:rPr>
      </w:pPr>
      <w:proofErr w:type="spellStart"/>
      <w:r>
        <w:rPr>
          <w:rFonts w:ascii="Open Sans" w:eastAsia="Open Sans" w:hAnsi="Open Sans" w:cs="Open Sans"/>
          <w:sz w:val="21"/>
          <w:szCs w:val="21"/>
        </w:rPr>
        <w:t>twitter</w:t>
      </w:r>
      <w:proofErr w:type="spellEnd"/>
      <w:r>
        <w:rPr>
          <w:rFonts w:ascii="Open Sans" w:eastAsia="Open Sans" w:hAnsi="Open Sans" w:cs="Open Sans"/>
          <w:sz w:val="21"/>
          <w:szCs w:val="21"/>
        </w:rPr>
        <w:t>: @fotocasa</w:t>
      </w:r>
    </w:p>
    <w:p w14:paraId="5BC49D01" w14:textId="77777777" w:rsidR="00421140" w:rsidRDefault="00421140"/>
    <w:sectPr w:rsidR="00421140">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6DAE" w14:textId="77777777" w:rsidR="005D740E" w:rsidRDefault="005D740E">
      <w:pPr>
        <w:spacing w:line="240" w:lineRule="auto"/>
      </w:pPr>
      <w:r>
        <w:separator/>
      </w:r>
    </w:p>
  </w:endnote>
  <w:endnote w:type="continuationSeparator" w:id="0">
    <w:p w14:paraId="521B44A5" w14:textId="77777777" w:rsidR="005D740E" w:rsidRDefault="005D7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62DD" w14:textId="77777777" w:rsidR="00421140" w:rsidRDefault="00000000">
    <w:r>
      <w:rPr>
        <w:noProof/>
      </w:rPr>
      <w:drawing>
        <wp:anchor distT="0" distB="0" distL="0" distR="0" simplePos="0" relativeHeight="251658240" behindDoc="0" locked="0" layoutInCell="1" hidden="0" allowOverlap="1" wp14:anchorId="50BDCE83" wp14:editId="1CA858A0">
          <wp:simplePos x="0" y="0"/>
          <wp:positionH relativeFrom="column">
            <wp:posOffset>-1916427</wp:posOffset>
          </wp:positionH>
          <wp:positionV relativeFrom="paragraph">
            <wp:posOffset>304800</wp:posOffset>
          </wp:positionV>
          <wp:extent cx="8620125" cy="447675"/>
          <wp:effectExtent l="0" t="0" r="0" b="0"/>
          <wp:wrapSquare wrapText="bothSides" distT="0" distB="0" distL="0" distR="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r="621"/>
                  <a:stretch>
                    <a:fillRect/>
                  </a:stretch>
                </pic:blipFill>
                <pic:spPr>
                  <a:xfrm>
                    <a:off x="0" y="0"/>
                    <a:ext cx="8620125" cy="4476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ED07" w14:textId="77777777" w:rsidR="005D740E" w:rsidRDefault="005D740E">
      <w:pPr>
        <w:spacing w:line="240" w:lineRule="auto"/>
      </w:pPr>
      <w:r>
        <w:separator/>
      </w:r>
    </w:p>
  </w:footnote>
  <w:footnote w:type="continuationSeparator" w:id="0">
    <w:p w14:paraId="2EEA5E36" w14:textId="77777777" w:rsidR="005D740E" w:rsidRDefault="005D74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79A0"/>
    <w:multiLevelType w:val="multilevel"/>
    <w:tmpl w:val="96026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384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140"/>
    <w:rsid w:val="0012624A"/>
    <w:rsid w:val="00137D44"/>
    <w:rsid w:val="00421140"/>
    <w:rsid w:val="005D740E"/>
    <w:rsid w:val="00CA674E"/>
    <w:rsid w:val="00D632B5"/>
    <w:rsid w:val="00DE6B51"/>
    <w:rsid w:val="00F7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67BE"/>
  <w15:docId w15:val="{E055A7D7-FA44-4A7B-8DE5-C14877CA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C1037C"/>
    <w:rPr>
      <w:color w:val="0000FF" w:themeColor="hyperlink"/>
      <w:u w:val="single"/>
    </w:rPr>
  </w:style>
  <w:style w:type="character" w:styleId="Mencinsinresolver">
    <w:name w:val="Unresolved Mention"/>
    <w:basedOn w:val="Fuentedeprrafopredeter"/>
    <w:uiPriority w:val="99"/>
    <w:semiHidden/>
    <w:unhideWhenUsed/>
    <w:rsid w:val="00C1037C"/>
    <w:rPr>
      <w:color w:val="605E5C"/>
      <w:shd w:val="clear" w:color="auto" w:fill="E1DFDD"/>
    </w:rPr>
  </w:style>
  <w:style w:type="paragraph" w:styleId="Encabezado">
    <w:name w:val="header"/>
    <w:basedOn w:val="Normal"/>
    <w:link w:val="EncabezadoCar"/>
    <w:uiPriority w:val="99"/>
    <w:unhideWhenUsed/>
    <w:rsid w:val="001C01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1C0136"/>
  </w:style>
  <w:style w:type="paragraph" w:styleId="Piedepgina">
    <w:name w:val="footer"/>
    <w:basedOn w:val="Normal"/>
    <w:link w:val="PiedepginaCar"/>
    <w:uiPriority w:val="99"/>
    <w:unhideWhenUsed/>
    <w:rsid w:val="001C01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0136"/>
  </w:style>
  <w:style w:type="character" w:styleId="Hipervnculovisitado">
    <w:name w:val="FollowedHyperlink"/>
    <w:basedOn w:val="Fuentedeprrafopredeter"/>
    <w:uiPriority w:val="99"/>
    <w:semiHidden/>
    <w:unhideWhenUsed/>
    <w:rsid w:val="00D63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municacion@fotocas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tocasa.es" TargetMode="External"/><Relationship Id="rId4" Type="http://schemas.openxmlformats.org/officeDocument/2006/relationships/settings" Target="settings.xml"/><Relationship Id="rId9" Type="http://schemas.openxmlformats.org/officeDocument/2006/relationships/hyperlink" Target="https://youtu.be/yyi2bWV1QeU" TargetMode="External"/><Relationship Id="rId14"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WNuBj6Tfq9nMJXqr3c++u2Bv+g==">AMUW2mUjRSE7e3Phn/jlw+XAi7jxeYkrOuTaeSzqyBPzHHRswvyj3G1JpEFgz7Iq9EU3gHCcuBIGkUOvAw3/lO013jqoy9EsfccEH1fPHyIMpNDo/jIwtxA=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Anaïs López García</cp:lastModifiedBy>
  <cp:revision>6</cp:revision>
  <dcterms:created xsi:type="dcterms:W3CDTF">2022-05-27T10:04:00Z</dcterms:created>
  <dcterms:modified xsi:type="dcterms:W3CDTF">2023-02-17T08:45:00Z</dcterms:modified>
</cp:coreProperties>
</file>