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DA41" w14:textId="77777777" w:rsidR="000254AF" w:rsidRDefault="00000000">
      <w:pPr>
        <w:ind w:right="-574"/>
      </w:pPr>
      <w:r>
        <w:rPr>
          <w:noProof/>
        </w:rPr>
        <w:drawing>
          <wp:anchor distT="0" distB="0" distL="114300" distR="114300" simplePos="0" relativeHeight="251658240" behindDoc="0" locked="0" layoutInCell="1" hidden="0" allowOverlap="1" wp14:anchorId="1E83B436" wp14:editId="3DA5444C">
            <wp:simplePos x="0" y="0"/>
            <wp:positionH relativeFrom="column">
              <wp:posOffset>-1078864</wp:posOffset>
            </wp:positionH>
            <wp:positionV relativeFrom="paragraph">
              <wp:posOffset>-350452</wp:posOffset>
            </wp:positionV>
            <wp:extent cx="7581265" cy="10191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0BBCFBF" w14:textId="77777777" w:rsidR="000254AF" w:rsidRDefault="000254AF">
      <w:pPr>
        <w:ind w:right="-574"/>
        <w:jc w:val="right"/>
        <w:rPr>
          <w:rFonts w:ascii="National" w:eastAsia="National" w:hAnsi="National" w:cs="National"/>
          <w:color w:val="303AB2"/>
          <w:sz w:val="36"/>
          <w:szCs w:val="36"/>
        </w:rPr>
      </w:pPr>
    </w:p>
    <w:p w14:paraId="301DADF3" w14:textId="77777777" w:rsidR="000254AF" w:rsidRDefault="000254AF">
      <w:pPr>
        <w:ind w:right="-574"/>
        <w:jc w:val="right"/>
        <w:rPr>
          <w:rFonts w:ascii="National" w:eastAsia="National" w:hAnsi="National" w:cs="National"/>
          <w:color w:val="303AB2"/>
          <w:sz w:val="36"/>
          <w:szCs w:val="36"/>
        </w:rPr>
      </w:pPr>
    </w:p>
    <w:p w14:paraId="7DA71BC4" w14:textId="77777777" w:rsidR="000254AF" w:rsidRDefault="000254AF">
      <w:pPr>
        <w:spacing w:line="276" w:lineRule="auto"/>
        <w:ind w:right="-574"/>
        <w:jc w:val="center"/>
        <w:rPr>
          <w:rFonts w:ascii="National" w:eastAsia="National" w:hAnsi="National" w:cs="National"/>
          <w:b/>
          <w:color w:val="1DBDC5"/>
          <w:sz w:val="16"/>
          <w:szCs w:val="16"/>
        </w:rPr>
      </w:pPr>
    </w:p>
    <w:p w14:paraId="0EE11BE7" w14:textId="77777777" w:rsidR="000254AF" w:rsidRDefault="00000000">
      <w:pPr>
        <w:spacing w:line="276" w:lineRule="auto"/>
        <w:ind w:right="-574"/>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PRECIOS VIVIENDAS COMPARTIDAS</w:t>
      </w:r>
    </w:p>
    <w:p w14:paraId="6CF81D65" w14:textId="77777777" w:rsidR="000254AF" w:rsidRDefault="00000000">
      <w:pPr>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Compartir una vivienda en España en 2022 cuesta un 66% más que en 2015</w:t>
      </w:r>
    </w:p>
    <w:p w14:paraId="058C998A" w14:textId="77777777" w:rsidR="000254AF" w:rsidRDefault="000254AF">
      <w:pPr>
        <w:spacing w:line="276" w:lineRule="auto"/>
        <w:ind w:right="-574"/>
        <w:rPr>
          <w:rFonts w:ascii="Open Sans" w:eastAsia="Open Sans" w:hAnsi="Open Sans" w:cs="Open Sans"/>
          <w:color w:val="000000"/>
          <w:sz w:val="16"/>
          <w:szCs w:val="16"/>
        </w:rPr>
      </w:pPr>
    </w:p>
    <w:p w14:paraId="7DEB01B2" w14:textId="77777777" w:rsidR="000254A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Alquilar una habitación cuesta de media en España 440 euros/mes en diciembre </w:t>
      </w:r>
    </w:p>
    <w:p w14:paraId="3BACFD34" w14:textId="77777777" w:rsidR="000254A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Cataluña, Madrid y Comunitat Valenciana son las comunidades en las que compartir vivienda ahora supone pagar más del 50% que hace 5 años   </w:t>
      </w:r>
    </w:p>
    <w:p w14:paraId="767A9153" w14:textId="77777777" w:rsidR="000254A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Barcelona capital sigue siendo la ciudad más cara para compartir casa con 575 euros/mes, frente a los 225 euros/mes que se paga en Salamanca capital</w:t>
      </w:r>
    </w:p>
    <w:p w14:paraId="57260A66" w14:textId="77777777" w:rsidR="000254AF" w:rsidRDefault="00000000">
      <w:pPr>
        <w:spacing w:line="276" w:lineRule="auto"/>
        <w:ind w:right="-574"/>
        <w:rPr>
          <w:rFonts w:ascii="Open Sans Light" w:eastAsia="Open Sans Light" w:hAnsi="Open Sans Light" w:cs="Open Sans Light"/>
          <w:b/>
          <w:color w:val="303AB2"/>
          <w:sz w:val="20"/>
          <w:szCs w:val="20"/>
        </w:rPr>
      </w:pPr>
      <w:r>
        <w:rPr>
          <w:rFonts w:ascii="Open Sans Light" w:eastAsia="Open Sans Light" w:hAnsi="Open Sans Light" w:cs="Open Sans Light"/>
          <w:b/>
          <w:color w:val="303AB2"/>
        </w:rPr>
        <w:br/>
      </w:r>
      <w:r>
        <w:rPr>
          <w:rFonts w:ascii="Open Sans Light" w:eastAsia="Open Sans Light" w:hAnsi="Open Sans Light" w:cs="Open Sans Light"/>
          <w:b/>
          <w:color w:val="303AB2"/>
          <w:sz w:val="20"/>
          <w:szCs w:val="20"/>
        </w:rPr>
        <w:t>Madrid, 6 de febrero de 2023</w:t>
      </w:r>
    </w:p>
    <w:p w14:paraId="6969BE99" w14:textId="77777777" w:rsidR="000254A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Compartir una vivienda en España cuesta como media 440 euros al mes, es decir, un 15,8% más que hace 5 años (desde 2017) y un 66% más respecto a hace 7 años (2015), según el estudio de </w:t>
      </w:r>
      <w:r>
        <w:rPr>
          <w:rFonts w:ascii="Open Sans" w:eastAsia="Open Sans" w:hAnsi="Open Sans" w:cs="Open Sans"/>
          <w:b/>
          <w:i/>
          <w:color w:val="000000"/>
          <w:sz w:val="22"/>
          <w:szCs w:val="22"/>
        </w:rPr>
        <w:t>“Viviendas compartidas en España en 2022</w:t>
      </w:r>
      <w:r>
        <w:rPr>
          <w:rFonts w:ascii="Open Sans" w:eastAsia="Open Sans" w:hAnsi="Open Sans" w:cs="Open Sans"/>
          <w:color w:val="000000"/>
          <w:sz w:val="22"/>
          <w:szCs w:val="22"/>
        </w:rPr>
        <w:t xml:space="preserve">” basado en los precios de la vivienda en alquiler de los últimos siete años del Índice Inmobiliario </w:t>
      </w:r>
      <w:hyperlink r:id="rId9">
        <w:r>
          <w:rPr>
            <w:rFonts w:ascii="Open Sans" w:eastAsia="Open Sans" w:hAnsi="Open Sans" w:cs="Open Sans"/>
            <w:color w:val="0000FF"/>
            <w:sz w:val="22"/>
            <w:szCs w:val="22"/>
            <w:u w:val="single"/>
          </w:rPr>
          <w:t>Fotocasa</w:t>
        </w:r>
      </w:hyperlink>
      <w:r>
        <w:rPr>
          <w:rFonts w:ascii="Times New Roman" w:eastAsia="Times New Roman" w:hAnsi="Times New Roman" w:cs="Times New Roman"/>
          <w:color w:val="000000"/>
          <w:sz w:val="22"/>
          <w:szCs w:val="22"/>
        </w:rPr>
        <w:t xml:space="preserve">. </w:t>
      </w:r>
    </w:p>
    <w:p w14:paraId="18C1E1BB" w14:textId="77777777" w:rsidR="000254AF" w:rsidRDefault="00000000">
      <w:pPr>
        <w:pBdr>
          <w:top w:val="nil"/>
          <w:left w:val="nil"/>
          <w:bottom w:val="nil"/>
          <w:right w:val="nil"/>
          <w:between w:val="nil"/>
        </w:pBdr>
        <w:shd w:val="clear" w:color="auto" w:fill="FFFFFF"/>
        <w:spacing w:before="280" w:after="280" w:line="276" w:lineRule="auto"/>
        <w:ind w:right="-574"/>
        <w:jc w:val="center"/>
        <w:rPr>
          <w:b/>
          <w:color w:val="303AB2"/>
          <w:sz w:val="30"/>
          <w:szCs w:val="30"/>
        </w:rPr>
      </w:pPr>
      <w:r>
        <w:rPr>
          <w:b/>
          <w:color w:val="303AB2"/>
          <w:sz w:val="30"/>
          <w:szCs w:val="30"/>
        </w:rPr>
        <w:t>Variación interanual (%) del precio por años en España</w:t>
      </w:r>
    </w:p>
    <w:p w14:paraId="60FD76DB" w14:textId="77777777" w:rsidR="000254AF"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rPr>
      </w:pPr>
      <w:r>
        <w:rPr>
          <w:rFonts w:ascii="Times New Roman" w:eastAsia="Times New Roman" w:hAnsi="Times New Roman" w:cs="Times New Roman"/>
          <w:noProof/>
          <w:color w:val="000000"/>
          <w:sz w:val="20"/>
          <w:szCs w:val="20"/>
        </w:rPr>
        <w:drawing>
          <wp:inline distT="0" distB="0" distL="0" distR="0" wp14:anchorId="0839F8CC" wp14:editId="2FC87288">
            <wp:extent cx="4846320" cy="2125980"/>
            <wp:effectExtent l="0" t="0" r="0"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C5AB0A" w14:textId="37DEA745" w:rsidR="000254A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los precios de 2022 con los de 2015 (hace 7 años) vemos que la diferencia se dispara hasta alcanzar el 66,2%, es decir, se pasa de los 265 euros/mes de diciembre de 2015 a los 440 euros/mes de diciembre de 2022.</w:t>
      </w:r>
    </w:p>
    <w:p w14:paraId="4BDC9D12" w14:textId="77777777" w:rsidR="008636AC" w:rsidRDefault="008636A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83F85A9" w14:textId="0B6212C1" w:rsidR="000254A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“Estamos frente al mayor encarecimiento del precio de las habitaciones en los pisos compartidos desde que en Fotocasa tenemos registros. Más de 75€ en tan solo un año. La razón es clara: en 2022 el precio del alquiler ha alcanzado máximos históricos por encontrarse en una situación muy crítica de escasez de oferta. Esto implica que la dificultad de acceso a la vivienda se </w:t>
      </w:r>
      <w:r w:rsidR="008636AC">
        <w:rPr>
          <w:rFonts w:ascii="Open Sans" w:eastAsia="Open Sans" w:hAnsi="Open Sans" w:cs="Open Sans"/>
          <w:sz w:val="22"/>
          <w:szCs w:val="22"/>
        </w:rPr>
        <w:t>acrecienta</w:t>
      </w:r>
      <w:r>
        <w:rPr>
          <w:rFonts w:ascii="Open Sans" w:eastAsia="Open Sans" w:hAnsi="Open Sans" w:cs="Open Sans"/>
          <w:sz w:val="22"/>
          <w:szCs w:val="22"/>
        </w:rPr>
        <w:t xml:space="preserve"> todavía más”, explica la directora de Estudios de </w:t>
      </w:r>
      <w:hyperlink r:id="rId11">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w:t>
      </w:r>
    </w:p>
    <w:p w14:paraId="42202675" w14:textId="77777777" w:rsidR="009113AB" w:rsidRDefault="00000000">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w:t>
      </w:r>
      <w:r>
        <w:rPr>
          <w:rFonts w:ascii="Open Sans" w:eastAsia="Open Sans" w:hAnsi="Open Sans" w:cs="Open Sans"/>
          <w:sz w:val="22"/>
          <w:szCs w:val="22"/>
        </w:rPr>
        <w:t>La mayoría de los ciudadanos que comparten piso son jóvenes de entre 18 y 35 años que buscan emanciparse. Pero a medida que cumplen años, el deseo de compartir para socializar se convierte en una obligación para repartir gastos, ya que el incremento del precio del alquiler no les permite independizarse. El encarecimiento del arrendamiento ocasiona que el esfuerzo salarial al que tienen que hacer frente sea mayor al 50% en algunos casos como en las capitales de provincia más tensionadas.  La imposición de tener que compartir vivienda causa estragos en el desarrollo de los núcleos familiares, al privar de intimidad a las personas, por lo que esta coyuntura podría incluso influir en las tasas de natalidad</w:t>
      </w:r>
      <w:r>
        <w:rPr>
          <w:rFonts w:ascii="Open Sans" w:eastAsia="Open Sans" w:hAnsi="Open Sans" w:cs="Open Sans"/>
          <w:color w:val="000000"/>
          <w:sz w:val="22"/>
          <w:szCs w:val="22"/>
        </w:rPr>
        <w:t xml:space="preserve">”, </w:t>
      </w:r>
      <w:r>
        <w:rPr>
          <w:rFonts w:ascii="Open Sans" w:eastAsia="Open Sans" w:hAnsi="Open Sans" w:cs="Open Sans"/>
          <w:sz w:val="22"/>
          <w:szCs w:val="22"/>
        </w:rPr>
        <w:t>comenta la portavoz.</w:t>
      </w:r>
    </w:p>
    <w:p w14:paraId="76692F41" w14:textId="77777777" w:rsidR="009113AB" w:rsidRDefault="009113AB">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p>
    <w:p w14:paraId="4B4E2581" w14:textId="66701F2F" w:rsidR="000254AF" w:rsidRPr="009113AB" w:rsidRDefault="00000000">
      <w:pPr>
        <w:pBdr>
          <w:top w:val="nil"/>
          <w:left w:val="nil"/>
          <w:bottom w:val="nil"/>
          <w:right w:val="nil"/>
          <w:between w:val="nil"/>
        </w:pBdr>
        <w:shd w:val="clear" w:color="auto" w:fill="FFFFFF"/>
        <w:spacing w:before="280" w:after="280" w:line="276" w:lineRule="auto"/>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todas las comunidades autónomas analizadas se incrementa el precio de las viviendas compartidas por encima del 10% en los últimos 7 años. Compartir una vivienda en Cataluña se ha incrementado un 73,8%, en Madrid un 68,7% y en Comunitat Valenciana un 57,8%, todos estos incrementos por encima del 50%. Le siguen muy de cerca Aragón con 49,9%, Andalucía con 41,0%, Galicia con 40,2%, País Vasco con 37,7%, Castilla y León con 29,8%, Canarias con 24,8%, Asturias con 22,7%, Castilla-La Mancha con 20,7% y Región de Murcia con 20,2%. </w:t>
      </w:r>
    </w:p>
    <w:p w14:paraId="104D0F3E" w14:textId="77777777" w:rsidR="009113AB" w:rsidRDefault="009113A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001AB8B" w14:textId="774E7438" w:rsidR="000254A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las tres comunidades con un precio por encima de los 400 euros al mes son: Cataluña con 545 euros/mes, Madrid con 503 euros/mes, País Vasco con 420 euros/mes. Le siguen con un precio inferior las comunidades de Aragón con 358 euros/mes, Comunitat Valenciana con 353 euros/mes, Canarias con 345 euros/mes, Andalucía con 327 euros/mes, Galicia con 283 euros/mes, Principado de Asturias con 282 euros/mes, Castilla y León con 274 euros/mes, Región de Murcia con 264 euros/mes y Castilla-La Mancha con 245 euros/mes.</w:t>
      </w:r>
    </w:p>
    <w:p w14:paraId="7D6AD278" w14:textId="3C46C102" w:rsidR="009113AB" w:rsidRDefault="009113A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1672EE4" w14:textId="6E7E870A" w:rsidR="009113AB" w:rsidRDefault="009113A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70F7CE7" w14:textId="77777777" w:rsidR="009113AB" w:rsidRDefault="009113A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2B1EB9A1" w14:textId="77777777" w:rsidR="000254AF" w:rsidRDefault="00000000">
      <w:pPr>
        <w:spacing w:line="276" w:lineRule="auto"/>
        <w:ind w:right="-574"/>
        <w:rPr>
          <w:b/>
          <w:color w:val="303AB2"/>
          <w:sz w:val="30"/>
          <w:szCs w:val="30"/>
        </w:rPr>
      </w:pPr>
      <w:r>
        <w:rPr>
          <w:b/>
          <w:color w:val="303AB2"/>
          <w:sz w:val="30"/>
          <w:szCs w:val="30"/>
        </w:rPr>
        <w:lastRenderedPageBreak/>
        <w:t>Precio por comunidades autónomas</w:t>
      </w:r>
    </w:p>
    <w:p w14:paraId="54C42FED" w14:textId="77777777" w:rsidR="000254AF" w:rsidRDefault="000254AF">
      <w:pPr>
        <w:ind w:left="-1134"/>
        <w:jc w:val="both"/>
        <w:rPr>
          <w:rFonts w:ascii="Open Sans Light" w:eastAsia="Open Sans Light" w:hAnsi="Open Sans Light" w:cs="Open Sans Light"/>
          <w:color w:val="404040"/>
        </w:rPr>
      </w:pPr>
    </w:p>
    <w:tbl>
      <w:tblPr>
        <w:tblStyle w:val="a"/>
        <w:tblW w:w="90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1701"/>
        <w:gridCol w:w="1559"/>
        <w:gridCol w:w="1701"/>
        <w:gridCol w:w="1566"/>
      </w:tblGrid>
      <w:tr w:rsidR="000254AF" w14:paraId="05036A6C" w14:textId="77777777" w:rsidTr="000254AF">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56F7A28"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1701" w:type="dxa"/>
            <w:vAlign w:val="center"/>
          </w:tcPr>
          <w:p w14:paraId="20AE08F4"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w:t>
            </w:r>
          </w:p>
          <w:p w14:paraId="4F9A49DD"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2015</w:t>
            </w:r>
          </w:p>
        </w:tc>
        <w:tc>
          <w:tcPr>
            <w:tcW w:w="1559" w:type="dxa"/>
            <w:vAlign w:val="center"/>
          </w:tcPr>
          <w:p w14:paraId="6D10793A"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Dic.  2017</w:t>
            </w:r>
          </w:p>
        </w:tc>
        <w:tc>
          <w:tcPr>
            <w:tcW w:w="1701" w:type="dxa"/>
            <w:vAlign w:val="center"/>
          </w:tcPr>
          <w:p w14:paraId="2C078D06"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Dic.  2021</w:t>
            </w:r>
          </w:p>
        </w:tc>
        <w:tc>
          <w:tcPr>
            <w:tcW w:w="1566" w:type="dxa"/>
            <w:vAlign w:val="center"/>
          </w:tcPr>
          <w:p w14:paraId="38B9E8D6"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w:t>
            </w:r>
          </w:p>
          <w:p w14:paraId="4F26226C"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2022</w:t>
            </w:r>
          </w:p>
        </w:tc>
      </w:tr>
      <w:tr w:rsidR="000254AF" w14:paraId="27C40471" w14:textId="77777777" w:rsidTr="000254AF">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F1654E6"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1" w:type="dxa"/>
            <w:vAlign w:val="center"/>
          </w:tcPr>
          <w:p w14:paraId="46C3E714"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314 €</w:t>
            </w:r>
          </w:p>
        </w:tc>
        <w:tc>
          <w:tcPr>
            <w:tcW w:w="1559" w:type="dxa"/>
            <w:vAlign w:val="center"/>
          </w:tcPr>
          <w:p w14:paraId="6484B6EA"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460 €</w:t>
            </w:r>
          </w:p>
        </w:tc>
        <w:tc>
          <w:tcPr>
            <w:tcW w:w="1701" w:type="dxa"/>
            <w:vAlign w:val="center"/>
          </w:tcPr>
          <w:p w14:paraId="526A283E"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424 €</w:t>
            </w:r>
          </w:p>
        </w:tc>
        <w:tc>
          <w:tcPr>
            <w:tcW w:w="1566" w:type="dxa"/>
            <w:vAlign w:val="center"/>
          </w:tcPr>
          <w:p w14:paraId="4D96A851"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545 €</w:t>
            </w:r>
          </w:p>
        </w:tc>
      </w:tr>
      <w:tr w:rsidR="000254AF" w14:paraId="74AE8A2F" w14:textId="77777777" w:rsidTr="000254AF">
        <w:trPr>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5EB34CD"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1" w:type="dxa"/>
            <w:vAlign w:val="center"/>
          </w:tcPr>
          <w:p w14:paraId="4B555677"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298 €</w:t>
            </w:r>
          </w:p>
        </w:tc>
        <w:tc>
          <w:tcPr>
            <w:tcW w:w="1559" w:type="dxa"/>
            <w:vAlign w:val="center"/>
          </w:tcPr>
          <w:p w14:paraId="23E303B3"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446 €</w:t>
            </w:r>
          </w:p>
        </w:tc>
        <w:tc>
          <w:tcPr>
            <w:tcW w:w="1701" w:type="dxa"/>
            <w:vAlign w:val="center"/>
          </w:tcPr>
          <w:p w14:paraId="5711B627"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377 €</w:t>
            </w:r>
          </w:p>
        </w:tc>
        <w:tc>
          <w:tcPr>
            <w:tcW w:w="1566" w:type="dxa"/>
            <w:vAlign w:val="center"/>
          </w:tcPr>
          <w:p w14:paraId="5D85E4F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503 €</w:t>
            </w:r>
          </w:p>
        </w:tc>
      </w:tr>
      <w:tr w:rsidR="000254AF" w14:paraId="43E0D568" w14:textId="77777777" w:rsidTr="000254A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6F829D4"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1" w:type="dxa"/>
            <w:vAlign w:val="center"/>
          </w:tcPr>
          <w:p w14:paraId="5969947D"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305 €</w:t>
            </w:r>
          </w:p>
        </w:tc>
        <w:tc>
          <w:tcPr>
            <w:tcW w:w="1559" w:type="dxa"/>
            <w:vAlign w:val="center"/>
          </w:tcPr>
          <w:p w14:paraId="42725D85"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324 €</w:t>
            </w:r>
          </w:p>
        </w:tc>
        <w:tc>
          <w:tcPr>
            <w:tcW w:w="1701" w:type="dxa"/>
            <w:vAlign w:val="center"/>
          </w:tcPr>
          <w:p w14:paraId="387A968D"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365 €</w:t>
            </w:r>
          </w:p>
        </w:tc>
        <w:tc>
          <w:tcPr>
            <w:tcW w:w="1566" w:type="dxa"/>
            <w:vAlign w:val="center"/>
          </w:tcPr>
          <w:p w14:paraId="51EE73E4"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420 €</w:t>
            </w:r>
          </w:p>
        </w:tc>
      </w:tr>
      <w:tr w:rsidR="000254AF" w14:paraId="06A27007" w14:textId="77777777" w:rsidTr="000254AF">
        <w:trPr>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367DFFC"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1" w:type="dxa"/>
            <w:vAlign w:val="center"/>
          </w:tcPr>
          <w:p w14:paraId="63087AE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239 €</w:t>
            </w:r>
          </w:p>
        </w:tc>
        <w:tc>
          <w:tcPr>
            <w:tcW w:w="1559" w:type="dxa"/>
            <w:vAlign w:val="center"/>
          </w:tcPr>
          <w:p w14:paraId="5760884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center"/>
          </w:tcPr>
          <w:p w14:paraId="2D59C046"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288 €</w:t>
            </w:r>
          </w:p>
        </w:tc>
        <w:tc>
          <w:tcPr>
            <w:tcW w:w="1566" w:type="dxa"/>
            <w:vAlign w:val="center"/>
          </w:tcPr>
          <w:p w14:paraId="67321026"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358 €</w:t>
            </w:r>
          </w:p>
        </w:tc>
      </w:tr>
      <w:tr w:rsidR="000254AF" w14:paraId="1AE93560" w14:textId="77777777" w:rsidTr="000254A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0B07770"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701" w:type="dxa"/>
            <w:vAlign w:val="center"/>
          </w:tcPr>
          <w:p w14:paraId="2CE2D4B0"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224 €</w:t>
            </w:r>
          </w:p>
        </w:tc>
        <w:tc>
          <w:tcPr>
            <w:tcW w:w="1559" w:type="dxa"/>
            <w:vAlign w:val="center"/>
          </w:tcPr>
          <w:p w14:paraId="150624FA"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267 €</w:t>
            </w:r>
          </w:p>
        </w:tc>
        <w:tc>
          <w:tcPr>
            <w:tcW w:w="1701" w:type="dxa"/>
            <w:vAlign w:val="center"/>
          </w:tcPr>
          <w:p w14:paraId="27C557C6"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284 €</w:t>
            </w:r>
          </w:p>
        </w:tc>
        <w:tc>
          <w:tcPr>
            <w:tcW w:w="1566" w:type="dxa"/>
            <w:vAlign w:val="center"/>
          </w:tcPr>
          <w:p w14:paraId="58C50F4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353 €</w:t>
            </w:r>
          </w:p>
        </w:tc>
      </w:tr>
      <w:tr w:rsidR="000254AF" w14:paraId="18C095B0" w14:textId="77777777" w:rsidTr="000254AF">
        <w:trPr>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FB15806"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1" w:type="dxa"/>
            <w:vAlign w:val="center"/>
          </w:tcPr>
          <w:p w14:paraId="518AC834"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277 €</w:t>
            </w:r>
          </w:p>
        </w:tc>
        <w:tc>
          <w:tcPr>
            <w:tcW w:w="1559" w:type="dxa"/>
            <w:vAlign w:val="center"/>
          </w:tcPr>
          <w:p w14:paraId="542F4DA1"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center"/>
          </w:tcPr>
          <w:p w14:paraId="35C1F20E"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296 €</w:t>
            </w:r>
          </w:p>
        </w:tc>
        <w:tc>
          <w:tcPr>
            <w:tcW w:w="1566" w:type="dxa"/>
            <w:vAlign w:val="center"/>
          </w:tcPr>
          <w:p w14:paraId="6C6FD162"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345 €</w:t>
            </w:r>
          </w:p>
        </w:tc>
      </w:tr>
      <w:tr w:rsidR="000254AF" w14:paraId="085C69B1" w14:textId="77777777" w:rsidTr="000254AF">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F3B48CC"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1" w:type="dxa"/>
            <w:vAlign w:val="center"/>
          </w:tcPr>
          <w:p w14:paraId="10647502"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232 €</w:t>
            </w:r>
          </w:p>
        </w:tc>
        <w:tc>
          <w:tcPr>
            <w:tcW w:w="1559" w:type="dxa"/>
            <w:vAlign w:val="center"/>
          </w:tcPr>
          <w:p w14:paraId="78E9785C"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247 €</w:t>
            </w:r>
          </w:p>
        </w:tc>
        <w:tc>
          <w:tcPr>
            <w:tcW w:w="1701" w:type="dxa"/>
            <w:vAlign w:val="center"/>
          </w:tcPr>
          <w:p w14:paraId="2FBB48D3"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280 €</w:t>
            </w:r>
          </w:p>
        </w:tc>
        <w:tc>
          <w:tcPr>
            <w:tcW w:w="1566" w:type="dxa"/>
            <w:vAlign w:val="center"/>
          </w:tcPr>
          <w:p w14:paraId="3EE5939B"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327 €</w:t>
            </w:r>
          </w:p>
        </w:tc>
      </w:tr>
      <w:tr w:rsidR="000254AF" w14:paraId="4C0B74DC" w14:textId="77777777" w:rsidTr="000254AF">
        <w:trPr>
          <w:trHeight w:val="9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C4F709C"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1" w:type="dxa"/>
            <w:vAlign w:val="center"/>
          </w:tcPr>
          <w:p w14:paraId="6E9FEB2F"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202 €</w:t>
            </w:r>
          </w:p>
        </w:tc>
        <w:tc>
          <w:tcPr>
            <w:tcW w:w="1559" w:type="dxa"/>
            <w:vAlign w:val="center"/>
          </w:tcPr>
          <w:p w14:paraId="080E541A"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201 €</w:t>
            </w:r>
          </w:p>
        </w:tc>
        <w:tc>
          <w:tcPr>
            <w:tcW w:w="1701" w:type="dxa"/>
            <w:vAlign w:val="center"/>
          </w:tcPr>
          <w:p w14:paraId="28BD1DD2"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246 €</w:t>
            </w:r>
          </w:p>
        </w:tc>
        <w:tc>
          <w:tcPr>
            <w:tcW w:w="1566" w:type="dxa"/>
            <w:vAlign w:val="center"/>
          </w:tcPr>
          <w:p w14:paraId="7A2DD9DA"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283 €</w:t>
            </w:r>
          </w:p>
        </w:tc>
      </w:tr>
      <w:tr w:rsidR="000254AF" w14:paraId="1A748738" w14:textId="77777777" w:rsidTr="000254A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E8EEEB7"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1" w:type="dxa"/>
            <w:vAlign w:val="center"/>
          </w:tcPr>
          <w:p w14:paraId="7C68D7AA"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230 €</w:t>
            </w:r>
          </w:p>
        </w:tc>
        <w:tc>
          <w:tcPr>
            <w:tcW w:w="1559" w:type="dxa"/>
            <w:vAlign w:val="center"/>
          </w:tcPr>
          <w:p w14:paraId="5D269841" w14:textId="77777777" w:rsidR="000254AF" w:rsidRDefault="000254A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701" w:type="dxa"/>
            <w:vAlign w:val="center"/>
          </w:tcPr>
          <w:p w14:paraId="2CABED6D"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251 €</w:t>
            </w:r>
          </w:p>
        </w:tc>
        <w:tc>
          <w:tcPr>
            <w:tcW w:w="1566" w:type="dxa"/>
            <w:vAlign w:val="center"/>
          </w:tcPr>
          <w:p w14:paraId="5AC03315"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282 €</w:t>
            </w:r>
          </w:p>
        </w:tc>
      </w:tr>
      <w:tr w:rsidR="000254AF" w14:paraId="39A00B61" w14:textId="77777777" w:rsidTr="000254AF">
        <w:trPr>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37439FA"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1" w:type="dxa"/>
            <w:vAlign w:val="center"/>
          </w:tcPr>
          <w:p w14:paraId="1CE0DC00"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211 €</w:t>
            </w:r>
          </w:p>
        </w:tc>
        <w:tc>
          <w:tcPr>
            <w:tcW w:w="1559" w:type="dxa"/>
            <w:vAlign w:val="center"/>
          </w:tcPr>
          <w:p w14:paraId="7964BDF8"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211 €</w:t>
            </w:r>
          </w:p>
        </w:tc>
        <w:tc>
          <w:tcPr>
            <w:tcW w:w="1701" w:type="dxa"/>
            <w:vAlign w:val="center"/>
          </w:tcPr>
          <w:p w14:paraId="28D8C85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244 €</w:t>
            </w:r>
          </w:p>
        </w:tc>
        <w:tc>
          <w:tcPr>
            <w:tcW w:w="1566" w:type="dxa"/>
            <w:vAlign w:val="center"/>
          </w:tcPr>
          <w:p w14:paraId="1F8B2F3D"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274 €</w:t>
            </w:r>
          </w:p>
        </w:tc>
      </w:tr>
      <w:tr w:rsidR="000254AF" w14:paraId="203065AA" w14:textId="77777777" w:rsidTr="000254A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BE1685F"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1" w:type="dxa"/>
            <w:vAlign w:val="center"/>
          </w:tcPr>
          <w:p w14:paraId="216DE014"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220 €</w:t>
            </w:r>
          </w:p>
        </w:tc>
        <w:tc>
          <w:tcPr>
            <w:tcW w:w="1559" w:type="dxa"/>
            <w:vAlign w:val="center"/>
          </w:tcPr>
          <w:p w14:paraId="0F3A1165"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center"/>
          </w:tcPr>
          <w:p w14:paraId="41BA1706"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258 €</w:t>
            </w:r>
          </w:p>
        </w:tc>
        <w:tc>
          <w:tcPr>
            <w:tcW w:w="1566" w:type="dxa"/>
            <w:vAlign w:val="center"/>
          </w:tcPr>
          <w:p w14:paraId="1B121806"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264 €</w:t>
            </w:r>
          </w:p>
        </w:tc>
      </w:tr>
      <w:tr w:rsidR="000254AF" w14:paraId="2C1654C9" w14:textId="77777777" w:rsidTr="000254AF">
        <w:trPr>
          <w:trHeight w:val="4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BB8E92B"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1" w:type="dxa"/>
            <w:vAlign w:val="center"/>
          </w:tcPr>
          <w:p w14:paraId="7FD62295"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203 €</w:t>
            </w:r>
          </w:p>
        </w:tc>
        <w:tc>
          <w:tcPr>
            <w:tcW w:w="1559" w:type="dxa"/>
            <w:vAlign w:val="center"/>
          </w:tcPr>
          <w:p w14:paraId="54F9BA05"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211 €</w:t>
            </w:r>
          </w:p>
        </w:tc>
        <w:tc>
          <w:tcPr>
            <w:tcW w:w="1701" w:type="dxa"/>
            <w:vAlign w:val="center"/>
          </w:tcPr>
          <w:p w14:paraId="0B623074"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218 €</w:t>
            </w:r>
          </w:p>
        </w:tc>
        <w:tc>
          <w:tcPr>
            <w:tcW w:w="1566" w:type="dxa"/>
            <w:vAlign w:val="center"/>
          </w:tcPr>
          <w:p w14:paraId="50E9956D"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245 €</w:t>
            </w:r>
          </w:p>
        </w:tc>
      </w:tr>
      <w:tr w:rsidR="000254AF" w14:paraId="0B917C17" w14:textId="77777777" w:rsidTr="000254A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FBF62DB" w14:textId="77777777" w:rsidR="000254AF"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1701" w:type="dxa"/>
            <w:vAlign w:val="center"/>
          </w:tcPr>
          <w:p w14:paraId="1C406279"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265 €</w:t>
            </w:r>
          </w:p>
        </w:tc>
        <w:tc>
          <w:tcPr>
            <w:tcW w:w="1559" w:type="dxa"/>
            <w:vAlign w:val="center"/>
          </w:tcPr>
          <w:p w14:paraId="6D0E799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380 €</w:t>
            </w:r>
          </w:p>
        </w:tc>
        <w:tc>
          <w:tcPr>
            <w:tcW w:w="1701" w:type="dxa"/>
            <w:vAlign w:val="center"/>
          </w:tcPr>
          <w:p w14:paraId="5F5CB568"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364 €</w:t>
            </w:r>
          </w:p>
        </w:tc>
        <w:tc>
          <w:tcPr>
            <w:tcW w:w="1566" w:type="dxa"/>
            <w:vAlign w:val="center"/>
          </w:tcPr>
          <w:p w14:paraId="02A83F4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440 €</w:t>
            </w:r>
          </w:p>
        </w:tc>
      </w:tr>
    </w:tbl>
    <w:p w14:paraId="67522F49" w14:textId="77777777" w:rsidR="000254AF" w:rsidRDefault="000254AF">
      <w:pPr>
        <w:spacing w:line="276" w:lineRule="auto"/>
        <w:ind w:right="-574"/>
        <w:rPr>
          <w:b/>
          <w:color w:val="303AB2"/>
          <w:sz w:val="30"/>
          <w:szCs w:val="30"/>
        </w:rPr>
      </w:pPr>
    </w:p>
    <w:p w14:paraId="56ECE571" w14:textId="77777777" w:rsidR="000254AF" w:rsidRDefault="00000000">
      <w:pPr>
        <w:spacing w:line="276" w:lineRule="auto"/>
        <w:ind w:right="-574"/>
        <w:rPr>
          <w:b/>
          <w:color w:val="303AB2"/>
          <w:sz w:val="30"/>
          <w:szCs w:val="30"/>
        </w:rPr>
      </w:pPr>
      <w:r>
        <w:rPr>
          <w:b/>
          <w:color w:val="303AB2"/>
          <w:sz w:val="30"/>
          <w:szCs w:val="30"/>
        </w:rPr>
        <w:t>Acumulativo por comunidades autónomas</w:t>
      </w:r>
    </w:p>
    <w:p w14:paraId="592AFA1D" w14:textId="77777777" w:rsidR="000254AF" w:rsidRDefault="000254AF">
      <w:pPr>
        <w:ind w:left="-1134"/>
        <w:jc w:val="both"/>
        <w:rPr>
          <w:rFonts w:ascii="Open Sans Light" w:eastAsia="Open Sans Light" w:hAnsi="Open Sans Light" w:cs="Open Sans Light"/>
          <w:color w:val="404040"/>
        </w:rPr>
      </w:pPr>
    </w:p>
    <w:tbl>
      <w:tblPr>
        <w:tblStyle w:val="a0"/>
        <w:tblW w:w="912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25"/>
        <w:gridCol w:w="2195"/>
        <w:gridCol w:w="2144"/>
        <w:gridCol w:w="2165"/>
      </w:tblGrid>
      <w:tr w:rsidR="000254AF" w14:paraId="12BF5142" w14:textId="77777777" w:rsidTr="000254A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25" w:type="dxa"/>
            <w:vAlign w:val="center"/>
          </w:tcPr>
          <w:p w14:paraId="60CA111C"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2195" w:type="dxa"/>
            <w:vAlign w:val="center"/>
          </w:tcPr>
          <w:p w14:paraId="42FF5290"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Acumulativo</w:t>
            </w:r>
          </w:p>
          <w:p w14:paraId="580F2DA9"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7 años</w:t>
            </w:r>
          </w:p>
          <w:p w14:paraId="595793F2"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(2022 vs 2015)</w:t>
            </w:r>
          </w:p>
        </w:tc>
        <w:tc>
          <w:tcPr>
            <w:tcW w:w="2144" w:type="dxa"/>
            <w:vAlign w:val="center"/>
          </w:tcPr>
          <w:p w14:paraId="0FD385CE"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Acumulativo</w:t>
            </w:r>
          </w:p>
          <w:p w14:paraId="40C0EFFA"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5 años</w:t>
            </w:r>
          </w:p>
          <w:p w14:paraId="44C30FE1"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(2022 vs 2017)</w:t>
            </w:r>
          </w:p>
        </w:tc>
        <w:tc>
          <w:tcPr>
            <w:tcW w:w="2165" w:type="dxa"/>
            <w:vAlign w:val="center"/>
          </w:tcPr>
          <w:p w14:paraId="0A44FE36"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Acumulativo </w:t>
            </w:r>
          </w:p>
          <w:p w14:paraId="13D91E6F"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1 año</w:t>
            </w:r>
          </w:p>
          <w:p w14:paraId="0B714060"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(2022 vs 2021)</w:t>
            </w:r>
          </w:p>
        </w:tc>
      </w:tr>
      <w:tr w:rsidR="000254AF" w14:paraId="0BEB38B1" w14:textId="77777777" w:rsidTr="000254A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509D1529"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95" w:type="dxa"/>
            <w:vAlign w:val="bottom"/>
          </w:tcPr>
          <w:p w14:paraId="3541AAF9"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68,7%</w:t>
            </w:r>
          </w:p>
        </w:tc>
        <w:tc>
          <w:tcPr>
            <w:tcW w:w="2144" w:type="dxa"/>
            <w:vAlign w:val="bottom"/>
          </w:tcPr>
          <w:p w14:paraId="3348ED92"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12,9%</w:t>
            </w:r>
          </w:p>
        </w:tc>
        <w:tc>
          <w:tcPr>
            <w:tcW w:w="2165" w:type="dxa"/>
            <w:vAlign w:val="bottom"/>
          </w:tcPr>
          <w:p w14:paraId="0FCECF16"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33%</w:t>
            </w:r>
          </w:p>
        </w:tc>
      </w:tr>
      <w:tr w:rsidR="000254AF" w14:paraId="5DE17F55" w14:textId="77777777" w:rsidTr="000254AF">
        <w:trPr>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59EA8C88"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195" w:type="dxa"/>
            <w:vAlign w:val="bottom"/>
          </w:tcPr>
          <w:p w14:paraId="161E1A05"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73,8%</w:t>
            </w:r>
          </w:p>
        </w:tc>
        <w:tc>
          <w:tcPr>
            <w:tcW w:w="2144" w:type="dxa"/>
            <w:vAlign w:val="bottom"/>
          </w:tcPr>
          <w:p w14:paraId="1BD8F8C7"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18,5%</w:t>
            </w:r>
          </w:p>
        </w:tc>
        <w:tc>
          <w:tcPr>
            <w:tcW w:w="2165" w:type="dxa"/>
            <w:vAlign w:val="bottom"/>
          </w:tcPr>
          <w:p w14:paraId="6DCC9E4A"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29%</w:t>
            </w:r>
          </w:p>
        </w:tc>
      </w:tr>
      <w:tr w:rsidR="000254AF" w14:paraId="7C8998EE" w14:textId="77777777" w:rsidTr="000254A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2EDEC2DC"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195" w:type="dxa"/>
            <w:vAlign w:val="bottom"/>
          </w:tcPr>
          <w:p w14:paraId="32E649BD"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49,9%</w:t>
            </w:r>
          </w:p>
        </w:tc>
        <w:tc>
          <w:tcPr>
            <w:tcW w:w="2144" w:type="dxa"/>
            <w:vAlign w:val="bottom"/>
          </w:tcPr>
          <w:p w14:paraId="47A7AD01"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165" w:type="dxa"/>
            <w:vAlign w:val="bottom"/>
          </w:tcPr>
          <w:p w14:paraId="06A4D4E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r>
      <w:tr w:rsidR="000254AF" w14:paraId="22D17543" w14:textId="77777777" w:rsidTr="000254AF">
        <w:trPr>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45BCE6EF"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195" w:type="dxa"/>
            <w:vAlign w:val="bottom"/>
          </w:tcPr>
          <w:p w14:paraId="7AF43E0E"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57,8%</w:t>
            </w:r>
          </w:p>
        </w:tc>
        <w:tc>
          <w:tcPr>
            <w:tcW w:w="2144" w:type="dxa"/>
            <w:vAlign w:val="bottom"/>
          </w:tcPr>
          <w:p w14:paraId="06FD9A1F"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32,0%</w:t>
            </w:r>
          </w:p>
        </w:tc>
        <w:tc>
          <w:tcPr>
            <w:tcW w:w="2165" w:type="dxa"/>
            <w:vAlign w:val="bottom"/>
          </w:tcPr>
          <w:p w14:paraId="4A0E54A1"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r>
      <w:tr w:rsidR="000254AF" w14:paraId="6AD5F917" w14:textId="77777777" w:rsidTr="000254AF">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588C5DD6"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195" w:type="dxa"/>
            <w:vAlign w:val="bottom"/>
          </w:tcPr>
          <w:p w14:paraId="1BF8B40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41,0%</w:t>
            </w:r>
          </w:p>
        </w:tc>
        <w:tc>
          <w:tcPr>
            <w:tcW w:w="2144" w:type="dxa"/>
            <w:vAlign w:val="bottom"/>
          </w:tcPr>
          <w:p w14:paraId="2F206AB5"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32,4%</w:t>
            </w:r>
          </w:p>
        </w:tc>
        <w:tc>
          <w:tcPr>
            <w:tcW w:w="2165" w:type="dxa"/>
            <w:vAlign w:val="bottom"/>
          </w:tcPr>
          <w:p w14:paraId="09AA71A2"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r>
      <w:tr w:rsidR="000254AF" w14:paraId="061A854B" w14:textId="77777777" w:rsidTr="000254AF">
        <w:trPr>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2DC1CBC3"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195" w:type="dxa"/>
            <w:vAlign w:val="bottom"/>
          </w:tcPr>
          <w:p w14:paraId="7EB2BA99"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24,8%</w:t>
            </w:r>
          </w:p>
        </w:tc>
        <w:tc>
          <w:tcPr>
            <w:tcW w:w="2144" w:type="dxa"/>
            <w:vAlign w:val="bottom"/>
          </w:tcPr>
          <w:p w14:paraId="29AD79B8"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165" w:type="dxa"/>
            <w:vAlign w:val="bottom"/>
          </w:tcPr>
          <w:p w14:paraId="7F233E50"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r>
      <w:tr w:rsidR="000254AF" w14:paraId="2890282C" w14:textId="77777777" w:rsidTr="000254A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42783608"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195" w:type="dxa"/>
            <w:vAlign w:val="bottom"/>
          </w:tcPr>
          <w:p w14:paraId="18BDBC0E"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40,2%</w:t>
            </w:r>
          </w:p>
        </w:tc>
        <w:tc>
          <w:tcPr>
            <w:tcW w:w="2144" w:type="dxa"/>
            <w:vAlign w:val="bottom"/>
          </w:tcPr>
          <w:p w14:paraId="41E4352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40,9%</w:t>
            </w:r>
          </w:p>
        </w:tc>
        <w:tc>
          <w:tcPr>
            <w:tcW w:w="2165" w:type="dxa"/>
            <w:vAlign w:val="bottom"/>
          </w:tcPr>
          <w:p w14:paraId="6AD92C94"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r>
      <w:tr w:rsidR="000254AF" w14:paraId="05426116" w14:textId="77777777" w:rsidTr="000254AF">
        <w:trPr>
          <w:trHeight w:val="234"/>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3D61E3F2"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195" w:type="dxa"/>
            <w:vAlign w:val="bottom"/>
          </w:tcPr>
          <w:p w14:paraId="6F728B16"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37,7%</w:t>
            </w:r>
          </w:p>
        </w:tc>
        <w:tc>
          <w:tcPr>
            <w:tcW w:w="2144" w:type="dxa"/>
            <w:vAlign w:val="bottom"/>
          </w:tcPr>
          <w:p w14:paraId="184EB279"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000000"/>
                <w:sz w:val="22"/>
                <w:szCs w:val="22"/>
              </w:rPr>
              <w:t>29,6%</w:t>
            </w:r>
          </w:p>
        </w:tc>
        <w:tc>
          <w:tcPr>
            <w:tcW w:w="2165" w:type="dxa"/>
            <w:vAlign w:val="bottom"/>
          </w:tcPr>
          <w:p w14:paraId="1E217997"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r>
      <w:tr w:rsidR="000254AF" w14:paraId="7CFB1E09" w14:textId="77777777" w:rsidTr="000254A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5E934A8E"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195" w:type="dxa"/>
            <w:vAlign w:val="bottom"/>
          </w:tcPr>
          <w:p w14:paraId="53A000F4"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29,8%</w:t>
            </w:r>
          </w:p>
        </w:tc>
        <w:tc>
          <w:tcPr>
            <w:tcW w:w="2144" w:type="dxa"/>
            <w:vAlign w:val="bottom"/>
          </w:tcPr>
          <w:p w14:paraId="3C51628A"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29,7%</w:t>
            </w:r>
          </w:p>
        </w:tc>
        <w:tc>
          <w:tcPr>
            <w:tcW w:w="2165" w:type="dxa"/>
            <w:vAlign w:val="bottom"/>
          </w:tcPr>
          <w:p w14:paraId="193E1011"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r w:rsidR="000254AF" w14:paraId="4F1AA4CB" w14:textId="77777777" w:rsidTr="000254AF">
        <w:trPr>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48BC3282"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195" w:type="dxa"/>
            <w:vAlign w:val="bottom"/>
          </w:tcPr>
          <w:p w14:paraId="76EA8D26"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w:t>
            </w:r>
          </w:p>
        </w:tc>
        <w:tc>
          <w:tcPr>
            <w:tcW w:w="2144" w:type="dxa"/>
            <w:vAlign w:val="bottom"/>
          </w:tcPr>
          <w:p w14:paraId="1F35E889"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16,1%</w:t>
            </w:r>
          </w:p>
        </w:tc>
        <w:tc>
          <w:tcPr>
            <w:tcW w:w="2165" w:type="dxa"/>
            <w:vAlign w:val="bottom"/>
          </w:tcPr>
          <w:p w14:paraId="7226A1D0"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r w:rsidR="000254AF" w14:paraId="3647F728" w14:textId="77777777" w:rsidTr="000254A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4C30DFE1"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95" w:type="dxa"/>
            <w:vAlign w:val="bottom"/>
          </w:tcPr>
          <w:p w14:paraId="0A09964E"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22,7%</w:t>
            </w:r>
          </w:p>
        </w:tc>
        <w:tc>
          <w:tcPr>
            <w:tcW w:w="2144" w:type="dxa"/>
            <w:vAlign w:val="bottom"/>
          </w:tcPr>
          <w:p w14:paraId="2CD7E077"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165" w:type="dxa"/>
            <w:vAlign w:val="bottom"/>
          </w:tcPr>
          <w:p w14:paraId="70CAFC8F"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r w:rsidR="000254AF" w14:paraId="214E0A85" w14:textId="77777777" w:rsidTr="000254AF">
        <w:trPr>
          <w:trHeight w:val="119"/>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01E18118"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195" w:type="dxa"/>
            <w:vAlign w:val="bottom"/>
          </w:tcPr>
          <w:p w14:paraId="432214BD"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w:t>
            </w:r>
          </w:p>
        </w:tc>
        <w:tc>
          <w:tcPr>
            <w:tcW w:w="2144" w:type="dxa"/>
            <w:vAlign w:val="bottom"/>
          </w:tcPr>
          <w:p w14:paraId="0D827826"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c>
          <w:tcPr>
            <w:tcW w:w="2165" w:type="dxa"/>
            <w:vAlign w:val="bottom"/>
          </w:tcPr>
          <w:p w14:paraId="6147F9FB"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w:t>
            </w:r>
          </w:p>
        </w:tc>
      </w:tr>
      <w:tr w:rsidR="000254AF" w14:paraId="787C3DA1" w14:textId="77777777" w:rsidTr="000254A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25" w:type="dxa"/>
            <w:vAlign w:val="bottom"/>
          </w:tcPr>
          <w:p w14:paraId="49F65F37"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2195" w:type="dxa"/>
            <w:vAlign w:val="bottom"/>
          </w:tcPr>
          <w:p w14:paraId="0BAFA517"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000000"/>
                <w:sz w:val="22"/>
                <w:szCs w:val="22"/>
              </w:rPr>
              <w:t>66,2%</w:t>
            </w:r>
          </w:p>
        </w:tc>
        <w:tc>
          <w:tcPr>
            <w:tcW w:w="2144" w:type="dxa"/>
            <w:vAlign w:val="bottom"/>
          </w:tcPr>
          <w:p w14:paraId="6C5D0A3E"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15,8%</w:t>
            </w:r>
          </w:p>
        </w:tc>
        <w:tc>
          <w:tcPr>
            <w:tcW w:w="2165" w:type="dxa"/>
            <w:vAlign w:val="bottom"/>
          </w:tcPr>
          <w:p w14:paraId="485ED0C7"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000000"/>
                <w:sz w:val="22"/>
                <w:szCs w:val="22"/>
              </w:rPr>
              <w:t>21%</w:t>
            </w:r>
          </w:p>
        </w:tc>
      </w:tr>
    </w:tbl>
    <w:p w14:paraId="00C72931" w14:textId="77777777" w:rsidR="009113AB" w:rsidRDefault="009113AB">
      <w:pPr>
        <w:pBdr>
          <w:top w:val="nil"/>
          <w:left w:val="nil"/>
          <w:bottom w:val="nil"/>
          <w:right w:val="nil"/>
          <w:between w:val="nil"/>
        </w:pBdr>
        <w:shd w:val="clear" w:color="auto" w:fill="FFFFFF"/>
        <w:spacing w:before="280" w:after="280" w:line="276" w:lineRule="auto"/>
        <w:ind w:right="-574"/>
        <w:jc w:val="center"/>
        <w:rPr>
          <w:b/>
          <w:color w:val="303AB2"/>
          <w:sz w:val="30"/>
          <w:szCs w:val="30"/>
        </w:rPr>
      </w:pPr>
    </w:p>
    <w:p w14:paraId="28FE95F3" w14:textId="77777777" w:rsidR="009113AB" w:rsidRDefault="009113AB">
      <w:pPr>
        <w:pBdr>
          <w:top w:val="nil"/>
          <w:left w:val="nil"/>
          <w:bottom w:val="nil"/>
          <w:right w:val="nil"/>
          <w:between w:val="nil"/>
        </w:pBdr>
        <w:shd w:val="clear" w:color="auto" w:fill="FFFFFF"/>
        <w:spacing w:before="280" w:after="280" w:line="276" w:lineRule="auto"/>
        <w:ind w:right="-574"/>
        <w:jc w:val="center"/>
        <w:rPr>
          <w:b/>
          <w:color w:val="303AB2"/>
          <w:sz w:val="30"/>
          <w:szCs w:val="30"/>
        </w:rPr>
      </w:pPr>
    </w:p>
    <w:p w14:paraId="177DA968" w14:textId="77777777" w:rsidR="009113AB" w:rsidRDefault="009113AB">
      <w:pPr>
        <w:pBdr>
          <w:top w:val="nil"/>
          <w:left w:val="nil"/>
          <w:bottom w:val="nil"/>
          <w:right w:val="nil"/>
          <w:between w:val="nil"/>
        </w:pBdr>
        <w:shd w:val="clear" w:color="auto" w:fill="FFFFFF"/>
        <w:spacing w:before="280" w:after="280" w:line="276" w:lineRule="auto"/>
        <w:ind w:right="-574"/>
        <w:jc w:val="center"/>
        <w:rPr>
          <w:b/>
          <w:color w:val="303AB2"/>
          <w:sz w:val="30"/>
          <w:szCs w:val="30"/>
        </w:rPr>
      </w:pPr>
    </w:p>
    <w:p w14:paraId="51553370" w14:textId="49CB4E0A" w:rsidR="000254AF" w:rsidRDefault="00000000">
      <w:pPr>
        <w:pBdr>
          <w:top w:val="nil"/>
          <w:left w:val="nil"/>
          <w:bottom w:val="nil"/>
          <w:right w:val="nil"/>
          <w:between w:val="nil"/>
        </w:pBdr>
        <w:shd w:val="clear" w:color="auto" w:fill="FFFFFF"/>
        <w:spacing w:before="280" w:after="280" w:line="276" w:lineRule="auto"/>
        <w:ind w:right="-574"/>
        <w:jc w:val="center"/>
        <w:rPr>
          <w:b/>
          <w:color w:val="303AB2"/>
          <w:sz w:val="30"/>
          <w:szCs w:val="30"/>
        </w:rPr>
      </w:pPr>
      <w:r>
        <w:rPr>
          <w:b/>
          <w:color w:val="303AB2"/>
          <w:sz w:val="30"/>
          <w:szCs w:val="30"/>
        </w:rPr>
        <w:lastRenderedPageBreak/>
        <w:t>Precio medio de la vivienda compartida en 2022</w:t>
      </w:r>
    </w:p>
    <w:p w14:paraId="4CA32388" w14:textId="77777777" w:rsidR="000254AF"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b/>
          <w:color w:val="000000"/>
        </w:rPr>
      </w:pPr>
      <w:r>
        <w:rPr>
          <w:rFonts w:ascii="Times New Roman" w:eastAsia="Times New Roman" w:hAnsi="Times New Roman" w:cs="Times New Roman"/>
          <w:noProof/>
          <w:color w:val="000000"/>
        </w:rPr>
        <w:drawing>
          <wp:inline distT="0" distB="0" distL="0" distR="0" wp14:anchorId="2D569074" wp14:editId="6CF07EB7">
            <wp:extent cx="5396230" cy="268668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96FC10" w14:textId="77777777" w:rsidR="000254AF" w:rsidRDefault="00000000">
      <w:pPr>
        <w:spacing w:line="276" w:lineRule="auto"/>
        <w:ind w:right="-574"/>
        <w:rPr>
          <w:b/>
          <w:color w:val="303AB2"/>
          <w:sz w:val="30"/>
          <w:szCs w:val="30"/>
        </w:rPr>
      </w:pPr>
      <w:r>
        <w:rPr>
          <w:b/>
          <w:color w:val="303AB2"/>
          <w:sz w:val="30"/>
          <w:szCs w:val="30"/>
        </w:rPr>
        <w:t>Por ciudades</w:t>
      </w:r>
    </w:p>
    <w:p w14:paraId="2050BB9E" w14:textId="77777777" w:rsidR="000254A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Las ciudades analizadas que más se han visto afectadas por el incremento del alquiler de las habitaciones en el último año son: Getafe con 44%, Madrid capital con 34%, L'Hospitalet de Llobregat con 31%, Granada capital con 30%, Zaragoza capital con 26%, Barcelona capital con 25%, Salamanca capital con 21%, Sevilla capital con 19%, Valencia capital con 14% y Alcalá de Henares con 7%. </w:t>
      </w:r>
    </w:p>
    <w:p w14:paraId="615B3964" w14:textId="77777777" w:rsidR="000254AF" w:rsidRDefault="00000000">
      <w:pPr>
        <w:spacing w:line="276" w:lineRule="auto"/>
        <w:ind w:right="-574"/>
        <w:rPr>
          <w:b/>
          <w:color w:val="303AB2"/>
          <w:sz w:val="30"/>
          <w:szCs w:val="30"/>
        </w:rPr>
      </w:pPr>
      <w:r>
        <w:rPr>
          <w:b/>
          <w:color w:val="303AB2"/>
          <w:sz w:val="30"/>
          <w:szCs w:val="30"/>
        </w:rPr>
        <w:t xml:space="preserve">Precio medio de la vivienda compartida por municipios  </w:t>
      </w:r>
    </w:p>
    <w:p w14:paraId="03B5A279" w14:textId="77777777" w:rsidR="000254AF" w:rsidRDefault="000254AF">
      <w:pPr>
        <w:spacing w:line="276" w:lineRule="auto"/>
        <w:ind w:right="-574"/>
        <w:rPr>
          <w:color w:val="303AB2"/>
          <w:sz w:val="30"/>
          <w:szCs w:val="30"/>
        </w:rPr>
      </w:pPr>
    </w:p>
    <w:tbl>
      <w:tblPr>
        <w:tblStyle w:val="a1"/>
        <w:tblW w:w="893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126"/>
        <w:gridCol w:w="1985"/>
        <w:gridCol w:w="1559"/>
        <w:gridCol w:w="1843"/>
      </w:tblGrid>
      <w:tr w:rsidR="000254AF" w14:paraId="53C4E743" w14:textId="77777777" w:rsidTr="000254AF">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A26BA12"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6ABD34A1" w14:textId="77777777" w:rsidR="000254AF"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tcPr>
          <w:p w14:paraId="7798FA7F"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€/mes habitación </w:t>
            </w:r>
          </w:p>
          <w:p w14:paraId="42CEDD90"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2021</w:t>
            </w:r>
          </w:p>
        </w:tc>
        <w:tc>
          <w:tcPr>
            <w:tcW w:w="1559" w:type="dxa"/>
          </w:tcPr>
          <w:p w14:paraId="1516A7DE"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€/mes habitación Dic.  2022</w:t>
            </w:r>
          </w:p>
        </w:tc>
        <w:tc>
          <w:tcPr>
            <w:tcW w:w="1843" w:type="dxa"/>
          </w:tcPr>
          <w:p w14:paraId="2132BF39"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Acumulativo </w:t>
            </w:r>
          </w:p>
          <w:p w14:paraId="32DEC3CD"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1 año </w:t>
            </w:r>
          </w:p>
          <w:p w14:paraId="270A5E00" w14:textId="77777777" w:rsidR="000254AF"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(2022 vs 2021)</w:t>
            </w:r>
          </w:p>
        </w:tc>
      </w:tr>
      <w:tr w:rsidR="000254AF" w14:paraId="760B8194" w14:textId="77777777" w:rsidTr="000254A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3E8D732"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6947B8B" w14:textId="77777777" w:rsidR="000254AF"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985" w:type="dxa"/>
            <w:vAlign w:val="bottom"/>
          </w:tcPr>
          <w:p w14:paraId="1954704B"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316 €</w:t>
            </w:r>
          </w:p>
        </w:tc>
        <w:tc>
          <w:tcPr>
            <w:tcW w:w="1559" w:type="dxa"/>
            <w:vAlign w:val="bottom"/>
          </w:tcPr>
          <w:p w14:paraId="5764BD32"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454 €</w:t>
            </w:r>
          </w:p>
        </w:tc>
        <w:tc>
          <w:tcPr>
            <w:tcW w:w="1843" w:type="dxa"/>
            <w:vAlign w:val="bottom"/>
          </w:tcPr>
          <w:p w14:paraId="4EBAF9BC"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0254AF" w14:paraId="3D260BF3" w14:textId="77777777" w:rsidTr="000254AF">
        <w:trPr>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276F444"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1885A4F4" w14:textId="77777777" w:rsidR="000254AF"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Madrid </w:t>
            </w:r>
          </w:p>
        </w:tc>
        <w:tc>
          <w:tcPr>
            <w:tcW w:w="1985" w:type="dxa"/>
            <w:vAlign w:val="bottom"/>
          </w:tcPr>
          <w:p w14:paraId="5A15ECB8"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394 €</w:t>
            </w:r>
          </w:p>
        </w:tc>
        <w:tc>
          <w:tcPr>
            <w:tcW w:w="1559" w:type="dxa"/>
            <w:vAlign w:val="bottom"/>
          </w:tcPr>
          <w:p w14:paraId="16274502"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527 €</w:t>
            </w:r>
          </w:p>
        </w:tc>
        <w:tc>
          <w:tcPr>
            <w:tcW w:w="1843" w:type="dxa"/>
            <w:vAlign w:val="bottom"/>
          </w:tcPr>
          <w:p w14:paraId="7B8F225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0254AF" w14:paraId="05003574" w14:textId="77777777" w:rsidTr="000254A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7A52BBC"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168BCFEC" w14:textId="77777777" w:rsidR="000254AF"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985" w:type="dxa"/>
            <w:vAlign w:val="bottom"/>
          </w:tcPr>
          <w:p w14:paraId="0CB457B2"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351 €</w:t>
            </w:r>
          </w:p>
        </w:tc>
        <w:tc>
          <w:tcPr>
            <w:tcW w:w="1559" w:type="dxa"/>
            <w:vAlign w:val="bottom"/>
          </w:tcPr>
          <w:p w14:paraId="7D94FBA9"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459 €</w:t>
            </w:r>
          </w:p>
        </w:tc>
        <w:tc>
          <w:tcPr>
            <w:tcW w:w="1843" w:type="dxa"/>
            <w:vAlign w:val="bottom"/>
          </w:tcPr>
          <w:p w14:paraId="578784D8"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r>
      <w:tr w:rsidR="000254AF" w14:paraId="71126F01" w14:textId="77777777" w:rsidTr="000254AF">
        <w:trPr>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40F5497"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0B2D2091" w14:textId="77777777" w:rsidR="000254AF"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Granada </w:t>
            </w:r>
          </w:p>
        </w:tc>
        <w:tc>
          <w:tcPr>
            <w:tcW w:w="1985" w:type="dxa"/>
            <w:vAlign w:val="bottom"/>
          </w:tcPr>
          <w:p w14:paraId="5D4709F4"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253 €</w:t>
            </w:r>
          </w:p>
        </w:tc>
        <w:tc>
          <w:tcPr>
            <w:tcW w:w="1559" w:type="dxa"/>
            <w:vAlign w:val="bottom"/>
          </w:tcPr>
          <w:p w14:paraId="0955C716"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329 €</w:t>
            </w:r>
          </w:p>
        </w:tc>
        <w:tc>
          <w:tcPr>
            <w:tcW w:w="1843" w:type="dxa"/>
            <w:vAlign w:val="bottom"/>
          </w:tcPr>
          <w:p w14:paraId="3AC34A9E"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0254AF" w14:paraId="03FCD2AC" w14:textId="77777777" w:rsidTr="000254A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B3970DF"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15AC106D" w14:textId="77777777" w:rsidR="000254AF"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Zaragoza </w:t>
            </w:r>
          </w:p>
        </w:tc>
        <w:tc>
          <w:tcPr>
            <w:tcW w:w="1985" w:type="dxa"/>
            <w:vAlign w:val="bottom"/>
          </w:tcPr>
          <w:p w14:paraId="04FEF15B"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296 €</w:t>
            </w:r>
          </w:p>
        </w:tc>
        <w:tc>
          <w:tcPr>
            <w:tcW w:w="1559" w:type="dxa"/>
            <w:vAlign w:val="bottom"/>
          </w:tcPr>
          <w:p w14:paraId="437DD5AC"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373 €</w:t>
            </w:r>
          </w:p>
        </w:tc>
        <w:tc>
          <w:tcPr>
            <w:tcW w:w="1843" w:type="dxa"/>
            <w:vAlign w:val="bottom"/>
          </w:tcPr>
          <w:p w14:paraId="4D7B085E"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r>
      <w:tr w:rsidR="000254AF" w14:paraId="2EB16510" w14:textId="77777777" w:rsidTr="000254AF">
        <w:trPr>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52ABFC4"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240B8D49" w14:textId="77777777" w:rsidR="000254AF"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Barcelona </w:t>
            </w:r>
          </w:p>
        </w:tc>
        <w:tc>
          <w:tcPr>
            <w:tcW w:w="1985" w:type="dxa"/>
            <w:vAlign w:val="bottom"/>
          </w:tcPr>
          <w:p w14:paraId="6A37DD25"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459 €</w:t>
            </w:r>
          </w:p>
        </w:tc>
        <w:tc>
          <w:tcPr>
            <w:tcW w:w="1559" w:type="dxa"/>
            <w:vAlign w:val="bottom"/>
          </w:tcPr>
          <w:p w14:paraId="7C2BB40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575 €</w:t>
            </w:r>
          </w:p>
        </w:tc>
        <w:tc>
          <w:tcPr>
            <w:tcW w:w="1843" w:type="dxa"/>
            <w:vAlign w:val="bottom"/>
          </w:tcPr>
          <w:p w14:paraId="33A727DF"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r>
      <w:tr w:rsidR="000254AF" w14:paraId="7EA0DE29" w14:textId="77777777" w:rsidTr="000254A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67EE27D"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2CC3C0C9" w14:textId="77777777" w:rsidR="000254AF"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Salamanca </w:t>
            </w:r>
          </w:p>
        </w:tc>
        <w:tc>
          <w:tcPr>
            <w:tcW w:w="1985" w:type="dxa"/>
            <w:vAlign w:val="bottom"/>
          </w:tcPr>
          <w:p w14:paraId="6CC79DA8"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225 €</w:t>
            </w:r>
          </w:p>
        </w:tc>
        <w:tc>
          <w:tcPr>
            <w:tcW w:w="1559" w:type="dxa"/>
            <w:vAlign w:val="bottom"/>
          </w:tcPr>
          <w:p w14:paraId="40F8308A"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272 €</w:t>
            </w:r>
          </w:p>
        </w:tc>
        <w:tc>
          <w:tcPr>
            <w:tcW w:w="1843" w:type="dxa"/>
            <w:vAlign w:val="bottom"/>
          </w:tcPr>
          <w:p w14:paraId="0C6AF760"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0254AF" w14:paraId="702C1C04" w14:textId="77777777" w:rsidTr="000254AF">
        <w:trPr>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C77C540"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19D719EB" w14:textId="77777777" w:rsidR="000254AF"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Sevilla </w:t>
            </w:r>
          </w:p>
        </w:tc>
        <w:tc>
          <w:tcPr>
            <w:tcW w:w="1985" w:type="dxa"/>
            <w:vAlign w:val="bottom"/>
          </w:tcPr>
          <w:p w14:paraId="6C0A14F9"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301 €</w:t>
            </w:r>
          </w:p>
        </w:tc>
        <w:tc>
          <w:tcPr>
            <w:tcW w:w="1559" w:type="dxa"/>
            <w:vAlign w:val="bottom"/>
          </w:tcPr>
          <w:p w14:paraId="59D39508"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358 €</w:t>
            </w:r>
          </w:p>
        </w:tc>
        <w:tc>
          <w:tcPr>
            <w:tcW w:w="1843" w:type="dxa"/>
            <w:vAlign w:val="bottom"/>
          </w:tcPr>
          <w:p w14:paraId="2509486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r>
      <w:tr w:rsidR="000254AF" w14:paraId="17BC2F12" w14:textId="77777777" w:rsidTr="000254A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73BBBEA"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79A4E096" w14:textId="77777777" w:rsidR="000254AF"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Valencia </w:t>
            </w:r>
          </w:p>
        </w:tc>
        <w:tc>
          <w:tcPr>
            <w:tcW w:w="1985" w:type="dxa"/>
            <w:vAlign w:val="bottom"/>
          </w:tcPr>
          <w:p w14:paraId="4548DFDD"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319 €</w:t>
            </w:r>
          </w:p>
        </w:tc>
        <w:tc>
          <w:tcPr>
            <w:tcW w:w="1559" w:type="dxa"/>
            <w:vAlign w:val="bottom"/>
          </w:tcPr>
          <w:p w14:paraId="17C1076A"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362 €</w:t>
            </w:r>
          </w:p>
        </w:tc>
        <w:tc>
          <w:tcPr>
            <w:tcW w:w="1843" w:type="dxa"/>
            <w:vAlign w:val="bottom"/>
          </w:tcPr>
          <w:p w14:paraId="63463716" w14:textId="77777777" w:rsidR="000254AF"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r>
      <w:tr w:rsidR="000254AF" w14:paraId="7BEEEA64" w14:textId="77777777" w:rsidTr="000254AF">
        <w:trPr>
          <w:trHeight w:val="229"/>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966847B" w14:textId="77777777" w:rsidR="000254AF"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5CF52C56" w14:textId="77777777" w:rsidR="000254AF"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985" w:type="dxa"/>
            <w:vAlign w:val="bottom"/>
          </w:tcPr>
          <w:p w14:paraId="44B2CE49"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300 €</w:t>
            </w:r>
          </w:p>
        </w:tc>
        <w:tc>
          <w:tcPr>
            <w:tcW w:w="1559" w:type="dxa"/>
            <w:vAlign w:val="bottom"/>
          </w:tcPr>
          <w:p w14:paraId="1AA0A7B4"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322 €</w:t>
            </w:r>
          </w:p>
        </w:tc>
        <w:tc>
          <w:tcPr>
            <w:tcW w:w="1843" w:type="dxa"/>
            <w:vAlign w:val="bottom"/>
          </w:tcPr>
          <w:p w14:paraId="204E6E6C" w14:textId="77777777" w:rsidR="000254AF"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w:t>
            </w:r>
          </w:p>
        </w:tc>
      </w:tr>
    </w:tbl>
    <w:p w14:paraId="17A2F145" w14:textId="77777777" w:rsidR="000254AF" w:rsidRDefault="000254AF">
      <w:pPr>
        <w:spacing w:line="276" w:lineRule="auto"/>
        <w:ind w:right="-574"/>
        <w:rPr>
          <w:color w:val="303AB2"/>
          <w:sz w:val="30"/>
          <w:szCs w:val="30"/>
        </w:rPr>
      </w:pPr>
    </w:p>
    <w:p w14:paraId="283E1872" w14:textId="77777777" w:rsidR="009113AB" w:rsidRDefault="009113AB">
      <w:pPr>
        <w:spacing w:line="276" w:lineRule="auto"/>
        <w:ind w:right="-574"/>
        <w:jc w:val="right"/>
        <w:rPr>
          <w:rFonts w:ascii="Open Sans Light" w:eastAsia="Open Sans Light" w:hAnsi="Open Sans Light" w:cs="Open Sans Light"/>
          <w:b/>
          <w:color w:val="303AB2"/>
        </w:rPr>
      </w:pPr>
    </w:p>
    <w:p w14:paraId="713C82D6" w14:textId="77777777" w:rsidR="009113AB" w:rsidRDefault="009113AB" w:rsidP="009113A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El estudio de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analiza también el precio de los principales municipios españoles. La ciudad más cara para compartir una vivienda es Barcelona capital con 575 euros al mes y Madrid capital con 527 euros al mes.  El resto de las ciudades analizadas por debajo de los 500 euros al mes son: L'Hospitalet de Llobregat con 459 euros/mes, Getafe con 454 euros/mes, Zaragoza capital con 373 euros/mes, Valencia capital con 362 euros/mes, Sevilla capital con 358 euros/mes, Granada capital con 329 euros/mes, Alcalá de Henares con 322 euros/mes y con euros/mes. Por otro lado, el precio del resto de las ciudades más económicas para alquilar una habitación es Salamanca capital con 272 euros/mes.</w:t>
      </w:r>
    </w:p>
    <w:p w14:paraId="3632529B" w14:textId="77777777" w:rsidR="004249F3" w:rsidRDefault="004249F3" w:rsidP="004249F3">
      <w:pPr>
        <w:spacing w:line="276" w:lineRule="auto"/>
        <w:ind w:right="-716"/>
        <w:jc w:val="right"/>
        <w:rPr>
          <w:rFonts w:ascii="Open Sans Light" w:eastAsia="Open Sans Light" w:hAnsi="Open Sans Light" w:cs="Open Sans Light"/>
          <w:b/>
          <w:color w:val="303AB2"/>
        </w:rPr>
      </w:pPr>
    </w:p>
    <w:p w14:paraId="03DFED8A" w14:textId="58B86CC9" w:rsidR="004249F3" w:rsidRDefault="004249F3" w:rsidP="004249F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0A871FE" w14:textId="77777777" w:rsidR="004249F3" w:rsidRDefault="004249F3" w:rsidP="004249F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929F338" w14:textId="77777777" w:rsidR="004249F3" w:rsidRDefault="004249F3" w:rsidP="004249F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9646BEE" w14:textId="77777777" w:rsidR="004249F3" w:rsidRDefault="004249F3" w:rsidP="004249F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C8D7955" w14:textId="77777777" w:rsidR="004249F3" w:rsidRDefault="004249F3" w:rsidP="004249F3">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A746CB2" w14:textId="77777777" w:rsidR="004249F3" w:rsidRDefault="004249F3" w:rsidP="004249F3">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F7AD90E" w14:textId="77777777" w:rsidR="004249F3" w:rsidRDefault="004249F3" w:rsidP="004249F3">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6E5D99D" w14:textId="4397DA40" w:rsidR="004249F3" w:rsidRDefault="004249F3" w:rsidP="004249F3">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339CB034" w14:textId="77777777" w:rsidR="004249F3" w:rsidRDefault="004249F3" w:rsidP="004249F3">
      <w:pPr>
        <w:spacing w:after="160"/>
        <w:ind w:right="-716"/>
        <w:jc w:val="both"/>
        <w:rPr>
          <w:rFonts w:ascii="Open Sans" w:eastAsia="Open Sans" w:hAnsi="Open Sans" w:cs="Open Sans"/>
          <w:color w:val="1155CC"/>
          <w:sz w:val="22"/>
          <w:szCs w:val="22"/>
          <w:u w:val="single"/>
        </w:rPr>
      </w:pPr>
    </w:p>
    <w:p w14:paraId="3ADA0240" w14:textId="77777777" w:rsidR="004249F3" w:rsidRDefault="004249F3" w:rsidP="004249F3">
      <w:pPr>
        <w:spacing w:after="160"/>
        <w:ind w:right="-716"/>
        <w:jc w:val="both"/>
        <w:rPr>
          <w:rFonts w:ascii="Open Sans" w:eastAsia="Open Sans" w:hAnsi="Open Sans" w:cs="Open Sans"/>
        </w:rPr>
      </w:pPr>
    </w:p>
    <w:p w14:paraId="58951D27" w14:textId="77777777" w:rsidR="004249F3" w:rsidRDefault="004249F3" w:rsidP="004249F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6B8C3B14" w14:textId="77777777" w:rsidR="004249F3" w:rsidRDefault="004249F3" w:rsidP="004249F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DC36D44" w14:textId="77777777" w:rsidR="004249F3" w:rsidRDefault="004249F3" w:rsidP="004249F3">
      <w:pPr>
        <w:shd w:val="clear" w:color="auto" w:fill="FFFFFF"/>
        <w:spacing w:line="276" w:lineRule="auto"/>
        <w:ind w:right="-716"/>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4D43C569" w14:textId="77777777" w:rsidR="004249F3" w:rsidRDefault="004249F3" w:rsidP="004249F3">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BF922CA" w14:textId="77777777" w:rsidR="004249F3" w:rsidRDefault="004249F3" w:rsidP="004249F3">
      <w:pPr>
        <w:spacing w:line="276" w:lineRule="auto"/>
        <w:ind w:right="-716"/>
        <w:rPr>
          <w:rFonts w:ascii="Open Sans Light" w:eastAsia="Open Sans Light" w:hAnsi="Open Sans Light" w:cs="Open Sans Light"/>
          <w:b/>
          <w:color w:val="303AB2"/>
          <w:sz w:val="22"/>
          <w:szCs w:val="22"/>
        </w:rPr>
      </w:pPr>
    </w:p>
    <w:p w14:paraId="5FB86A76" w14:textId="77777777" w:rsidR="004249F3" w:rsidRDefault="004249F3" w:rsidP="004249F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0D90ADB" w14:textId="77777777" w:rsidR="004249F3" w:rsidRDefault="004249F3" w:rsidP="004249F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182532A" w14:textId="77777777" w:rsidR="004249F3" w:rsidRPr="00950891" w:rsidRDefault="004249F3" w:rsidP="004249F3">
      <w:pPr>
        <w:shd w:val="clear" w:color="auto" w:fill="FFFFFF"/>
        <w:spacing w:line="276" w:lineRule="auto"/>
        <w:ind w:right="-716"/>
        <w:rPr>
          <w:rFonts w:ascii="Open Sans" w:eastAsia="Open Sans" w:hAnsi="Open Sans" w:cs="Open Sans"/>
          <w:color w:val="0000FF"/>
          <w:sz w:val="22"/>
          <w:szCs w:val="22"/>
          <w:u w:val="single"/>
          <w:lang w:val="en-US"/>
        </w:rPr>
      </w:pPr>
      <w:hyperlink r:id="rId24">
        <w:r w:rsidRPr="00950891">
          <w:rPr>
            <w:rFonts w:ascii="Open Sans" w:eastAsia="Open Sans" w:hAnsi="Open Sans" w:cs="Open Sans"/>
            <w:color w:val="0000FF"/>
            <w:sz w:val="22"/>
            <w:szCs w:val="22"/>
            <w:u w:val="single"/>
            <w:lang w:val="en-US"/>
          </w:rPr>
          <w:t>rtorne@llorenteycuenca.com</w:t>
        </w:r>
      </w:hyperlink>
      <w:r w:rsidRPr="00950891">
        <w:rPr>
          <w:rFonts w:ascii="Open Sans" w:eastAsia="Open Sans" w:hAnsi="Open Sans" w:cs="Open Sans"/>
          <w:color w:val="0000FF"/>
          <w:sz w:val="22"/>
          <w:szCs w:val="22"/>
          <w:lang w:val="en-US"/>
        </w:rPr>
        <w:tab/>
      </w:r>
      <w:r w:rsidRPr="00950891">
        <w:rPr>
          <w:rFonts w:ascii="Open Sans" w:eastAsia="Open Sans" w:hAnsi="Open Sans" w:cs="Open Sans"/>
          <w:color w:val="0000FF"/>
          <w:sz w:val="22"/>
          <w:szCs w:val="22"/>
          <w:lang w:val="en-US"/>
        </w:rPr>
        <w:tab/>
      </w:r>
      <w:r w:rsidRPr="00950891">
        <w:rPr>
          <w:rFonts w:ascii="Open Sans" w:eastAsia="Open Sans" w:hAnsi="Open Sans" w:cs="Open Sans"/>
          <w:color w:val="0000FF"/>
          <w:sz w:val="22"/>
          <w:szCs w:val="22"/>
          <w:lang w:val="en-US"/>
        </w:rPr>
        <w:tab/>
      </w:r>
    </w:p>
    <w:p w14:paraId="5FBD69C4" w14:textId="77777777" w:rsidR="004249F3" w:rsidRPr="00950891" w:rsidRDefault="004249F3" w:rsidP="004249F3">
      <w:pPr>
        <w:shd w:val="clear" w:color="auto" w:fill="FFFFFF"/>
        <w:spacing w:line="276" w:lineRule="auto"/>
        <w:ind w:right="-716"/>
        <w:rPr>
          <w:rFonts w:ascii="Open Sans" w:eastAsia="Open Sans" w:hAnsi="Open Sans" w:cs="Open Sans"/>
          <w:color w:val="000000"/>
          <w:sz w:val="22"/>
          <w:szCs w:val="22"/>
          <w:lang w:val="en-US"/>
        </w:rPr>
      </w:pPr>
      <w:r w:rsidRPr="00950891">
        <w:rPr>
          <w:rFonts w:ascii="Open Sans" w:eastAsia="Open Sans" w:hAnsi="Open Sans" w:cs="Open Sans"/>
          <w:color w:val="000000"/>
          <w:sz w:val="22"/>
          <w:szCs w:val="22"/>
          <w:lang w:val="en-US"/>
        </w:rPr>
        <w:t xml:space="preserve">638 68 19 85      </w:t>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r w:rsidRPr="00950891">
        <w:rPr>
          <w:rFonts w:ascii="Open Sans" w:eastAsia="Open Sans" w:hAnsi="Open Sans" w:cs="Open Sans"/>
          <w:color w:val="000000"/>
          <w:sz w:val="22"/>
          <w:szCs w:val="22"/>
          <w:lang w:val="en-US"/>
        </w:rPr>
        <w:tab/>
      </w:r>
    </w:p>
    <w:p w14:paraId="008F798C" w14:textId="77777777" w:rsidR="004249F3" w:rsidRPr="00950891" w:rsidRDefault="004249F3" w:rsidP="004249F3">
      <w:pPr>
        <w:shd w:val="clear" w:color="auto" w:fill="FFFFFF"/>
        <w:ind w:right="-716"/>
        <w:rPr>
          <w:rFonts w:ascii="Arial" w:eastAsia="Arial" w:hAnsi="Arial" w:cs="Arial"/>
          <w:color w:val="222222"/>
          <w:sz w:val="22"/>
          <w:szCs w:val="22"/>
          <w:lang w:val="en-US"/>
        </w:rPr>
      </w:pP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t xml:space="preserve">     </w:t>
      </w:r>
    </w:p>
    <w:p w14:paraId="1B368E35" w14:textId="77777777" w:rsidR="004249F3" w:rsidRPr="00950891" w:rsidRDefault="004249F3" w:rsidP="004249F3">
      <w:pPr>
        <w:shd w:val="clear" w:color="auto" w:fill="FFFFFF"/>
        <w:ind w:right="-716"/>
        <w:rPr>
          <w:rFonts w:ascii="Open Sans" w:eastAsia="Open Sans" w:hAnsi="Open Sans" w:cs="Open Sans"/>
          <w:b/>
          <w:color w:val="000000"/>
          <w:sz w:val="22"/>
          <w:szCs w:val="22"/>
          <w:lang w:val="en-US"/>
        </w:rPr>
      </w:pPr>
      <w:r w:rsidRPr="00950891">
        <w:rPr>
          <w:rFonts w:ascii="Open Sans" w:eastAsia="Open Sans" w:hAnsi="Open Sans" w:cs="Open Sans"/>
          <w:b/>
          <w:color w:val="000000"/>
          <w:sz w:val="22"/>
          <w:szCs w:val="22"/>
          <w:lang w:val="en-US"/>
        </w:rPr>
        <w:t>Fanny Merino</w:t>
      </w:r>
    </w:p>
    <w:p w14:paraId="16FA5063" w14:textId="77777777" w:rsidR="004249F3" w:rsidRPr="00950891" w:rsidRDefault="004249F3" w:rsidP="004249F3">
      <w:pPr>
        <w:shd w:val="clear" w:color="auto" w:fill="FFFFFF"/>
        <w:ind w:right="-716"/>
        <w:rPr>
          <w:rFonts w:ascii="Open Sans" w:eastAsia="Open Sans" w:hAnsi="Open Sans" w:cs="Open Sans"/>
          <w:b/>
          <w:color w:val="000000"/>
          <w:sz w:val="22"/>
          <w:szCs w:val="22"/>
          <w:lang w:val="en-US"/>
        </w:rPr>
      </w:pPr>
      <w:hyperlink r:id="rId25">
        <w:r w:rsidRPr="00950891">
          <w:rPr>
            <w:rFonts w:ascii="Open Sans" w:eastAsia="Open Sans" w:hAnsi="Open Sans" w:cs="Open Sans"/>
            <w:color w:val="0000FF"/>
            <w:sz w:val="22"/>
            <w:szCs w:val="22"/>
            <w:u w:val="single"/>
            <w:lang w:val="en-US"/>
          </w:rPr>
          <w:t>emerino@llorenteycuenca.com</w:t>
        </w:r>
      </w:hyperlink>
      <w:r w:rsidRPr="00950891">
        <w:rPr>
          <w:rFonts w:ascii="Open Sans" w:eastAsia="Open Sans" w:hAnsi="Open Sans" w:cs="Open Sans"/>
          <w:color w:val="0000FF"/>
          <w:sz w:val="22"/>
          <w:szCs w:val="22"/>
          <w:lang w:val="en-US"/>
        </w:rPr>
        <w:tab/>
      </w:r>
      <w:r w:rsidRPr="00950891">
        <w:rPr>
          <w:rFonts w:ascii="Open Sans" w:eastAsia="Open Sans" w:hAnsi="Open Sans" w:cs="Open Sans"/>
          <w:color w:val="0000FF"/>
          <w:sz w:val="22"/>
          <w:szCs w:val="22"/>
          <w:lang w:val="en-US"/>
        </w:rPr>
        <w:tab/>
      </w:r>
    </w:p>
    <w:p w14:paraId="1BEAAFBC" w14:textId="77777777" w:rsidR="004249F3" w:rsidRPr="00950891" w:rsidRDefault="004249F3" w:rsidP="004249F3">
      <w:pPr>
        <w:shd w:val="clear" w:color="auto" w:fill="FFFFFF"/>
        <w:ind w:right="-716"/>
        <w:rPr>
          <w:rFonts w:ascii="Open Sans" w:eastAsia="Open Sans" w:hAnsi="Open Sans" w:cs="Open Sans"/>
          <w:color w:val="000000"/>
          <w:sz w:val="22"/>
          <w:szCs w:val="22"/>
          <w:lang w:val="en-US"/>
        </w:rPr>
      </w:pPr>
      <w:r w:rsidRPr="00950891">
        <w:rPr>
          <w:rFonts w:ascii="Open Sans" w:eastAsia="Open Sans" w:hAnsi="Open Sans" w:cs="Open Sans"/>
          <w:color w:val="000000"/>
          <w:sz w:val="22"/>
          <w:szCs w:val="22"/>
          <w:lang w:val="en-US"/>
        </w:rPr>
        <w:t>663 35 69 75 </w:t>
      </w:r>
    </w:p>
    <w:p w14:paraId="15647F40" w14:textId="77777777" w:rsidR="004249F3" w:rsidRPr="00950891" w:rsidRDefault="004249F3" w:rsidP="004249F3">
      <w:pPr>
        <w:shd w:val="clear" w:color="auto" w:fill="FFFFFF"/>
        <w:ind w:right="-716"/>
        <w:rPr>
          <w:rFonts w:ascii="Open Sans" w:eastAsia="Open Sans" w:hAnsi="Open Sans" w:cs="Open Sans"/>
          <w:color w:val="000000"/>
          <w:sz w:val="22"/>
          <w:szCs w:val="22"/>
          <w:lang w:val="en-US"/>
        </w:rPr>
      </w:pPr>
    </w:p>
    <w:p w14:paraId="4B728212" w14:textId="77777777" w:rsidR="004249F3" w:rsidRPr="00950891" w:rsidRDefault="004249F3" w:rsidP="004249F3">
      <w:pPr>
        <w:shd w:val="clear" w:color="auto" w:fill="FFFFFF"/>
        <w:ind w:right="-716"/>
        <w:rPr>
          <w:rFonts w:ascii="Open Sans" w:eastAsia="Open Sans" w:hAnsi="Open Sans" w:cs="Open Sans"/>
          <w:b/>
          <w:color w:val="000000"/>
          <w:sz w:val="22"/>
          <w:szCs w:val="22"/>
          <w:lang w:val="en-US"/>
        </w:rPr>
      </w:pPr>
      <w:r w:rsidRPr="00950891">
        <w:rPr>
          <w:rFonts w:ascii="Open Sans" w:eastAsia="Open Sans" w:hAnsi="Open Sans" w:cs="Open Sans"/>
          <w:b/>
          <w:color w:val="000000"/>
          <w:sz w:val="22"/>
          <w:szCs w:val="22"/>
          <w:lang w:val="en-US"/>
        </w:rPr>
        <w:t>Paula Iglesias</w:t>
      </w:r>
    </w:p>
    <w:p w14:paraId="02F4B722" w14:textId="77777777" w:rsidR="004249F3" w:rsidRPr="00950891" w:rsidRDefault="004249F3" w:rsidP="004249F3">
      <w:pPr>
        <w:shd w:val="clear" w:color="auto" w:fill="FFFFFF"/>
        <w:ind w:right="-716"/>
        <w:rPr>
          <w:rFonts w:ascii="Open Sans" w:eastAsia="Open Sans" w:hAnsi="Open Sans" w:cs="Open Sans"/>
          <w:b/>
          <w:color w:val="000000"/>
          <w:sz w:val="22"/>
          <w:szCs w:val="22"/>
          <w:lang w:val="en-US"/>
        </w:rPr>
      </w:pPr>
      <w:hyperlink r:id="rId26">
        <w:r w:rsidRPr="00950891">
          <w:rPr>
            <w:rFonts w:ascii="Open Sans" w:eastAsia="Open Sans" w:hAnsi="Open Sans" w:cs="Open Sans"/>
            <w:color w:val="0000FF"/>
            <w:sz w:val="22"/>
            <w:szCs w:val="22"/>
            <w:u w:val="single"/>
            <w:lang w:val="en-US"/>
          </w:rPr>
          <w:t>piglesias@llorenteycuenca.com</w:t>
        </w:r>
      </w:hyperlink>
      <w:r w:rsidRPr="00950891">
        <w:rPr>
          <w:rFonts w:ascii="Open Sans" w:eastAsia="Open Sans" w:hAnsi="Open Sans" w:cs="Open Sans"/>
          <w:color w:val="0000FF"/>
          <w:sz w:val="22"/>
          <w:szCs w:val="22"/>
          <w:lang w:val="en-US"/>
        </w:rPr>
        <w:tab/>
      </w:r>
      <w:r w:rsidRPr="00950891">
        <w:rPr>
          <w:rFonts w:ascii="Open Sans" w:eastAsia="Open Sans" w:hAnsi="Open Sans" w:cs="Open Sans"/>
          <w:color w:val="0000FF"/>
          <w:sz w:val="22"/>
          <w:szCs w:val="22"/>
          <w:lang w:val="en-US"/>
        </w:rPr>
        <w:tab/>
      </w:r>
    </w:p>
    <w:p w14:paraId="01225332" w14:textId="77777777" w:rsidR="004249F3" w:rsidRDefault="004249F3" w:rsidP="004249F3">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A190FE6" w14:textId="77777777" w:rsidR="000254AF" w:rsidRDefault="000254AF">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0254AF">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0A60" w14:textId="77777777" w:rsidR="00E13741" w:rsidRDefault="00E13741">
      <w:r>
        <w:separator/>
      </w:r>
    </w:p>
  </w:endnote>
  <w:endnote w:type="continuationSeparator" w:id="0">
    <w:p w14:paraId="62B4D7CB" w14:textId="77777777" w:rsidR="00E13741" w:rsidRDefault="00E1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0303" w14:textId="77777777" w:rsidR="000254A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161F7A3" wp14:editId="06660D5F">
          <wp:simplePos x="0" y="0"/>
          <wp:positionH relativeFrom="column">
            <wp:posOffset>-1068069</wp:posOffset>
          </wp:positionH>
          <wp:positionV relativeFrom="paragraph">
            <wp:posOffset>174608</wp:posOffset>
          </wp:positionV>
          <wp:extent cx="7670550" cy="4513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14D7" w14:textId="77777777" w:rsidR="00E13741" w:rsidRDefault="00E13741">
      <w:r>
        <w:separator/>
      </w:r>
    </w:p>
  </w:footnote>
  <w:footnote w:type="continuationSeparator" w:id="0">
    <w:p w14:paraId="4CA58181" w14:textId="77777777" w:rsidR="00E13741" w:rsidRDefault="00E1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D48"/>
    <w:multiLevelType w:val="multilevel"/>
    <w:tmpl w:val="ACC0D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344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AF"/>
    <w:rsid w:val="000254AF"/>
    <w:rsid w:val="004249F3"/>
    <w:rsid w:val="008636AC"/>
    <w:rsid w:val="009113AB"/>
    <w:rsid w:val="00E1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F55C"/>
  <w15:docId w15:val="{1A18F375-F287-4EDA-A2C1-034556A2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0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inguno">
    <w:name w:val="Ninguno"/>
    <w:rsid w:val="00E249DA"/>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H:\Mi%20unidad\01-SCHIBSTED\04-ESTUDIO%20NdP\COMPARTIR\2022\DICIEMBRE\PRENSA%20COMPARTIR%20%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4-ESTUDIO%20NdP\COMPARTIR\2022\DICIEMBRE\PRENSA%20COMPARTIR%2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[PRENSA COMPARTIR  2022.xlsx]Hoja2!TablaDinámica11</c:name>
    <c:fmtId val="-1"/>
  </c:pivotSource>
  <c:chart>
    <c:autoTitleDeleted val="1"/>
    <c:pivotFmts>
      <c:pivotFmt>
        <c:idx val="0"/>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6328698885811314E-2"/>
          <c:y val="6.022136302561535E-2"/>
          <c:w val="0.95971998038477568"/>
          <c:h val="0.70632500890586813"/>
        </c:manualLayout>
      </c:layout>
      <c:barChart>
        <c:barDir val="col"/>
        <c:grouping val="clustered"/>
        <c:varyColors val="0"/>
        <c:ser>
          <c:idx val="0"/>
          <c:order val="0"/>
          <c:tx>
            <c:strRef>
              <c:f>Hoja2!$B$3</c:f>
              <c:strCache>
                <c:ptCount val="1"/>
                <c:pt idx="0">
                  <c:v>Total</c:v>
                </c:pt>
              </c:strCache>
            </c:strRef>
          </c:tx>
          <c:spPr>
            <a:solidFill>
              <a:srgbClr val="007C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Hoja2!$A$4:$A$6</c:f>
              <c:strCache>
                <c:ptCount val="3"/>
                <c:pt idx="0">
                  <c:v> 7 AÑOS                                       (2022 VS 2015)</c:v>
                </c:pt>
                <c:pt idx="1">
                  <c:v>5 AÑOS                               (2022 VS 2017)</c:v>
                </c:pt>
                <c:pt idx="2">
                  <c:v> 1 AÑO                                        (2022 VS 2021)</c:v>
                </c:pt>
              </c:strCache>
            </c:strRef>
          </c:cat>
          <c:val>
            <c:numRef>
              <c:f>Hoja2!$B$4:$B$6</c:f>
              <c:numCache>
                <c:formatCode>0.0%</c:formatCode>
                <c:ptCount val="3"/>
                <c:pt idx="0">
                  <c:v>0.66169248205515696</c:v>
                </c:pt>
                <c:pt idx="1">
                  <c:v>0.15762185493209824</c:v>
                </c:pt>
                <c:pt idx="2">
                  <c:v>0.20764922299708966</c:v>
                </c:pt>
              </c:numCache>
            </c:numRef>
          </c:val>
          <c:extLst>
            <c:ext xmlns:c16="http://schemas.microsoft.com/office/drawing/2014/chart" uri="{C3380CC4-5D6E-409C-BE32-E72D297353CC}">
              <c16:uniqueId val="{00000000-84B7-4790-A0AB-3F0D971B9B35}"/>
            </c:ext>
          </c:extLst>
        </c:ser>
        <c:dLbls>
          <c:showLegendKey val="0"/>
          <c:showVal val="0"/>
          <c:showCatName val="0"/>
          <c:showSerName val="0"/>
          <c:showPercent val="0"/>
          <c:showBubbleSize val="0"/>
        </c:dLbls>
        <c:gapWidth val="69"/>
        <c:overlap val="-32"/>
        <c:axId val="114756256"/>
        <c:axId val="114743360"/>
      </c:barChart>
      <c:catAx>
        <c:axId val="114756256"/>
        <c:scaling>
          <c:orientation val="minMax"/>
        </c:scaling>
        <c:delete val="0"/>
        <c:axPos val="b"/>
        <c:numFmt formatCode="General" sourceLinked="1"/>
        <c:majorTickMark val="out"/>
        <c:minorTickMark val="none"/>
        <c:tickLblPos val="nextTo"/>
        <c:spPr>
          <a:noFill/>
          <a:ln w="9525" cap="sq"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crossAx val="114743360"/>
        <c:crosses val="autoZero"/>
        <c:auto val="1"/>
        <c:lblAlgn val="ctr"/>
        <c:lblOffset val="100"/>
        <c:noMultiLvlLbl val="0"/>
      </c:catAx>
      <c:valAx>
        <c:axId val="114743360"/>
        <c:scaling>
          <c:orientation val="minMax"/>
        </c:scaling>
        <c:delete val="1"/>
        <c:axPos val="l"/>
        <c:numFmt formatCode="0.0%" sourceLinked="1"/>
        <c:majorTickMark val="none"/>
        <c:minorTickMark val="none"/>
        <c:tickLblPos val="nextTo"/>
        <c:crossAx val="11475625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COMPARTIR  2022.xlsx]Hoja2!TablaDinámica4</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7CA8"/>
          </a:solidFill>
          <a:ln>
            <a:no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FFC000"/>
          </a:solidFill>
          <a:ln>
            <a:noFill/>
          </a:ln>
          <a:effectLst/>
        </c:spPr>
      </c:pivotFmt>
      <c:pivotFmt>
        <c:idx val="41"/>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FFC000"/>
          </a:solidFill>
          <a:ln>
            <a:noFill/>
          </a:ln>
          <a:effectLst/>
        </c:spPr>
      </c:pivotFmt>
      <c:pivotFmt>
        <c:idx val="43"/>
        <c:spPr>
          <a:solidFill>
            <a:srgbClr val="007CA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FFC000"/>
          </a:solidFill>
          <a:ln>
            <a:noFill/>
          </a:ln>
          <a:effectLst/>
        </c:spPr>
      </c:pivotFmt>
    </c:pivotFmts>
    <c:plotArea>
      <c:layout>
        <c:manualLayout>
          <c:layoutTarget val="inner"/>
          <c:xMode val="edge"/>
          <c:yMode val="edge"/>
          <c:x val="4.6878964529819565E-2"/>
          <c:y val="3.659972552502444E-2"/>
          <c:w val="0.91751449676554575"/>
          <c:h val="0.60736791096853315"/>
        </c:manualLayout>
      </c:layout>
      <c:barChart>
        <c:barDir val="col"/>
        <c:grouping val="clustered"/>
        <c:varyColors val="0"/>
        <c:ser>
          <c:idx val="0"/>
          <c:order val="0"/>
          <c:tx>
            <c:strRef>
              <c:f>Hoja2!$B$23:$B$24</c:f>
              <c:strCache>
                <c:ptCount val="1"/>
                <c:pt idx="0">
                  <c:v>01/12/2022</c:v>
                </c:pt>
              </c:strCache>
            </c:strRef>
          </c:tx>
          <c:spPr>
            <a:solidFill>
              <a:srgbClr val="007CA8"/>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8D56-45FB-8256-FAFB0E71A1E9}"/>
              </c:ext>
            </c:extLst>
          </c:dPt>
          <c:dPt>
            <c:idx val="4"/>
            <c:invertIfNegative val="0"/>
            <c:bubble3D val="0"/>
            <c:extLst>
              <c:ext xmlns:c16="http://schemas.microsoft.com/office/drawing/2014/chart" uri="{C3380CC4-5D6E-409C-BE32-E72D297353CC}">
                <c16:uniqueId val="{00000002-8D56-45FB-8256-FAFB0E71A1E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Hoja2!$A$25:$A$37</c:f>
              <c:strCache>
                <c:ptCount val="13"/>
                <c:pt idx="0">
                  <c:v>Cataluña</c:v>
                </c:pt>
                <c:pt idx="1">
                  <c:v>Madrid</c:v>
                </c:pt>
                <c:pt idx="2">
                  <c:v>España</c:v>
                </c:pt>
                <c:pt idx="3">
                  <c:v>País Vasco</c:v>
                </c:pt>
                <c:pt idx="4">
                  <c:v>Aragón</c:v>
                </c:pt>
                <c:pt idx="5">
                  <c:v>Comunitat Valenciana</c:v>
                </c:pt>
                <c:pt idx="6">
                  <c:v>Canarias</c:v>
                </c:pt>
                <c:pt idx="7">
                  <c:v>Andalucía</c:v>
                </c:pt>
                <c:pt idx="8">
                  <c:v>Galicia</c:v>
                </c:pt>
                <c:pt idx="9">
                  <c:v>Asturias</c:v>
                </c:pt>
                <c:pt idx="10">
                  <c:v>Castilla y León</c:v>
                </c:pt>
                <c:pt idx="11">
                  <c:v>Región de Murcia</c:v>
                </c:pt>
                <c:pt idx="12">
                  <c:v>Castilla-La Mancha</c:v>
                </c:pt>
              </c:strCache>
            </c:strRef>
          </c:cat>
          <c:val>
            <c:numRef>
              <c:f>Hoja2!$B$25:$B$37</c:f>
              <c:numCache>
                <c:formatCode>_-* #,##0\ "€"_-;\-* #,##0\ "€"_-;_-* "-"??\ "€"_-;_-@_-</c:formatCode>
                <c:ptCount val="13"/>
                <c:pt idx="0">
                  <c:v>545.34</c:v>
                </c:pt>
                <c:pt idx="1">
                  <c:v>503.37</c:v>
                </c:pt>
                <c:pt idx="2">
                  <c:v>439.85</c:v>
                </c:pt>
                <c:pt idx="3">
                  <c:v>420.4</c:v>
                </c:pt>
                <c:pt idx="4">
                  <c:v>358.09</c:v>
                </c:pt>
                <c:pt idx="5">
                  <c:v>352.69</c:v>
                </c:pt>
                <c:pt idx="6">
                  <c:v>345.48</c:v>
                </c:pt>
                <c:pt idx="7">
                  <c:v>326.7</c:v>
                </c:pt>
                <c:pt idx="8">
                  <c:v>283.20999999999998</c:v>
                </c:pt>
                <c:pt idx="9">
                  <c:v>281.74</c:v>
                </c:pt>
                <c:pt idx="10">
                  <c:v>274.06</c:v>
                </c:pt>
                <c:pt idx="11">
                  <c:v>264.41000000000003</c:v>
                </c:pt>
                <c:pt idx="12">
                  <c:v>245.46</c:v>
                </c:pt>
              </c:numCache>
            </c:numRef>
          </c:val>
          <c:extLst>
            <c:ext xmlns:c16="http://schemas.microsoft.com/office/drawing/2014/chart" uri="{C3380CC4-5D6E-409C-BE32-E72D297353CC}">
              <c16:uniqueId val="{00000003-8D56-45FB-8256-FAFB0E71A1E9}"/>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_-* #,##0\ &quot;€&quot;_-;\-* #,##0\ &quot;€&quot;_-;_-* &quot;-&quot;??\ &quot;€&quot;_-;_-@_-"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OCjkzwofiR/Flcs0vsARGz6M7w==">AMUW2mW2k6QdheSyAaiSAFgTladZPykMEdpL2bGltjF4GF4I6OWJdCTCHObU7mozq9xQtoQPZLZvACifwV7z3e/dMftcjR7pWmdRui2zf3PtZJrVjYMJozU=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7663</Characters>
  <Application>Microsoft Office Word</Application>
  <DocSecurity>0</DocSecurity>
  <Lines>63</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2020-08-07T11:37:00Z</dcterms:created>
  <dcterms:modified xsi:type="dcterms:W3CDTF">2023-02-03T10:47:00Z</dcterms:modified>
</cp:coreProperties>
</file>