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BFD7" w14:textId="77777777" w:rsidR="0049063B" w:rsidRDefault="00000000">
      <w:pPr>
        <w:ind w:right="-574"/>
      </w:pPr>
      <w:bookmarkStart w:id="0" w:name="_heading=h.gjdgxs" w:colFirst="0" w:colLast="0"/>
      <w:bookmarkEnd w:id="0"/>
      <w:r>
        <w:rPr>
          <w:noProof/>
        </w:rPr>
        <w:drawing>
          <wp:anchor distT="0" distB="0" distL="114300" distR="114300" simplePos="0" relativeHeight="251658240" behindDoc="0" locked="0" layoutInCell="1" hidden="0" allowOverlap="1" wp14:anchorId="5A2E0FCF" wp14:editId="342157F5">
            <wp:simplePos x="0" y="0"/>
            <wp:positionH relativeFrom="column">
              <wp:posOffset>-1078864</wp:posOffset>
            </wp:positionH>
            <wp:positionV relativeFrom="paragraph">
              <wp:posOffset>-350452</wp:posOffset>
            </wp:positionV>
            <wp:extent cx="7581265" cy="1019175"/>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81265" cy="1019175"/>
                    </a:xfrm>
                    <a:prstGeom prst="rect">
                      <a:avLst/>
                    </a:prstGeom>
                    <a:ln/>
                  </pic:spPr>
                </pic:pic>
              </a:graphicData>
            </a:graphic>
          </wp:anchor>
        </w:drawing>
      </w:r>
    </w:p>
    <w:p w14:paraId="1CEE5CF8" w14:textId="77777777" w:rsidR="0049063B" w:rsidRDefault="0049063B">
      <w:pPr>
        <w:ind w:right="-574"/>
        <w:jc w:val="right"/>
        <w:rPr>
          <w:rFonts w:ascii="National" w:eastAsia="National" w:hAnsi="National" w:cs="National"/>
          <w:color w:val="303AB2"/>
          <w:sz w:val="36"/>
          <w:szCs w:val="36"/>
        </w:rPr>
      </w:pPr>
    </w:p>
    <w:p w14:paraId="7F7162F7" w14:textId="77777777" w:rsidR="0049063B" w:rsidRDefault="0049063B">
      <w:pPr>
        <w:ind w:right="-574"/>
        <w:jc w:val="right"/>
        <w:rPr>
          <w:rFonts w:ascii="National" w:eastAsia="National" w:hAnsi="National" w:cs="National"/>
          <w:color w:val="303AB2"/>
          <w:sz w:val="36"/>
          <w:szCs w:val="36"/>
        </w:rPr>
      </w:pPr>
    </w:p>
    <w:p w14:paraId="3BEEABDF" w14:textId="77777777" w:rsidR="0049063B" w:rsidRDefault="0049063B">
      <w:pPr>
        <w:ind w:right="-574"/>
        <w:rPr>
          <w:rFonts w:ascii="National" w:eastAsia="National" w:hAnsi="National" w:cs="National"/>
          <w:color w:val="303AB2"/>
          <w:sz w:val="16"/>
          <w:szCs w:val="16"/>
        </w:rPr>
      </w:pPr>
    </w:p>
    <w:p w14:paraId="4E445384" w14:textId="77777777" w:rsidR="0049063B" w:rsidRDefault="00000000">
      <w:pPr>
        <w:spacing w:line="276" w:lineRule="auto"/>
        <w:ind w:right="-574"/>
        <w:jc w:val="center"/>
        <w:rPr>
          <w:rFonts w:ascii="National" w:eastAsia="National" w:hAnsi="National" w:cs="National"/>
          <w:b/>
          <w:color w:val="1DBDC5"/>
          <w:sz w:val="38"/>
          <w:szCs w:val="38"/>
        </w:rPr>
      </w:pPr>
      <w:bookmarkStart w:id="1" w:name="_heading=h.30j0zll" w:colFirst="0" w:colLast="0"/>
      <w:bookmarkEnd w:id="1"/>
      <w:r>
        <w:rPr>
          <w:rFonts w:ascii="National" w:eastAsia="National" w:hAnsi="National" w:cs="National"/>
          <w:b/>
          <w:color w:val="1DBDC5"/>
          <w:sz w:val="38"/>
          <w:szCs w:val="38"/>
        </w:rPr>
        <w:t xml:space="preserve">2022: ANÁLISIS RENTABILIDAD GARAJES </w:t>
      </w:r>
    </w:p>
    <w:p w14:paraId="2E44D010" w14:textId="77777777" w:rsidR="0049063B" w:rsidRDefault="00000000">
      <w:pPr>
        <w:ind w:right="-574"/>
        <w:jc w:val="center"/>
        <w:rPr>
          <w:rFonts w:ascii="National" w:eastAsia="National" w:hAnsi="National" w:cs="National"/>
          <w:b/>
          <w:color w:val="303AB2"/>
          <w:sz w:val="46"/>
          <w:szCs w:val="46"/>
        </w:rPr>
      </w:pPr>
      <w:r>
        <w:rPr>
          <w:rFonts w:ascii="National" w:eastAsia="National" w:hAnsi="National" w:cs="National"/>
          <w:b/>
          <w:color w:val="303AB2"/>
          <w:sz w:val="46"/>
          <w:szCs w:val="46"/>
        </w:rPr>
        <w:t>La rentabilidad de los garajes en España se sitúa en un 7,5% en 2022 y cae un punto porcentual en un año</w:t>
      </w:r>
    </w:p>
    <w:p w14:paraId="20EEB8E0" w14:textId="77777777" w:rsidR="0049063B" w:rsidRDefault="0049063B">
      <w:pPr>
        <w:ind w:right="-574"/>
        <w:rPr>
          <w:rFonts w:ascii="National" w:eastAsia="National" w:hAnsi="National" w:cs="National"/>
          <w:b/>
          <w:color w:val="303AB2"/>
          <w:sz w:val="16"/>
          <w:szCs w:val="16"/>
        </w:rPr>
      </w:pPr>
    </w:p>
    <w:p w14:paraId="013732A9" w14:textId="77777777" w:rsidR="0049063B"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 xml:space="preserve">La rentabilidad de los garajes en España pasa del 8,4% registrado en 2021 al 7,5% registrado en 2022 </w:t>
      </w:r>
    </w:p>
    <w:p w14:paraId="3D9F233C" w14:textId="77777777" w:rsidR="0049063B"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 xml:space="preserve">Hace 5 años la rentabilidad de los garajes en España alcanzaba el 7,6%, </w:t>
      </w:r>
    </w:p>
    <w:p w14:paraId="1D178439" w14:textId="77777777" w:rsidR="0049063B"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La capital sevillana se convierte en la ciudad con la mayor rentabilidad de España para invertir en garajes con un 11%</w:t>
      </w:r>
    </w:p>
    <w:p w14:paraId="2A385254" w14:textId="54B33FD0" w:rsidR="0049063B" w:rsidRPr="00D87EE4" w:rsidRDefault="00D87EE4">
      <w:pPr>
        <w:numPr>
          <w:ilvl w:val="0"/>
          <w:numId w:val="1"/>
        </w:numPr>
        <w:pBdr>
          <w:top w:val="nil"/>
          <w:left w:val="nil"/>
          <w:bottom w:val="nil"/>
          <w:right w:val="nil"/>
          <w:between w:val="nil"/>
        </w:pBdr>
        <w:spacing w:line="276" w:lineRule="auto"/>
        <w:ind w:right="-574"/>
        <w:jc w:val="both"/>
        <w:rPr>
          <w:rFonts w:ascii="Open Sans" w:eastAsia="Open Sans" w:hAnsi="Open Sans" w:cs="Open Sans"/>
          <w:b/>
          <w:bCs/>
          <w:color w:val="000000"/>
        </w:rPr>
      </w:pPr>
      <w:hyperlink r:id="rId9" w:history="1">
        <w:r w:rsidR="00000000" w:rsidRPr="00D87EE4">
          <w:rPr>
            <w:rStyle w:val="Hipervnculo"/>
            <w:rFonts w:ascii="Open Sans" w:eastAsia="Open Sans" w:hAnsi="Open Sans" w:cs="Open Sans"/>
            <w:b/>
            <w:bCs/>
          </w:rPr>
          <w:t>Aquí se puede ver una valoración en vídeo de la directora de Estudios</w:t>
        </w:r>
      </w:hyperlink>
    </w:p>
    <w:p w14:paraId="4DBB2F44" w14:textId="77777777" w:rsidR="0049063B" w:rsidRDefault="0049063B">
      <w:pPr>
        <w:spacing w:line="276" w:lineRule="auto"/>
        <w:ind w:right="-574"/>
        <w:rPr>
          <w:rFonts w:ascii="Open Sans Light" w:eastAsia="Open Sans Light" w:hAnsi="Open Sans Light" w:cs="Open Sans Light"/>
          <w:b/>
          <w:color w:val="303AB2"/>
          <w:sz w:val="16"/>
          <w:szCs w:val="16"/>
          <w:u w:val="single"/>
        </w:rPr>
      </w:pPr>
    </w:p>
    <w:p w14:paraId="211119DF" w14:textId="77777777" w:rsidR="0049063B" w:rsidRDefault="00000000">
      <w:pPr>
        <w:spacing w:line="276" w:lineRule="auto"/>
        <w:ind w:right="-574"/>
        <w:rPr>
          <w:rFonts w:ascii="Open Sans Light" w:eastAsia="Open Sans Light" w:hAnsi="Open Sans Light" w:cs="Open Sans Light"/>
          <w:color w:val="303AB2"/>
        </w:rPr>
      </w:pPr>
      <w:r>
        <w:rPr>
          <w:rFonts w:ascii="Open Sans Light" w:eastAsia="Open Sans Light" w:hAnsi="Open Sans Light" w:cs="Open Sans Light"/>
          <w:color w:val="303AB2"/>
        </w:rPr>
        <w:t>Madrid, 22 de febrero de 2023</w:t>
      </w:r>
    </w:p>
    <w:p w14:paraId="281A5582" w14:textId="77777777" w:rsidR="0049063B"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La rentabilidad de los garajes en España cierra el 2022 en un 7,5%, casi un punto menos que en 2021 (8,4%) y 1,7 punto más que hace 7 años (5,8% en 2015), según el estudio de </w:t>
      </w:r>
      <w:r>
        <w:rPr>
          <w:rFonts w:ascii="Open Sans" w:eastAsia="Open Sans" w:hAnsi="Open Sans" w:cs="Open Sans"/>
          <w:b/>
          <w:color w:val="000000"/>
          <w:sz w:val="22"/>
          <w:szCs w:val="22"/>
        </w:rPr>
        <w:t>“</w:t>
      </w:r>
      <w:r>
        <w:rPr>
          <w:rFonts w:ascii="Open Sans" w:eastAsia="Open Sans" w:hAnsi="Open Sans" w:cs="Open Sans"/>
          <w:b/>
          <w:i/>
          <w:color w:val="000000"/>
          <w:sz w:val="22"/>
          <w:szCs w:val="22"/>
        </w:rPr>
        <w:t>La rentabilidad de los garajes en España en 2022”,</w:t>
      </w:r>
      <w:r>
        <w:rPr>
          <w:rFonts w:ascii="Open Sans" w:eastAsia="Open Sans" w:hAnsi="Open Sans" w:cs="Open Sans"/>
          <w:color w:val="000000"/>
          <w:sz w:val="22"/>
          <w:szCs w:val="22"/>
        </w:rPr>
        <w:t xml:space="preserve"> basado en el análisis de los precios de los garajes en venta y alquiler de diciembre de 2022 por el portal inmobiliario </w:t>
      </w:r>
      <w:hyperlink r:id="rId10">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w:t>
      </w:r>
    </w:p>
    <w:p w14:paraId="154F195F" w14:textId="77777777" w:rsidR="0049063B" w:rsidRDefault="00000000">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30"/>
          <w:szCs w:val="30"/>
        </w:rPr>
      </w:pPr>
      <w:r>
        <w:rPr>
          <w:rFonts w:ascii="Open Sans Light" w:eastAsia="Open Sans Light" w:hAnsi="Open Sans Light" w:cs="Open Sans Light"/>
          <w:b/>
          <w:color w:val="303AB2"/>
          <w:sz w:val="30"/>
          <w:szCs w:val="30"/>
        </w:rPr>
        <w:t>Rentabilidad de los garajes en España</w:t>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drawing>
          <wp:inline distT="0" distB="0" distL="0" distR="0" wp14:anchorId="7E383116" wp14:editId="4CC00616">
            <wp:extent cx="5720486" cy="2443276"/>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8D0D62" w14:textId="77777777" w:rsidR="0049063B" w:rsidRDefault="0049063B">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highlight w:val="yellow"/>
        </w:rPr>
      </w:pPr>
    </w:p>
    <w:p w14:paraId="3C472119" w14:textId="72667F88" w:rsidR="0049063B"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sz w:val="22"/>
          <w:szCs w:val="22"/>
        </w:rPr>
        <w:lastRenderedPageBreak/>
        <w:t>“El 2022 cierra con la rentabilidad más baja del último lustro debido al aumento del precio de compra de una plaza de garaje. En el último año, el coste se ha incrementado un 14%, mientras que el precio del alquiler un 2,4% a nivel nacional. Sin embargo</w:t>
      </w:r>
      <w:r>
        <w:rPr>
          <w:rFonts w:ascii="Open Sans" w:eastAsia="Open Sans" w:hAnsi="Open Sans" w:cs="Open Sans"/>
          <w:color w:val="000000"/>
          <w:sz w:val="22"/>
          <w:szCs w:val="22"/>
        </w:rPr>
        <w:t xml:space="preserve">, </w:t>
      </w:r>
      <w:r>
        <w:rPr>
          <w:rFonts w:ascii="Open Sans" w:eastAsia="Open Sans" w:hAnsi="Open Sans" w:cs="Open Sans"/>
          <w:sz w:val="22"/>
          <w:szCs w:val="22"/>
        </w:rPr>
        <w:t>detectamos</w:t>
      </w:r>
      <w:r>
        <w:rPr>
          <w:rFonts w:ascii="Open Sans" w:eastAsia="Open Sans" w:hAnsi="Open Sans" w:cs="Open Sans"/>
          <w:color w:val="000000"/>
          <w:sz w:val="22"/>
          <w:szCs w:val="22"/>
        </w:rPr>
        <w:t xml:space="preserve"> como cada vez m</w:t>
      </w:r>
      <w:r>
        <w:rPr>
          <w:rFonts w:ascii="Open Sans" w:eastAsia="Open Sans" w:hAnsi="Open Sans" w:cs="Open Sans"/>
          <w:sz w:val="22"/>
          <w:szCs w:val="22"/>
        </w:rPr>
        <w:t>ás ahorradores particulares se decantan por esta opción, que requiere una inversión inicial muy reducida y el rendimiento obtenido sigue siendo el mayor del inmobiliario. También, porque una plaza de garaje incrementa el valor de un piso hasta un 7%, es lógico que la demanda aumente en un año de auténtico furor por la compra de vivienda. Además, este tipo de inversión suele focalizarse en periodos de incertidumbre económica como el actual, por ser percibida como de bajo riesgo y dar seguridad al inversor”, explica María Matos,</w:t>
      </w:r>
      <w:r>
        <w:rPr>
          <w:rFonts w:ascii="Open Sans" w:eastAsia="Open Sans" w:hAnsi="Open Sans" w:cs="Open Sans"/>
          <w:color w:val="000000"/>
          <w:sz w:val="22"/>
          <w:szCs w:val="22"/>
        </w:rPr>
        <w:t xml:space="preserve"> directora de Estudios y portavoz de </w:t>
      </w:r>
      <w:hyperlink r:id="rId12">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w:t>
      </w:r>
    </w:p>
    <w:p w14:paraId="0FCD9447" w14:textId="7645E4C6" w:rsidR="0049063B" w:rsidRPr="00715A20" w:rsidRDefault="00715A20" w:rsidP="005008EA">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b/>
          <w:bCs/>
          <w:color w:val="000000"/>
          <w:sz w:val="22"/>
          <w:szCs w:val="22"/>
        </w:rPr>
      </w:pPr>
      <w:hyperlink r:id="rId13" w:history="1">
        <w:r w:rsidRPr="00715A20">
          <w:rPr>
            <w:rStyle w:val="Hipervnculo"/>
            <w:rFonts w:ascii="Open Sans" w:eastAsia="Open Sans" w:hAnsi="Open Sans" w:cs="Open Sans"/>
            <w:b/>
            <w:bCs/>
            <w:sz w:val="22"/>
            <w:szCs w:val="22"/>
          </w:rPr>
          <w:t>Declaraciones de María Matos, directora de Estudios de Fotocasa</w:t>
        </w:r>
      </w:hyperlink>
    </w:p>
    <w:p w14:paraId="5CBE1340" w14:textId="77777777" w:rsidR="0049063B" w:rsidRDefault="00000000">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r>
        <w:rPr>
          <w:rFonts w:ascii="Times New Roman" w:eastAsia="Times New Roman" w:hAnsi="Times New Roman" w:cs="Times New Roman"/>
          <w:noProof/>
          <w:color w:val="000000"/>
        </w:rPr>
        <w:drawing>
          <wp:inline distT="0" distB="0" distL="0" distR="0" wp14:anchorId="7DB665D0" wp14:editId="44874A17">
            <wp:extent cx="5891772" cy="3065136"/>
            <wp:effectExtent l="0" t="0" r="0" b="2540"/>
            <wp:docPr id="18" name="image3.jpg" descr="Mujer con playera de color azul&#10;&#10;Descripción generada automáticamente con confianza media">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8" name="image3.jpg" descr="Mujer con playera de color azul&#10;&#10;Descripción generada automáticamente con confianza media">
                      <a:hlinkClick r:id="rId9"/>
                    </pic:cNvPr>
                    <pic:cNvPicPr preferRelativeResize="0"/>
                  </pic:nvPicPr>
                  <pic:blipFill>
                    <a:blip r:embed="rId14"/>
                    <a:srcRect/>
                    <a:stretch>
                      <a:fillRect/>
                    </a:stretch>
                  </pic:blipFill>
                  <pic:spPr>
                    <a:xfrm>
                      <a:off x="0" y="0"/>
                      <a:ext cx="5891772" cy="3065136"/>
                    </a:xfrm>
                    <a:prstGeom prst="rect">
                      <a:avLst/>
                    </a:prstGeom>
                    <a:ln/>
                  </pic:spPr>
                </pic:pic>
              </a:graphicData>
            </a:graphic>
          </wp:inline>
        </w:drawing>
      </w:r>
    </w:p>
    <w:p w14:paraId="1B46A4C0" w14:textId="77777777" w:rsidR="0049063B" w:rsidRDefault="00000000">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Comunidad Autónoma</w:t>
      </w:r>
    </w:p>
    <w:p w14:paraId="002B2642" w14:textId="77777777" w:rsidR="0049063B"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Siete de las comunidades tiene una rentabilidad igual o por encima de la media española (7,5%) y son: Región de Murcia (10,0%), Castilla-La Mancha (8,4%), Comunitat Valenciana (8,3%), Baleares (8,0%), Navarra (7,9%), Cataluña (7,6%) y Andalucía (7,5%). Por otro lado, las comunicades con rentabilidad por debajo de la media española son:</w:t>
      </w:r>
      <w:r>
        <w:rPr>
          <w:rFonts w:ascii="Times New Roman" w:eastAsia="Times New Roman" w:hAnsi="Times New Roman" w:cs="Times New Roman"/>
          <w:color w:val="000000"/>
        </w:rPr>
        <w:t xml:space="preserve"> </w:t>
      </w:r>
      <w:r>
        <w:rPr>
          <w:rFonts w:ascii="Open Sans" w:eastAsia="Open Sans" w:hAnsi="Open Sans" w:cs="Open Sans"/>
          <w:color w:val="000000"/>
          <w:sz w:val="22"/>
          <w:szCs w:val="22"/>
        </w:rPr>
        <w:t>Madrid (7,3%), Canarias (7,2%), Aragón (6,8%), La Rioja (6,6%), Cantabria (6,6%), Extremadura (6,2%), Asturias (6,1%), Castilla y León (6,0%), Galicia (5,2%) y País Vasco (5,0%).</w:t>
      </w:r>
    </w:p>
    <w:p w14:paraId="1267678E" w14:textId="77777777" w:rsidR="0049063B" w:rsidRDefault="00000000">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30"/>
          <w:szCs w:val="30"/>
        </w:rPr>
      </w:pPr>
      <w:r>
        <w:rPr>
          <w:rFonts w:ascii="Open Sans Light" w:eastAsia="Open Sans Light" w:hAnsi="Open Sans Light" w:cs="Open Sans Light"/>
          <w:b/>
          <w:color w:val="303AB2"/>
          <w:sz w:val="30"/>
          <w:szCs w:val="30"/>
        </w:rPr>
        <w:lastRenderedPageBreak/>
        <w:t xml:space="preserve">Gráfica - Rentabilidad de los garajes por CCAA en 2022 </w:t>
      </w:r>
      <w:r>
        <w:rPr>
          <w:rFonts w:ascii="Times New Roman" w:eastAsia="Times New Roman" w:hAnsi="Times New Roman" w:cs="Times New Roman"/>
          <w:noProof/>
          <w:color w:val="000000"/>
        </w:rPr>
        <w:drawing>
          <wp:inline distT="0" distB="0" distL="0" distR="0" wp14:anchorId="3CCEE606" wp14:editId="685B372A">
            <wp:extent cx="5613621" cy="2419958"/>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FC6132" w14:textId="77777777" w:rsidR="0049063B"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Open Sans Light" w:eastAsia="Open Sans Light" w:hAnsi="Open Sans Light" w:cs="Open Sans Light"/>
          <w:b/>
          <w:color w:val="303AB2"/>
          <w:sz w:val="30"/>
          <w:szCs w:val="30"/>
        </w:rPr>
        <w:t>Mapa - Rentabilidad de los garajes por CCAA en 2022</w:t>
      </w:r>
    </w:p>
    <w:p w14:paraId="24297C43" w14:textId="77777777" w:rsidR="0049063B" w:rsidRDefault="00000000">
      <w:pPr>
        <w:pBdr>
          <w:top w:val="nil"/>
          <w:left w:val="nil"/>
          <w:bottom w:val="nil"/>
          <w:right w:val="nil"/>
          <w:between w:val="nil"/>
        </w:pBdr>
        <w:shd w:val="clear" w:color="auto" w:fill="FFFFFF"/>
        <w:spacing w:before="280" w:after="280" w:line="276" w:lineRule="auto"/>
        <w:ind w:right="-574"/>
        <w:jc w:val="center"/>
        <w:rPr>
          <w:rFonts w:ascii="Open Sans" w:eastAsia="Open Sans" w:hAnsi="Open Sans" w:cs="Open Sans"/>
          <w:color w:val="000000"/>
          <w:sz w:val="22"/>
          <w:szCs w:val="22"/>
        </w:rPr>
      </w:pPr>
      <w:r>
        <w:rPr>
          <w:rFonts w:ascii="Times New Roman" w:eastAsia="Times New Roman" w:hAnsi="Times New Roman" w:cs="Times New Roman"/>
          <w:noProof/>
          <w:color w:val="000000"/>
        </w:rPr>
        <w:drawing>
          <wp:inline distT="0" distB="0" distL="0" distR="0" wp14:anchorId="0E602EF0" wp14:editId="1AF55726">
            <wp:extent cx="4625431" cy="187959"/>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625431" cy="187959"/>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drawing>
          <wp:inline distT="0" distB="0" distL="0" distR="0" wp14:anchorId="511D1BDA" wp14:editId="64C26C3C">
            <wp:extent cx="5396230" cy="3702050"/>
            <wp:effectExtent l="0" t="0" r="0" b="0"/>
            <wp:docPr id="20" name="image5.pn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5.png" descr="Gráfico&#10;&#10;Descripción generada automáticamente con confianza media"/>
                    <pic:cNvPicPr preferRelativeResize="0"/>
                  </pic:nvPicPr>
                  <pic:blipFill>
                    <a:blip r:embed="rId17"/>
                    <a:srcRect/>
                    <a:stretch>
                      <a:fillRect/>
                    </a:stretch>
                  </pic:blipFill>
                  <pic:spPr>
                    <a:xfrm>
                      <a:off x="0" y="0"/>
                      <a:ext cx="5396230" cy="3702050"/>
                    </a:xfrm>
                    <a:prstGeom prst="rect">
                      <a:avLst/>
                    </a:prstGeom>
                    <a:ln/>
                  </pic:spPr>
                </pic:pic>
              </a:graphicData>
            </a:graphic>
          </wp:inline>
        </w:drawing>
      </w:r>
    </w:p>
    <w:p w14:paraId="6690CBC3" w14:textId="77777777" w:rsidR="0049063B" w:rsidRDefault="0049063B">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sz w:val="28"/>
          <w:szCs w:val="28"/>
        </w:rPr>
      </w:pPr>
    </w:p>
    <w:p w14:paraId="5BE5E53C" w14:textId="77777777" w:rsidR="0049063B" w:rsidRDefault="0049063B">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sz w:val="28"/>
          <w:szCs w:val="28"/>
        </w:rPr>
      </w:pPr>
    </w:p>
    <w:p w14:paraId="1D981022" w14:textId="77777777" w:rsidR="0049063B" w:rsidRDefault="00000000">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lastRenderedPageBreak/>
        <w:t>Mapa comparativo de la rentabilidad en España por CCAA (2017, 2021 y 2022)</w:t>
      </w:r>
    </w:p>
    <w:p w14:paraId="6DAF99F4" w14:textId="77777777" w:rsidR="0049063B" w:rsidRDefault="00000000">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28"/>
          <w:szCs w:val="28"/>
        </w:rPr>
      </w:pPr>
      <w:r>
        <w:rPr>
          <w:rFonts w:ascii="Times New Roman" w:eastAsia="Times New Roman" w:hAnsi="Times New Roman" w:cs="Times New Roman"/>
          <w:noProof/>
          <w:color w:val="000000"/>
        </w:rPr>
        <w:drawing>
          <wp:inline distT="0" distB="0" distL="0" distR="0" wp14:anchorId="11BF252C" wp14:editId="6D01C79F">
            <wp:extent cx="4376561" cy="177845"/>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376561" cy="177845"/>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78541944" wp14:editId="4D5A454E">
            <wp:simplePos x="0" y="0"/>
            <wp:positionH relativeFrom="column">
              <wp:posOffset>-134231</wp:posOffset>
            </wp:positionH>
            <wp:positionV relativeFrom="paragraph">
              <wp:posOffset>228682</wp:posOffset>
            </wp:positionV>
            <wp:extent cx="6206356" cy="1622066"/>
            <wp:effectExtent l="0" t="0" r="0" b="0"/>
            <wp:wrapSquare wrapText="bothSides" distT="0" distB="0" distL="114300" distR="114300"/>
            <wp:docPr id="22" name="image6.pn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Mapa&#10;&#10;Descripción generada automáticamente"/>
                    <pic:cNvPicPr preferRelativeResize="0"/>
                  </pic:nvPicPr>
                  <pic:blipFill>
                    <a:blip r:embed="rId18"/>
                    <a:srcRect/>
                    <a:stretch>
                      <a:fillRect/>
                    </a:stretch>
                  </pic:blipFill>
                  <pic:spPr>
                    <a:xfrm>
                      <a:off x="0" y="0"/>
                      <a:ext cx="6206356" cy="1622066"/>
                    </a:xfrm>
                    <a:prstGeom prst="rect">
                      <a:avLst/>
                    </a:prstGeom>
                    <a:ln/>
                  </pic:spPr>
                </pic:pic>
              </a:graphicData>
            </a:graphic>
          </wp:anchor>
        </w:drawing>
      </w:r>
    </w:p>
    <w:p w14:paraId="04B208ED" w14:textId="77777777" w:rsidR="0049063B" w:rsidRDefault="0049063B">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sz w:val="28"/>
          <w:szCs w:val="28"/>
        </w:rPr>
      </w:pPr>
    </w:p>
    <w:p w14:paraId="3D0D1323" w14:textId="77777777" w:rsidR="0049063B"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 xml:space="preserve">Por provincias </w:t>
      </w:r>
    </w:p>
    <w:p w14:paraId="39A3F18B" w14:textId="77777777" w:rsidR="0049063B"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36% de las 39 provincias analizadas tienen una rentabilidad superior a la media española (7,5%). Las provincias más rentables en 2022 y que están por encima de la media son: Sevilla (11,4%), Toledo (11,0%), Almería (10,6%), Murcia (10,0%), León (9,6%), Castellón (9,5%), Alicante (8,6%), Las Palmas (8,2%), Tarragona (8,1%), Illes Balears (8,0%), Navarra (7,9%), Lleida (7,9%), Valencia (7,5%) y Málaga (7,5%). </w:t>
      </w:r>
    </w:p>
    <w:p w14:paraId="61763471" w14:textId="77777777" w:rsidR="0049063B"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El resto de las provincias que se encuentran por debajo de la media rentable de España son y ordenados de menor a mayor son:</w:t>
      </w:r>
      <w:r>
        <w:rPr>
          <w:rFonts w:ascii="Times New Roman" w:eastAsia="Times New Roman" w:hAnsi="Times New Roman" w:cs="Times New Roman"/>
          <w:color w:val="000000"/>
        </w:rPr>
        <w:t xml:space="preserve"> </w:t>
      </w:r>
      <w:r>
        <w:rPr>
          <w:rFonts w:ascii="Open Sans" w:eastAsia="Open Sans" w:hAnsi="Open Sans" w:cs="Open Sans"/>
          <w:color w:val="000000"/>
          <w:sz w:val="22"/>
          <w:szCs w:val="22"/>
        </w:rPr>
        <w:t>Madrid (7,3%), Barcelona (7,2%), Ciudad Real (7,2%), Zaragoza (7,0%), Cádiz (6,8%), La Rioja (6,6%), Cantabria (6,6%), Badajoz (6,5%), Girona (6,4%), Valladolid (6,4%), A Coruña (6,2%), Asturias (6,1%), Santa Cruz de Tenerife (6,1%), Cáceres (6,0%), Jaén (5,8%), Albacete (5,8%), Córdoba (5,5%), Gipuzkoa (5,4%), Burgos (5,2%), Salamanca (5,1%), Granada (4,9%), Bizkaia (4,8%), Pontevedra (4,7%), Araba - Álava (4,0%) y Ourense (3,3%).</w:t>
      </w:r>
    </w:p>
    <w:p w14:paraId="0EC6AFD1" w14:textId="77777777" w:rsidR="0049063B"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municipios</w:t>
      </w:r>
    </w:p>
    <w:p w14:paraId="77539374" w14:textId="77777777" w:rsidR="0049063B" w:rsidRDefault="00000000">
      <w:pPr>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solo tres ciudades españolas la rentabilidad de los garajes es igual o está por encima de la media de España en el año 2022 y son Sevilla capital (11%), Murcia capital (9,9%) y Castellón de la Plana / Castelló de la Plana (8,7%) de rentabilidad en los garajes.  </w:t>
      </w:r>
    </w:p>
    <w:p w14:paraId="5C4CC1A0" w14:textId="77777777" w:rsidR="0049063B"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resto de las ciudades que se encuentran por debajo de la rentabilidad de la media de España (7,5%) son: Palma de Mallorca (7,2%), Alcorcón (7,0%), Badalona (6,9%), Lleida (6,8%), L'Hospitalet de Llobregat (6,8%), Alcalá de Henares (6,7%), Terrassa (6,6%), Sabadell (6,6%), Sant Cugat del Vallès (6,5%), Las Palmas de Gran Canaria (6,5%), Reus (6,5%), Zaragoza (6,4%), Getafe (6,2%), Barcelona (6,2%), Cornellà de Llobregat (6,2%), Pamplona / </w:t>
      </w:r>
      <w:r>
        <w:rPr>
          <w:rFonts w:ascii="Open Sans" w:eastAsia="Open Sans" w:hAnsi="Open Sans" w:cs="Open Sans"/>
          <w:color w:val="000000"/>
          <w:sz w:val="22"/>
          <w:szCs w:val="22"/>
        </w:rPr>
        <w:lastRenderedPageBreak/>
        <w:t>Iruña (6,2%), Mataró (6,0%), Madrid (6,0%), Manresa (5,8%), Gijón (5,8%), Tarragona (5,7%), Málaga (5,7%), Esplugues de Llobregat (5,7%), Girona (5,5%), Valencia (5,5%), Alicante / Alacant (5,4%), Valladolid (5,3%), Burgos (5,3%), Donostia - San Sebastián (5,2%), Santander (5,1%), Logroño (5,1%), Oviedo (5,0%), Cáceres (5,0%), Bilbao (5,0%), Vic (5,0%), Córdoba (5,0%), Albacete (4,9%), A Coruña (4,8%), Badajoz (4,4%), Vigo (4,0%), Vitoria - Gasteiz (3,8%), Santiago de Compostela (3,7%), Granada (3,6%), Salamanca (3,5%), Ourense (3,2%).</w:t>
      </w:r>
    </w:p>
    <w:p w14:paraId="07ACF3F7" w14:textId="77777777" w:rsidR="0049063B"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distritos</w:t>
      </w:r>
    </w:p>
    <w:p w14:paraId="1118003C" w14:textId="77777777" w:rsidR="0049063B"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b/>
          <w:color w:val="000000"/>
          <w:sz w:val="22"/>
          <w:szCs w:val="22"/>
        </w:rPr>
        <w:t>En cuanto a Madrid capital</w:t>
      </w:r>
      <w:r>
        <w:rPr>
          <w:rFonts w:ascii="Open Sans" w:eastAsia="Open Sans" w:hAnsi="Open Sans" w:cs="Open Sans"/>
          <w:color w:val="000000"/>
          <w:sz w:val="22"/>
          <w:szCs w:val="22"/>
        </w:rPr>
        <w:t>, los distritos con los garajes más rentables en 2022 son San Blas y Moncloa – Aravaca con 7,2%, cada una. Le siguen, Retiro (5,7%), Barrio de Salamanca (5,6%), Chamartín (5,2%), Fuencarral - El Pardo (5,1%), Centro (5,0%), Tetuán (4,9%), Hortaleza (4,6%), Ciudad Lineal (4,6%), Chamberí (4,5%) y Arganzuela (4,4%).</w:t>
      </w:r>
    </w:p>
    <w:p w14:paraId="60CDA56F" w14:textId="61376B22" w:rsidR="0049063B"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b/>
          <w:color w:val="000000"/>
          <w:sz w:val="22"/>
          <w:szCs w:val="22"/>
        </w:rPr>
        <w:t>En cuanto a Barcelona capital</w:t>
      </w:r>
      <w:r>
        <w:rPr>
          <w:rFonts w:ascii="Open Sans" w:eastAsia="Open Sans" w:hAnsi="Open Sans" w:cs="Open Sans"/>
          <w:color w:val="000000"/>
          <w:sz w:val="22"/>
          <w:szCs w:val="22"/>
        </w:rPr>
        <w:t>, el distrito con los garajes más rentable en 2022 es Horta - Guinardó con un 6,8%. Le siguen,</w:t>
      </w:r>
      <w:r>
        <w:rPr>
          <w:rFonts w:ascii="Times New Roman" w:eastAsia="Times New Roman" w:hAnsi="Times New Roman" w:cs="Times New Roman"/>
          <w:color w:val="000000"/>
        </w:rPr>
        <w:t xml:space="preserve"> </w:t>
      </w:r>
      <w:r>
        <w:rPr>
          <w:rFonts w:ascii="Open Sans" w:eastAsia="Open Sans" w:hAnsi="Open Sans" w:cs="Open Sans"/>
          <w:color w:val="000000"/>
          <w:sz w:val="22"/>
          <w:szCs w:val="22"/>
        </w:rPr>
        <w:t xml:space="preserve">Sants - Montjuïc (6,5%), Eixample (6,3%), Sarrià - Sant Gervasi (6,1%), Nou Barris (6,1%), Les Corts (6,1%), </w:t>
      </w:r>
      <w:proofErr w:type="spellStart"/>
      <w:r>
        <w:rPr>
          <w:rFonts w:ascii="Open Sans" w:eastAsia="Open Sans" w:hAnsi="Open Sans" w:cs="Open Sans"/>
          <w:color w:val="000000"/>
          <w:sz w:val="22"/>
          <w:szCs w:val="22"/>
        </w:rPr>
        <w:t>Ciutat</w:t>
      </w:r>
      <w:proofErr w:type="spellEnd"/>
      <w:r>
        <w:rPr>
          <w:rFonts w:ascii="Open Sans" w:eastAsia="Open Sans" w:hAnsi="Open Sans" w:cs="Open Sans"/>
          <w:color w:val="000000"/>
          <w:sz w:val="22"/>
          <w:szCs w:val="22"/>
        </w:rPr>
        <w:t xml:space="preserve"> Vella (6,0%), Sant Martí (6,0%), Sant Andreu (5,8%) y Gràcia (5,6%).</w:t>
      </w:r>
    </w:p>
    <w:p w14:paraId="2615D264" w14:textId="2E351468"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455C9799" w14:textId="0C309CCE"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3FFC449B" w14:textId="4BE0C9DF"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09AD4881" w14:textId="57C34432"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791C0901" w14:textId="43925935"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60752B2E" w14:textId="0A067741"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3519AF89" w14:textId="356FFA14"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23D9ACE8" w14:textId="70CAF960"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35CDC173" w14:textId="31833012"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10D7ED78" w14:textId="46BDE0A5"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7D6001CA" w14:textId="67319924"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74CCF688" w14:textId="77777777" w:rsidR="00715A20" w:rsidRDefault="00715A2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p>
    <w:p w14:paraId="4C507089" w14:textId="77777777" w:rsidR="0049063B" w:rsidRDefault="00000000">
      <w:pPr>
        <w:pBdr>
          <w:top w:val="nil"/>
          <w:left w:val="nil"/>
          <w:bottom w:val="nil"/>
          <w:right w:val="nil"/>
          <w:between w:val="nil"/>
        </w:pBdr>
        <w:shd w:val="clear" w:color="auto" w:fill="FFFFFF"/>
        <w:spacing w:before="280" w:after="280" w:line="276" w:lineRule="auto"/>
        <w:ind w:right="-574" w:hanging="142"/>
        <w:rPr>
          <w:rFonts w:ascii="Open Sans Light" w:eastAsia="Open Sans Light" w:hAnsi="Open Sans Light" w:cs="Open Sans Light"/>
          <w:b/>
          <w:color w:val="303AB2"/>
        </w:rPr>
      </w:pPr>
      <w:bookmarkStart w:id="2" w:name="_heading=h.1fob9te" w:colFirst="0" w:colLast="0"/>
      <w:bookmarkEnd w:id="2"/>
      <w:r>
        <w:rPr>
          <w:rFonts w:ascii="Open Sans Light" w:eastAsia="Open Sans Light" w:hAnsi="Open Sans Light" w:cs="Open Sans Light"/>
          <w:b/>
          <w:color w:val="303AB2"/>
        </w:rPr>
        <w:lastRenderedPageBreak/>
        <w:t>Tablas:</w:t>
      </w:r>
    </w:p>
    <w:p w14:paraId="44FA101C" w14:textId="77777777" w:rsidR="0049063B" w:rsidRDefault="00000000">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t>Tabla 1. Rentabilidad de los garajes por CCAA (comparativa 2017, 2021 y 2022)</w:t>
      </w:r>
    </w:p>
    <w:tbl>
      <w:tblPr>
        <w:tblStyle w:val="a"/>
        <w:tblW w:w="909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081"/>
        <w:gridCol w:w="1969"/>
        <w:gridCol w:w="1737"/>
        <w:gridCol w:w="1737"/>
        <w:gridCol w:w="1568"/>
      </w:tblGrid>
      <w:tr w:rsidR="0049063B" w14:paraId="77B7E6AF" w14:textId="77777777">
        <w:trPr>
          <w:trHeight w:val="440"/>
        </w:trPr>
        <w:tc>
          <w:tcPr>
            <w:tcW w:w="2081" w:type="dxa"/>
            <w:tcBorders>
              <w:top w:val="single" w:sz="4" w:space="0" w:color="FFFFFF"/>
              <w:left w:val="single" w:sz="4" w:space="0" w:color="FFFFFF"/>
              <w:right w:val="nil"/>
            </w:tcBorders>
            <w:shd w:val="clear" w:color="auto" w:fill="4472C4"/>
            <w:vAlign w:val="center"/>
          </w:tcPr>
          <w:p w14:paraId="4848E1EE"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Comunidades Autónomas</w:t>
            </w:r>
          </w:p>
        </w:tc>
        <w:tc>
          <w:tcPr>
            <w:tcW w:w="1969" w:type="dxa"/>
            <w:tcBorders>
              <w:top w:val="single" w:sz="4" w:space="0" w:color="FFFFFF"/>
              <w:left w:val="nil"/>
              <w:right w:val="nil"/>
            </w:tcBorders>
            <w:shd w:val="clear" w:color="auto" w:fill="4472C4"/>
            <w:vAlign w:val="center"/>
          </w:tcPr>
          <w:p w14:paraId="2F10468C"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1E6F2F98"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2017</w:t>
            </w:r>
          </w:p>
          <w:p w14:paraId="2A819FAE"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(7 años)</w:t>
            </w:r>
          </w:p>
        </w:tc>
        <w:tc>
          <w:tcPr>
            <w:tcW w:w="1737" w:type="dxa"/>
            <w:tcBorders>
              <w:top w:val="single" w:sz="4" w:space="0" w:color="FFFFFF"/>
              <w:left w:val="nil"/>
              <w:right w:val="nil"/>
            </w:tcBorders>
            <w:shd w:val="clear" w:color="auto" w:fill="4472C4"/>
          </w:tcPr>
          <w:p w14:paraId="49D7984C"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6EFA7D63"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2015</w:t>
            </w:r>
          </w:p>
          <w:p w14:paraId="1AA940BE"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(5 años)</w:t>
            </w:r>
          </w:p>
        </w:tc>
        <w:tc>
          <w:tcPr>
            <w:tcW w:w="1737" w:type="dxa"/>
            <w:tcBorders>
              <w:top w:val="single" w:sz="4" w:space="0" w:color="FFFFFF"/>
              <w:left w:val="nil"/>
              <w:right w:val="nil"/>
            </w:tcBorders>
            <w:shd w:val="clear" w:color="auto" w:fill="4472C4"/>
            <w:vAlign w:val="center"/>
          </w:tcPr>
          <w:p w14:paraId="6A258393"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3C359457"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2021</w:t>
            </w:r>
          </w:p>
          <w:p w14:paraId="6E88A3B2" w14:textId="77777777" w:rsidR="0049063B" w:rsidRDefault="00000000">
            <w:pPr>
              <w:pBdr>
                <w:top w:val="nil"/>
                <w:left w:val="nil"/>
                <w:bottom w:val="nil"/>
                <w:right w:val="nil"/>
                <w:between w:val="nil"/>
              </w:pBdr>
              <w:jc w:val="center"/>
              <w:rPr>
                <w:rFonts w:ascii="Open Sans" w:eastAsia="Open Sans" w:hAnsi="Open Sans" w:cs="Open Sans"/>
                <w:i/>
                <w:color w:val="FFFFFF"/>
                <w:sz w:val="22"/>
                <w:szCs w:val="22"/>
              </w:rPr>
            </w:pPr>
            <w:r>
              <w:rPr>
                <w:rFonts w:ascii="Open Sans" w:eastAsia="Open Sans" w:hAnsi="Open Sans" w:cs="Open Sans"/>
                <w:color w:val="FFFFFF"/>
                <w:sz w:val="22"/>
                <w:szCs w:val="22"/>
              </w:rPr>
              <w:t>(1 año)</w:t>
            </w:r>
          </w:p>
        </w:tc>
        <w:tc>
          <w:tcPr>
            <w:tcW w:w="1568" w:type="dxa"/>
            <w:tcBorders>
              <w:top w:val="single" w:sz="4" w:space="0" w:color="FFFFFF"/>
              <w:left w:val="nil"/>
              <w:right w:val="nil"/>
            </w:tcBorders>
            <w:shd w:val="clear" w:color="auto" w:fill="4472C4"/>
            <w:vAlign w:val="center"/>
          </w:tcPr>
          <w:p w14:paraId="0AFCD88E"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Rentabilidad</w:t>
            </w:r>
          </w:p>
          <w:p w14:paraId="210C80DA" w14:textId="77777777" w:rsidR="0049063B" w:rsidRDefault="00000000">
            <w:pPr>
              <w:pBdr>
                <w:top w:val="nil"/>
                <w:left w:val="nil"/>
                <w:bottom w:val="nil"/>
                <w:right w:val="nil"/>
                <w:between w:val="nil"/>
              </w:pBdr>
              <w:jc w:val="center"/>
              <w:rPr>
                <w:rFonts w:ascii="Open Sans" w:eastAsia="Open Sans" w:hAnsi="Open Sans" w:cs="Open Sans"/>
                <w:color w:val="FFFFFF"/>
                <w:sz w:val="22"/>
                <w:szCs w:val="22"/>
              </w:rPr>
            </w:pPr>
            <w:r>
              <w:rPr>
                <w:rFonts w:ascii="Open Sans" w:eastAsia="Open Sans" w:hAnsi="Open Sans" w:cs="Open Sans"/>
                <w:color w:val="FFFFFF"/>
                <w:sz w:val="22"/>
                <w:szCs w:val="22"/>
              </w:rPr>
              <w:t>2022</w:t>
            </w:r>
          </w:p>
        </w:tc>
      </w:tr>
      <w:tr w:rsidR="0049063B" w14:paraId="795CAEEF" w14:textId="77777777">
        <w:trPr>
          <w:trHeight w:val="217"/>
        </w:trPr>
        <w:tc>
          <w:tcPr>
            <w:tcW w:w="2081" w:type="dxa"/>
            <w:tcBorders>
              <w:left w:val="single" w:sz="4" w:space="0" w:color="FFFFFF"/>
            </w:tcBorders>
            <w:shd w:val="clear" w:color="auto" w:fill="4472C4"/>
            <w:vAlign w:val="bottom"/>
          </w:tcPr>
          <w:p w14:paraId="6519D051"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Región de Murcia</w:t>
            </w:r>
          </w:p>
        </w:tc>
        <w:tc>
          <w:tcPr>
            <w:tcW w:w="1969" w:type="dxa"/>
            <w:shd w:val="clear" w:color="auto" w:fill="B4C6E7"/>
            <w:vAlign w:val="bottom"/>
          </w:tcPr>
          <w:p w14:paraId="2A59A04C"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6,4%</w:t>
            </w:r>
          </w:p>
        </w:tc>
        <w:tc>
          <w:tcPr>
            <w:tcW w:w="1737" w:type="dxa"/>
            <w:shd w:val="clear" w:color="auto" w:fill="B4C6E7"/>
            <w:vAlign w:val="bottom"/>
          </w:tcPr>
          <w:p w14:paraId="4B675A87"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8,0%</w:t>
            </w:r>
          </w:p>
        </w:tc>
        <w:tc>
          <w:tcPr>
            <w:tcW w:w="1737" w:type="dxa"/>
            <w:shd w:val="clear" w:color="auto" w:fill="B4C6E7"/>
            <w:vAlign w:val="bottom"/>
          </w:tcPr>
          <w:p w14:paraId="5708BB7E"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10,9%</w:t>
            </w:r>
          </w:p>
        </w:tc>
        <w:tc>
          <w:tcPr>
            <w:tcW w:w="1568" w:type="dxa"/>
            <w:shd w:val="clear" w:color="auto" w:fill="B4C6E7"/>
            <w:vAlign w:val="bottom"/>
          </w:tcPr>
          <w:p w14:paraId="050DB16F"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10,0%</w:t>
            </w:r>
          </w:p>
        </w:tc>
      </w:tr>
      <w:tr w:rsidR="0049063B" w14:paraId="211A273C" w14:textId="77777777">
        <w:trPr>
          <w:trHeight w:val="217"/>
        </w:trPr>
        <w:tc>
          <w:tcPr>
            <w:tcW w:w="2081" w:type="dxa"/>
            <w:tcBorders>
              <w:left w:val="single" w:sz="4" w:space="0" w:color="FFFFFF"/>
            </w:tcBorders>
            <w:shd w:val="clear" w:color="auto" w:fill="4472C4"/>
            <w:vAlign w:val="bottom"/>
          </w:tcPr>
          <w:p w14:paraId="73B00F31"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Castilla-La Mancha</w:t>
            </w:r>
          </w:p>
        </w:tc>
        <w:tc>
          <w:tcPr>
            <w:tcW w:w="1969" w:type="dxa"/>
            <w:shd w:val="clear" w:color="auto" w:fill="D9E2F3"/>
            <w:vAlign w:val="bottom"/>
          </w:tcPr>
          <w:p w14:paraId="4443BB1E"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737" w:type="dxa"/>
            <w:shd w:val="clear" w:color="auto" w:fill="D9E2F3"/>
            <w:vAlign w:val="bottom"/>
          </w:tcPr>
          <w:p w14:paraId="756E5286"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7,7%</w:t>
            </w:r>
          </w:p>
        </w:tc>
        <w:tc>
          <w:tcPr>
            <w:tcW w:w="1737" w:type="dxa"/>
            <w:shd w:val="clear" w:color="auto" w:fill="D9E2F3"/>
            <w:vAlign w:val="bottom"/>
          </w:tcPr>
          <w:p w14:paraId="2460DCB6"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7,7%</w:t>
            </w:r>
          </w:p>
        </w:tc>
        <w:tc>
          <w:tcPr>
            <w:tcW w:w="1568" w:type="dxa"/>
            <w:shd w:val="clear" w:color="auto" w:fill="D9E2F3"/>
            <w:vAlign w:val="bottom"/>
          </w:tcPr>
          <w:p w14:paraId="32FFF9AD"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8,4%</w:t>
            </w:r>
          </w:p>
        </w:tc>
      </w:tr>
      <w:tr w:rsidR="0049063B" w14:paraId="3930F258" w14:textId="77777777">
        <w:trPr>
          <w:trHeight w:val="229"/>
        </w:trPr>
        <w:tc>
          <w:tcPr>
            <w:tcW w:w="2081" w:type="dxa"/>
            <w:tcBorders>
              <w:left w:val="single" w:sz="4" w:space="0" w:color="FFFFFF"/>
            </w:tcBorders>
            <w:shd w:val="clear" w:color="auto" w:fill="4472C4"/>
            <w:vAlign w:val="bottom"/>
          </w:tcPr>
          <w:p w14:paraId="035FE3EB"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Comunitat Valenciana</w:t>
            </w:r>
          </w:p>
        </w:tc>
        <w:tc>
          <w:tcPr>
            <w:tcW w:w="1969" w:type="dxa"/>
            <w:shd w:val="clear" w:color="auto" w:fill="B4C6E7"/>
            <w:vAlign w:val="bottom"/>
          </w:tcPr>
          <w:p w14:paraId="10B76DEA"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737" w:type="dxa"/>
            <w:shd w:val="clear" w:color="auto" w:fill="B4C6E7"/>
            <w:vAlign w:val="bottom"/>
          </w:tcPr>
          <w:p w14:paraId="68005EAE"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6,8%</w:t>
            </w:r>
          </w:p>
        </w:tc>
        <w:tc>
          <w:tcPr>
            <w:tcW w:w="1737" w:type="dxa"/>
            <w:shd w:val="clear" w:color="auto" w:fill="B4C6E7"/>
            <w:vAlign w:val="bottom"/>
          </w:tcPr>
          <w:p w14:paraId="713D2DA6"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9,4%</w:t>
            </w:r>
          </w:p>
        </w:tc>
        <w:tc>
          <w:tcPr>
            <w:tcW w:w="1568" w:type="dxa"/>
            <w:shd w:val="clear" w:color="auto" w:fill="B4C6E7"/>
            <w:vAlign w:val="bottom"/>
          </w:tcPr>
          <w:p w14:paraId="530D1D7C"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8,3%</w:t>
            </w:r>
          </w:p>
        </w:tc>
      </w:tr>
      <w:tr w:rsidR="0049063B" w14:paraId="23F321FC" w14:textId="77777777">
        <w:trPr>
          <w:trHeight w:val="217"/>
        </w:trPr>
        <w:tc>
          <w:tcPr>
            <w:tcW w:w="2081" w:type="dxa"/>
            <w:tcBorders>
              <w:left w:val="single" w:sz="4" w:space="0" w:color="FFFFFF"/>
            </w:tcBorders>
            <w:shd w:val="clear" w:color="auto" w:fill="4472C4"/>
            <w:vAlign w:val="bottom"/>
          </w:tcPr>
          <w:p w14:paraId="25CDDAB5"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Baleares</w:t>
            </w:r>
          </w:p>
        </w:tc>
        <w:tc>
          <w:tcPr>
            <w:tcW w:w="1969" w:type="dxa"/>
            <w:shd w:val="clear" w:color="auto" w:fill="D9E2F3"/>
            <w:vAlign w:val="bottom"/>
          </w:tcPr>
          <w:p w14:paraId="654C2931"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6,6%</w:t>
            </w:r>
          </w:p>
        </w:tc>
        <w:tc>
          <w:tcPr>
            <w:tcW w:w="1737" w:type="dxa"/>
            <w:shd w:val="clear" w:color="auto" w:fill="D9E2F3"/>
            <w:vAlign w:val="bottom"/>
          </w:tcPr>
          <w:p w14:paraId="35D53C08"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6,2%</w:t>
            </w:r>
          </w:p>
        </w:tc>
        <w:tc>
          <w:tcPr>
            <w:tcW w:w="1737" w:type="dxa"/>
            <w:shd w:val="clear" w:color="auto" w:fill="D9E2F3"/>
            <w:vAlign w:val="bottom"/>
          </w:tcPr>
          <w:p w14:paraId="506CC2B7"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8,4%</w:t>
            </w:r>
          </w:p>
        </w:tc>
        <w:tc>
          <w:tcPr>
            <w:tcW w:w="1568" w:type="dxa"/>
            <w:shd w:val="clear" w:color="auto" w:fill="D9E2F3"/>
            <w:vAlign w:val="bottom"/>
          </w:tcPr>
          <w:p w14:paraId="7776CF14"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8,0%</w:t>
            </w:r>
          </w:p>
        </w:tc>
      </w:tr>
      <w:tr w:rsidR="0049063B" w14:paraId="227D96F8" w14:textId="77777777">
        <w:trPr>
          <w:trHeight w:val="217"/>
        </w:trPr>
        <w:tc>
          <w:tcPr>
            <w:tcW w:w="2081" w:type="dxa"/>
            <w:tcBorders>
              <w:left w:val="single" w:sz="4" w:space="0" w:color="FFFFFF"/>
            </w:tcBorders>
            <w:shd w:val="clear" w:color="auto" w:fill="4472C4"/>
            <w:vAlign w:val="bottom"/>
          </w:tcPr>
          <w:p w14:paraId="416B93CB"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Navarra</w:t>
            </w:r>
          </w:p>
        </w:tc>
        <w:tc>
          <w:tcPr>
            <w:tcW w:w="1969" w:type="dxa"/>
            <w:shd w:val="clear" w:color="auto" w:fill="B4C6E7"/>
            <w:vAlign w:val="bottom"/>
          </w:tcPr>
          <w:p w14:paraId="5711A504"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1737" w:type="dxa"/>
            <w:shd w:val="clear" w:color="auto" w:fill="B4C6E7"/>
            <w:vAlign w:val="bottom"/>
          </w:tcPr>
          <w:p w14:paraId="5AF4753A"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7,0%</w:t>
            </w:r>
          </w:p>
        </w:tc>
        <w:tc>
          <w:tcPr>
            <w:tcW w:w="1737" w:type="dxa"/>
            <w:shd w:val="clear" w:color="auto" w:fill="B4C6E7"/>
            <w:vAlign w:val="bottom"/>
          </w:tcPr>
          <w:p w14:paraId="6F4205B0"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7,7%</w:t>
            </w:r>
          </w:p>
        </w:tc>
        <w:tc>
          <w:tcPr>
            <w:tcW w:w="1568" w:type="dxa"/>
            <w:shd w:val="clear" w:color="auto" w:fill="B4C6E7"/>
            <w:vAlign w:val="bottom"/>
          </w:tcPr>
          <w:p w14:paraId="52E1260D"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7,9%</w:t>
            </w:r>
          </w:p>
        </w:tc>
      </w:tr>
      <w:tr w:rsidR="0049063B" w14:paraId="109818E6" w14:textId="77777777">
        <w:trPr>
          <w:trHeight w:val="217"/>
        </w:trPr>
        <w:tc>
          <w:tcPr>
            <w:tcW w:w="2081" w:type="dxa"/>
            <w:tcBorders>
              <w:left w:val="single" w:sz="4" w:space="0" w:color="FFFFFF"/>
            </w:tcBorders>
            <w:shd w:val="clear" w:color="auto" w:fill="4472C4"/>
            <w:vAlign w:val="bottom"/>
          </w:tcPr>
          <w:p w14:paraId="47155E31"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Cataluña</w:t>
            </w:r>
          </w:p>
        </w:tc>
        <w:tc>
          <w:tcPr>
            <w:tcW w:w="1969" w:type="dxa"/>
            <w:shd w:val="clear" w:color="auto" w:fill="D9E2F3"/>
            <w:vAlign w:val="bottom"/>
          </w:tcPr>
          <w:p w14:paraId="19CB5D30"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5,9%</w:t>
            </w:r>
          </w:p>
        </w:tc>
        <w:tc>
          <w:tcPr>
            <w:tcW w:w="1737" w:type="dxa"/>
            <w:shd w:val="clear" w:color="auto" w:fill="D9E2F3"/>
            <w:vAlign w:val="bottom"/>
          </w:tcPr>
          <w:p w14:paraId="29C2B6AE"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8,7%</w:t>
            </w:r>
          </w:p>
        </w:tc>
        <w:tc>
          <w:tcPr>
            <w:tcW w:w="1737" w:type="dxa"/>
            <w:shd w:val="clear" w:color="auto" w:fill="D9E2F3"/>
            <w:vAlign w:val="bottom"/>
          </w:tcPr>
          <w:p w14:paraId="2DE70C8D"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8,1%</w:t>
            </w:r>
          </w:p>
        </w:tc>
        <w:tc>
          <w:tcPr>
            <w:tcW w:w="1568" w:type="dxa"/>
            <w:shd w:val="clear" w:color="auto" w:fill="D9E2F3"/>
            <w:vAlign w:val="bottom"/>
          </w:tcPr>
          <w:p w14:paraId="13D940D0"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7,6%</w:t>
            </w:r>
          </w:p>
        </w:tc>
      </w:tr>
      <w:tr w:rsidR="0049063B" w14:paraId="0F72B1ED" w14:textId="77777777">
        <w:trPr>
          <w:trHeight w:val="217"/>
        </w:trPr>
        <w:tc>
          <w:tcPr>
            <w:tcW w:w="2081" w:type="dxa"/>
            <w:tcBorders>
              <w:left w:val="single" w:sz="4" w:space="0" w:color="FFFFFF"/>
            </w:tcBorders>
            <w:shd w:val="clear" w:color="auto" w:fill="4472C4"/>
            <w:vAlign w:val="bottom"/>
          </w:tcPr>
          <w:p w14:paraId="35FFDEE9"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Andalucía</w:t>
            </w:r>
          </w:p>
        </w:tc>
        <w:tc>
          <w:tcPr>
            <w:tcW w:w="1969" w:type="dxa"/>
            <w:shd w:val="clear" w:color="auto" w:fill="B4C6E7"/>
            <w:vAlign w:val="bottom"/>
          </w:tcPr>
          <w:p w14:paraId="341762B1"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1737" w:type="dxa"/>
            <w:shd w:val="clear" w:color="auto" w:fill="B4C6E7"/>
            <w:vAlign w:val="bottom"/>
          </w:tcPr>
          <w:p w14:paraId="0031F62C"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6,9%</w:t>
            </w:r>
          </w:p>
        </w:tc>
        <w:tc>
          <w:tcPr>
            <w:tcW w:w="1737" w:type="dxa"/>
            <w:shd w:val="clear" w:color="auto" w:fill="B4C6E7"/>
            <w:vAlign w:val="bottom"/>
          </w:tcPr>
          <w:p w14:paraId="17BDAF9B"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8,5%</w:t>
            </w:r>
          </w:p>
        </w:tc>
        <w:tc>
          <w:tcPr>
            <w:tcW w:w="1568" w:type="dxa"/>
            <w:shd w:val="clear" w:color="auto" w:fill="B4C6E7"/>
            <w:vAlign w:val="bottom"/>
          </w:tcPr>
          <w:p w14:paraId="63069AEF"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7,5%</w:t>
            </w:r>
          </w:p>
        </w:tc>
      </w:tr>
      <w:tr w:rsidR="0049063B" w14:paraId="67FA0179" w14:textId="77777777">
        <w:trPr>
          <w:trHeight w:val="217"/>
        </w:trPr>
        <w:tc>
          <w:tcPr>
            <w:tcW w:w="2081" w:type="dxa"/>
            <w:tcBorders>
              <w:left w:val="single" w:sz="4" w:space="0" w:color="FFFFFF"/>
            </w:tcBorders>
            <w:shd w:val="clear" w:color="auto" w:fill="4472C4"/>
            <w:vAlign w:val="bottom"/>
          </w:tcPr>
          <w:p w14:paraId="3E209AC1"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Madrid</w:t>
            </w:r>
          </w:p>
        </w:tc>
        <w:tc>
          <w:tcPr>
            <w:tcW w:w="1969" w:type="dxa"/>
            <w:shd w:val="clear" w:color="auto" w:fill="D9E2F3"/>
            <w:vAlign w:val="bottom"/>
          </w:tcPr>
          <w:p w14:paraId="03DDA6CC"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737" w:type="dxa"/>
            <w:shd w:val="clear" w:color="auto" w:fill="D9E2F3"/>
            <w:vAlign w:val="bottom"/>
          </w:tcPr>
          <w:p w14:paraId="69549AED"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6,7%</w:t>
            </w:r>
          </w:p>
        </w:tc>
        <w:tc>
          <w:tcPr>
            <w:tcW w:w="1737" w:type="dxa"/>
            <w:shd w:val="clear" w:color="auto" w:fill="D9E2F3"/>
            <w:vAlign w:val="bottom"/>
          </w:tcPr>
          <w:p w14:paraId="6DC8667D"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7,8%</w:t>
            </w:r>
          </w:p>
        </w:tc>
        <w:tc>
          <w:tcPr>
            <w:tcW w:w="1568" w:type="dxa"/>
            <w:shd w:val="clear" w:color="auto" w:fill="D9E2F3"/>
            <w:vAlign w:val="bottom"/>
          </w:tcPr>
          <w:p w14:paraId="3C10B4EF"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7,3%</w:t>
            </w:r>
          </w:p>
        </w:tc>
      </w:tr>
      <w:tr w:rsidR="0049063B" w14:paraId="7A82E2DD" w14:textId="77777777">
        <w:trPr>
          <w:trHeight w:val="229"/>
        </w:trPr>
        <w:tc>
          <w:tcPr>
            <w:tcW w:w="2081" w:type="dxa"/>
            <w:tcBorders>
              <w:left w:val="single" w:sz="4" w:space="0" w:color="FFFFFF"/>
            </w:tcBorders>
            <w:shd w:val="clear" w:color="auto" w:fill="4472C4"/>
            <w:vAlign w:val="bottom"/>
          </w:tcPr>
          <w:p w14:paraId="7D177830"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Canarias</w:t>
            </w:r>
          </w:p>
        </w:tc>
        <w:tc>
          <w:tcPr>
            <w:tcW w:w="1969" w:type="dxa"/>
            <w:shd w:val="clear" w:color="auto" w:fill="B4C6E7"/>
            <w:vAlign w:val="bottom"/>
          </w:tcPr>
          <w:p w14:paraId="086AC599"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737" w:type="dxa"/>
            <w:shd w:val="clear" w:color="auto" w:fill="B4C6E7"/>
            <w:vAlign w:val="bottom"/>
          </w:tcPr>
          <w:p w14:paraId="032B3150"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7,7%</w:t>
            </w:r>
          </w:p>
        </w:tc>
        <w:tc>
          <w:tcPr>
            <w:tcW w:w="1737" w:type="dxa"/>
            <w:shd w:val="clear" w:color="auto" w:fill="B4C6E7"/>
            <w:vAlign w:val="bottom"/>
          </w:tcPr>
          <w:p w14:paraId="2B0F7C6A"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8,3%</w:t>
            </w:r>
          </w:p>
        </w:tc>
        <w:tc>
          <w:tcPr>
            <w:tcW w:w="1568" w:type="dxa"/>
            <w:shd w:val="clear" w:color="auto" w:fill="B4C6E7"/>
            <w:vAlign w:val="bottom"/>
          </w:tcPr>
          <w:p w14:paraId="0C24CAC0"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7,2%</w:t>
            </w:r>
          </w:p>
        </w:tc>
      </w:tr>
      <w:tr w:rsidR="0049063B" w14:paraId="1C2020AB" w14:textId="77777777">
        <w:trPr>
          <w:trHeight w:val="217"/>
        </w:trPr>
        <w:tc>
          <w:tcPr>
            <w:tcW w:w="2081" w:type="dxa"/>
            <w:tcBorders>
              <w:left w:val="single" w:sz="4" w:space="0" w:color="FFFFFF"/>
            </w:tcBorders>
            <w:shd w:val="clear" w:color="auto" w:fill="4472C4"/>
            <w:vAlign w:val="bottom"/>
          </w:tcPr>
          <w:p w14:paraId="0A46448E"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Aragón</w:t>
            </w:r>
          </w:p>
        </w:tc>
        <w:tc>
          <w:tcPr>
            <w:tcW w:w="1969" w:type="dxa"/>
            <w:shd w:val="clear" w:color="auto" w:fill="D9E2F3"/>
            <w:vAlign w:val="bottom"/>
          </w:tcPr>
          <w:p w14:paraId="44C0B043"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4,2%</w:t>
            </w:r>
          </w:p>
        </w:tc>
        <w:tc>
          <w:tcPr>
            <w:tcW w:w="1737" w:type="dxa"/>
            <w:shd w:val="clear" w:color="auto" w:fill="D9E2F3"/>
            <w:vAlign w:val="bottom"/>
          </w:tcPr>
          <w:p w14:paraId="2F36C86B"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1737" w:type="dxa"/>
            <w:shd w:val="clear" w:color="auto" w:fill="D9E2F3"/>
            <w:vAlign w:val="bottom"/>
          </w:tcPr>
          <w:p w14:paraId="63B36EAF"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7,0%</w:t>
            </w:r>
          </w:p>
        </w:tc>
        <w:tc>
          <w:tcPr>
            <w:tcW w:w="1568" w:type="dxa"/>
            <w:shd w:val="clear" w:color="auto" w:fill="D9E2F3"/>
            <w:vAlign w:val="bottom"/>
          </w:tcPr>
          <w:p w14:paraId="75AA2A27"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6,8%</w:t>
            </w:r>
          </w:p>
        </w:tc>
      </w:tr>
      <w:tr w:rsidR="0049063B" w14:paraId="12F31B68" w14:textId="77777777">
        <w:trPr>
          <w:trHeight w:val="217"/>
        </w:trPr>
        <w:tc>
          <w:tcPr>
            <w:tcW w:w="2081" w:type="dxa"/>
            <w:tcBorders>
              <w:left w:val="single" w:sz="4" w:space="0" w:color="FFFFFF"/>
            </w:tcBorders>
            <w:shd w:val="clear" w:color="auto" w:fill="4472C4"/>
            <w:vAlign w:val="bottom"/>
          </w:tcPr>
          <w:p w14:paraId="1791F566"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La Rioja</w:t>
            </w:r>
          </w:p>
        </w:tc>
        <w:tc>
          <w:tcPr>
            <w:tcW w:w="1969" w:type="dxa"/>
            <w:shd w:val="clear" w:color="auto" w:fill="B4C6E7"/>
            <w:vAlign w:val="bottom"/>
          </w:tcPr>
          <w:p w14:paraId="55800326"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0,0%</w:t>
            </w:r>
          </w:p>
        </w:tc>
        <w:tc>
          <w:tcPr>
            <w:tcW w:w="1737" w:type="dxa"/>
            <w:shd w:val="clear" w:color="auto" w:fill="B4C6E7"/>
            <w:vAlign w:val="bottom"/>
          </w:tcPr>
          <w:p w14:paraId="2B05B261"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737" w:type="dxa"/>
            <w:shd w:val="clear" w:color="auto" w:fill="B4C6E7"/>
            <w:vAlign w:val="bottom"/>
          </w:tcPr>
          <w:p w14:paraId="14990A75"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0,0%</w:t>
            </w:r>
          </w:p>
        </w:tc>
        <w:tc>
          <w:tcPr>
            <w:tcW w:w="1568" w:type="dxa"/>
            <w:shd w:val="clear" w:color="auto" w:fill="B4C6E7"/>
            <w:vAlign w:val="bottom"/>
          </w:tcPr>
          <w:p w14:paraId="4E32EE77"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49063B" w14:paraId="28957328" w14:textId="77777777">
        <w:trPr>
          <w:trHeight w:val="217"/>
        </w:trPr>
        <w:tc>
          <w:tcPr>
            <w:tcW w:w="2081" w:type="dxa"/>
            <w:tcBorders>
              <w:left w:val="single" w:sz="4" w:space="0" w:color="FFFFFF"/>
            </w:tcBorders>
            <w:shd w:val="clear" w:color="auto" w:fill="4472C4"/>
            <w:vAlign w:val="bottom"/>
          </w:tcPr>
          <w:p w14:paraId="136F25E6"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Cantabria</w:t>
            </w:r>
          </w:p>
        </w:tc>
        <w:tc>
          <w:tcPr>
            <w:tcW w:w="1969" w:type="dxa"/>
            <w:shd w:val="clear" w:color="auto" w:fill="D9E2F3"/>
            <w:vAlign w:val="bottom"/>
          </w:tcPr>
          <w:p w14:paraId="2A0D961D"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737" w:type="dxa"/>
            <w:shd w:val="clear" w:color="auto" w:fill="D9E2F3"/>
            <w:vAlign w:val="bottom"/>
          </w:tcPr>
          <w:p w14:paraId="66449ACB"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6,8%</w:t>
            </w:r>
          </w:p>
        </w:tc>
        <w:tc>
          <w:tcPr>
            <w:tcW w:w="1737" w:type="dxa"/>
            <w:shd w:val="clear" w:color="auto" w:fill="D9E2F3"/>
            <w:vAlign w:val="bottom"/>
          </w:tcPr>
          <w:p w14:paraId="70F349CA"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7,3%</w:t>
            </w:r>
          </w:p>
        </w:tc>
        <w:tc>
          <w:tcPr>
            <w:tcW w:w="1568" w:type="dxa"/>
            <w:shd w:val="clear" w:color="auto" w:fill="D9E2F3"/>
            <w:vAlign w:val="bottom"/>
          </w:tcPr>
          <w:p w14:paraId="4062C7BD"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6,6%</w:t>
            </w:r>
          </w:p>
        </w:tc>
      </w:tr>
      <w:tr w:rsidR="0049063B" w14:paraId="46502AC9" w14:textId="77777777">
        <w:trPr>
          <w:trHeight w:val="217"/>
        </w:trPr>
        <w:tc>
          <w:tcPr>
            <w:tcW w:w="2081" w:type="dxa"/>
            <w:tcBorders>
              <w:left w:val="single" w:sz="4" w:space="0" w:color="FFFFFF"/>
            </w:tcBorders>
            <w:shd w:val="clear" w:color="auto" w:fill="4472C4"/>
            <w:vAlign w:val="bottom"/>
          </w:tcPr>
          <w:p w14:paraId="086F82AD"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Extremadura</w:t>
            </w:r>
          </w:p>
        </w:tc>
        <w:tc>
          <w:tcPr>
            <w:tcW w:w="1969" w:type="dxa"/>
            <w:shd w:val="clear" w:color="auto" w:fill="B4C6E7"/>
            <w:vAlign w:val="bottom"/>
          </w:tcPr>
          <w:p w14:paraId="38F4E2B7"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4,5%</w:t>
            </w:r>
          </w:p>
        </w:tc>
        <w:tc>
          <w:tcPr>
            <w:tcW w:w="1737" w:type="dxa"/>
            <w:shd w:val="clear" w:color="auto" w:fill="B4C6E7"/>
            <w:vAlign w:val="bottom"/>
          </w:tcPr>
          <w:p w14:paraId="25AA6557"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6,2%</w:t>
            </w:r>
          </w:p>
        </w:tc>
        <w:tc>
          <w:tcPr>
            <w:tcW w:w="1737" w:type="dxa"/>
            <w:shd w:val="clear" w:color="auto" w:fill="B4C6E7"/>
            <w:vAlign w:val="bottom"/>
          </w:tcPr>
          <w:p w14:paraId="14FE92CD"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7,1%</w:t>
            </w:r>
          </w:p>
        </w:tc>
        <w:tc>
          <w:tcPr>
            <w:tcW w:w="1568" w:type="dxa"/>
            <w:shd w:val="clear" w:color="auto" w:fill="B4C6E7"/>
            <w:vAlign w:val="bottom"/>
          </w:tcPr>
          <w:p w14:paraId="05526DEF"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6,2%</w:t>
            </w:r>
          </w:p>
        </w:tc>
      </w:tr>
      <w:tr w:rsidR="0049063B" w14:paraId="410C90B8" w14:textId="77777777">
        <w:trPr>
          <w:trHeight w:val="217"/>
        </w:trPr>
        <w:tc>
          <w:tcPr>
            <w:tcW w:w="2081" w:type="dxa"/>
            <w:tcBorders>
              <w:left w:val="single" w:sz="4" w:space="0" w:color="FFFFFF"/>
            </w:tcBorders>
            <w:shd w:val="clear" w:color="auto" w:fill="4472C4"/>
            <w:vAlign w:val="bottom"/>
          </w:tcPr>
          <w:p w14:paraId="0C864D5F"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Asturias</w:t>
            </w:r>
          </w:p>
        </w:tc>
        <w:tc>
          <w:tcPr>
            <w:tcW w:w="1969" w:type="dxa"/>
            <w:shd w:val="clear" w:color="auto" w:fill="D9E2F3"/>
            <w:vAlign w:val="bottom"/>
          </w:tcPr>
          <w:p w14:paraId="1752DBA7"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3,9%</w:t>
            </w:r>
          </w:p>
        </w:tc>
        <w:tc>
          <w:tcPr>
            <w:tcW w:w="1737" w:type="dxa"/>
            <w:shd w:val="clear" w:color="auto" w:fill="D9E2F3"/>
            <w:vAlign w:val="bottom"/>
          </w:tcPr>
          <w:p w14:paraId="60C15A9A"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737" w:type="dxa"/>
            <w:shd w:val="clear" w:color="auto" w:fill="D9E2F3"/>
            <w:vAlign w:val="bottom"/>
          </w:tcPr>
          <w:p w14:paraId="74BDA3FA"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6,7%</w:t>
            </w:r>
          </w:p>
        </w:tc>
        <w:tc>
          <w:tcPr>
            <w:tcW w:w="1568" w:type="dxa"/>
            <w:shd w:val="clear" w:color="auto" w:fill="D9E2F3"/>
            <w:vAlign w:val="bottom"/>
          </w:tcPr>
          <w:p w14:paraId="2A48AC73"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9063B" w14:paraId="067A9ED3" w14:textId="77777777">
        <w:trPr>
          <w:trHeight w:val="229"/>
        </w:trPr>
        <w:tc>
          <w:tcPr>
            <w:tcW w:w="2081" w:type="dxa"/>
            <w:tcBorders>
              <w:left w:val="single" w:sz="4" w:space="0" w:color="FFFFFF"/>
            </w:tcBorders>
            <w:shd w:val="clear" w:color="auto" w:fill="4472C4"/>
            <w:vAlign w:val="bottom"/>
          </w:tcPr>
          <w:p w14:paraId="1A18ADA0"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Castilla y León</w:t>
            </w:r>
          </w:p>
        </w:tc>
        <w:tc>
          <w:tcPr>
            <w:tcW w:w="1969" w:type="dxa"/>
            <w:shd w:val="clear" w:color="auto" w:fill="B4C6E7"/>
            <w:vAlign w:val="bottom"/>
          </w:tcPr>
          <w:p w14:paraId="3FC9913E"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4,2%</w:t>
            </w:r>
          </w:p>
        </w:tc>
        <w:tc>
          <w:tcPr>
            <w:tcW w:w="1737" w:type="dxa"/>
            <w:shd w:val="clear" w:color="auto" w:fill="B4C6E7"/>
            <w:vAlign w:val="bottom"/>
          </w:tcPr>
          <w:p w14:paraId="32D5C141"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737" w:type="dxa"/>
            <w:shd w:val="clear" w:color="auto" w:fill="B4C6E7"/>
            <w:vAlign w:val="bottom"/>
          </w:tcPr>
          <w:p w14:paraId="4D63AA43"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6,4%</w:t>
            </w:r>
          </w:p>
        </w:tc>
        <w:tc>
          <w:tcPr>
            <w:tcW w:w="1568" w:type="dxa"/>
            <w:shd w:val="clear" w:color="auto" w:fill="B4C6E7"/>
            <w:vAlign w:val="bottom"/>
          </w:tcPr>
          <w:p w14:paraId="0387A968"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6,0%</w:t>
            </w:r>
          </w:p>
        </w:tc>
      </w:tr>
      <w:tr w:rsidR="0049063B" w14:paraId="10FB0CE0" w14:textId="77777777">
        <w:trPr>
          <w:trHeight w:val="217"/>
        </w:trPr>
        <w:tc>
          <w:tcPr>
            <w:tcW w:w="2081" w:type="dxa"/>
            <w:tcBorders>
              <w:left w:val="single" w:sz="4" w:space="0" w:color="FFFFFF"/>
            </w:tcBorders>
            <w:shd w:val="clear" w:color="auto" w:fill="4472C4"/>
            <w:vAlign w:val="bottom"/>
          </w:tcPr>
          <w:p w14:paraId="292BC64B"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Galicia</w:t>
            </w:r>
          </w:p>
        </w:tc>
        <w:tc>
          <w:tcPr>
            <w:tcW w:w="1969" w:type="dxa"/>
            <w:shd w:val="clear" w:color="auto" w:fill="D9E2F3"/>
            <w:vAlign w:val="bottom"/>
          </w:tcPr>
          <w:p w14:paraId="0F62E339"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5,7%</w:t>
            </w:r>
          </w:p>
        </w:tc>
        <w:tc>
          <w:tcPr>
            <w:tcW w:w="1737" w:type="dxa"/>
            <w:shd w:val="clear" w:color="auto" w:fill="D9E2F3"/>
            <w:vAlign w:val="bottom"/>
          </w:tcPr>
          <w:p w14:paraId="5FB3A91E"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737" w:type="dxa"/>
            <w:shd w:val="clear" w:color="auto" w:fill="D9E2F3"/>
            <w:vAlign w:val="bottom"/>
          </w:tcPr>
          <w:p w14:paraId="0A6BD292"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6,9%</w:t>
            </w:r>
          </w:p>
        </w:tc>
        <w:tc>
          <w:tcPr>
            <w:tcW w:w="1568" w:type="dxa"/>
            <w:shd w:val="clear" w:color="auto" w:fill="D9E2F3"/>
            <w:vAlign w:val="bottom"/>
          </w:tcPr>
          <w:p w14:paraId="6579E961"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5,2%</w:t>
            </w:r>
          </w:p>
        </w:tc>
      </w:tr>
      <w:tr w:rsidR="0049063B" w14:paraId="327B1C16" w14:textId="77777777">
        <w:trPr>
          <w:trHeight w:val="217"/>
        </w:trPr>
        <w:tc>
          <w:tcPr>
            <w:tcW w:w="2081" w:type="dxa"/>
            <w:tcBorders>
              <w:left w:val="single" w:sz="4" w:space="0" w:color="FFFFFF"/>
            </w:tcBorders>
            <w:shd w:val="clear" w:color="auto" w:fill="4472C4"/>
            <w:vAlign w:val="bottom"/>
          </w:tcPr>
          <w:p w14:paraId="0A29B0AA" w14:textId="77777777" w:rsidR="0049063B" w:rsidRDefault="00000000">
            <w:pPr>
              <w:rPr>
                <w:rFonts w:ascii="Open Sans" w:eastAsia="Open Sans" w:hAnsi="Open Sans" w:cs="Open Sans"/>
                <w:color w:val="FFFFFF"/>
                <w:sz w:val="22"/>
                <w:szCs w:val="22"/>
              </w:rPr>
            </w:pPr>
            <w:r>
              <w:rPr>
                <w:rFonts w:ascii="Open Sans" w:eastAsia="Open Sans" w:hAnsi="Open Sans" w:cs="Open Sans"/>
                <w:color w:val="FFFFFF"/>
                <w:sz w:val="22"/>
                <w:szCs w:val="22"/>
              </w:rPr>
              <w:t>País Vasco</w:t>
            </w:r>
          </w:p>
        </w:tc>
        <w:tc>
          <w:tcPr>
            <w:tcW w:w="1969" w:type="dxa"/>
            <w:shd w:val="clear" w:color="auto" w:fill="B4C6E7"/>
            <w:vAlign w:val="bottom"/>
          </w:tcPr>
          <w:p w14:paraId="7C6B2193"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4,3%</w:t>
            </w:r>
          </w:p>
        </w:tc>
        <w:tc>
          <w:tcPr>
            <w:tcW w:w="1737" w:type="dxa"/>
            <w:shd w:val="clear" w:color="auto" w:fill="B4C6E7"/>
            <w:vAlign w:val="bottom"/>
          </w:tcPr>
          <w:p w14:paraId="34F410F8" w14:textId="77777777" w:rsidR="0049063B" w:rsidRDefault="00000000">
            <w:pPr>
              <w:jc w:val="center"/>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1737" w:type="dxa"/>
            <w:shd w:val="clear" w:color="auto" w:fill="B4C6E7"/>
            <w:vAlign w:val="bottom"/>
          </w:tcPr>
          <w:p w14:paraId="123BCAA5"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color w:val="000000"/>
                <w:sz w:val="22"/>
                <w:szCs w:val="22"/>
              </w:rPr>
              <w:t>5,9%</w:t>
            </w:r>
          </w:p>
        </w:tc>
        <w:tc>
          <w:tcPr>
            <w:tcW w:w="1568" w:type="dxa"/>
            <w:shd w:val="clear" w:color="auto" w:fill="B4C6E7"/>
            <w:vAlign w:val="bottom"/>
          </w:tcPr>
          <w:p w14:paraId="1AD9D989"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color w:val="000000"/>
                <w:sz w:val="22"/>
                <w:szCs w:val="22"/>
              </w:rPr>
              <w:t>5,0%</w:t>
            </w:r>
          </w:p>
        </w:tc>
      </w:tr>
      <w:tr w:rsidR="0049063B" w14:paraId="329466CE" w14:textId="77777777">
        <w:trPr>
          <w:trHeight w:val="217"/>
        </w:trPr>
        <w:tc>
          <w:tcPr>
            <w:tcW w:w="2081" w:type="dxa"/>
            <w:tcBorders>
              <w:left w:val="single" w:sz="4" w:space="0" w:color="FFFFFF"/>
              <w:bottom w:val="single" w:sz="4" w:space="0" w:color="FFFFFF"/>
            </w:tcBorders>
            <w:shd w:val="clear" w:color="auto" w:fill="4472C4"/>
            <w:vAlign w:val="bottom"/>
          </w:tcPr>
          <w:p w14:paraId="37F13E20" w14:textId="77777777" w:rsidR="0049063B" w:rsidRDefault="00000000">
            <w:pPr>
              <w:rPr>
                <w:rFonts w:ascii="Open Sans" w:eastAsia="Open Sans" w:hAnsi="Open Sans" w:cs="Open Sans"/>
                <w:color w:val="FFFFFF"/>
                <w:sz w:val="22"/>
                <w:szCs w:val="22"/>
              </w:rPr>
            </w:pPr>
            <w:r>
              <w:rPr>
                <w:rFonts w:ascii="Open Sans" w:eastAsia="Open Sans" w:hAnsi="Open Sans" w:cs="Open Sans"/>
                <w:b/>
                <w:color w:val="FFFFFF"/>
                <w:sz w:val="22"/>
                <w:szCs w:val="22"/>
              </w:rPr>
              <w:t>España</w:t>
            </w:r>
          </w:p>
        </w:tc>
        <w:tc>
          <w:tcPr>
            <w:tcW w:w="1969" w:type="dxa"/>
            <w:shd w:val="clear" w:color="auto" w:fill="D9E2F3"/>
            <w:vAlign w:val="bottom"/>
          </w:tcPr>
          <w:p w14:paraId="3CE92C10"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b/>
                <w:color w:val="000000"/>
                <w:sz w:val="22"/>
                <w:szCs w:val="22"/>
              </w:rPr>
              <w:t>5,8%</w:t>
            </w:r>
          </w:p>
        </w:tc>
        <w:tc>
          <w:tcPr>
            <w:tcW w:w="1737" w:type="dxa"/>
            <w:shd w:val="clear" w:color="auto" w:fill="D9E2F3"/>
            <w:vAlign w:val="bottom"/>
          </w:tcPr>
          <w:p w14:paraId="584C44DE"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b/>
                <w:color w:val="000000"/>
                <w:sz w:val="22"/>
                <w:szCs w:val="22"/>
              </w:rPr>
              <w:t>7,6%</w:t>
            </w:r>
          </w:p>
        </w:tc>
        <w:tc>
          <w:tcPr>
            <w:tcW w:w="1737" w:type="dxa"/>
            <w:shd w:val="clear" w:color="auto" w:fill="D9E2F3"/>
            <w:vAlign w:val="bottom"/>
          </w:tcPr>
          <w:p w14:paraId="00FAD770" w14:textId="77777777" w:rsidR="0049063B" w:rsidRDefault="00000000">
            <w:pPr>
              <w:jc w:val="center"/>
              <w:rPr>
                <w:rFonts w:ascii="Open Sans" w:eastAsia="Open Sans" w:hAnsi="Open Sans" w:cs="Open Sans"/>
                <w:b/>
                <w:color w:val="000000"/>
                <w:sz w:val="22"/>
                <w:szCs w:val="22"/>
              </w:rPr>
            </w:pPr>
            <w:r>
              <w:rPr>
                <w:rFonts w:ascii="Open Sans" w:eastAsia="Open Sans" w:hAnsi="Open Sans" w:cs="Open Sans"/>
                <w:b/>
                <w:color w:val="000000"/>
                <w:sz w:val="22"/>
                <w:szCs w:val="22"/>
              </w:rPr>
              <w:t>8,4%</w:t>
            </w:r>
          </w:p>
        </w:tc>
        <w:tc>
          <w:tcPr>
            <w:tcW w:w="1568" w:type="dxa"/>
            <w:shd w:val="clear" w:color="auto" w:fill="D9E2F3"/>
            <w:vAlign w:val="bottom"/>
          </w:tcPr>
          <w:p w14:paraId="32278E8C" w14:textId="77777777" w:rsidR="0049063B" w:rsidRDefault="00000000">
            <w:pPr>
              <w:jc w:val="center"/>
              <w:rPr>
                <w:rFonts w:ascii="Open Sans" w:eastAsia="Open Sans" w:hAnsi="Open Sans" w:cs="Open Sans"/>
                <w:color w:val="9C0006"/>
                <w:sz w:val="22"/>
                <w:szCs w:val="22"/>
              </w:rPr>
            </w:pPr>
            <w:r>
              <w:rPr>
                <w:rFonts w:ascii="Open Sans" w:eastAsia="Open Sans" w:hAnsi="Open Sans" w:cs="Open Sans"/>
                <w:b/>
                <w:color w:val="000000"/>
                <w:sz w:val="22"/>
                <w:szCs w:val="22"/>
              </w:rPr>
              <w:t>7,5%</w:t>
            </w:r>
          </w:p>
        </w:tc>
      </w:tr>
    </w:tbl>
    <w:p w14:paraId="0238B8EE" w14:textId="77777777" w:rsidR="0049063B" w:rsidRDefault="00000000">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t>Tabla 2. Rentabilidad de los garajes por provincias (comparativa 2017, 2021 y 2022)</w:t>
      </w:r>
    </w:p>
    <w:tbl>
      <w:tblPr>
        <w:tblStyle w:val="a0"/>
        <w:tblW w:w="894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47"/>
        <w:gridCol w:w="2268"/>
        <w:gridCol w:w="2268"/>
        <w:gridCol w:w="1857"/>
      </w:tblGrid>
      <w:tr w:rsidR="0049063B" w14:paraId="66A57C09" w14:textId="77777777" w:rsidTr="0049063B">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51B344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CCAA</w:t>
            </w:r>
          </w:p>
        </w:tc>
        <w:tc>
          <w:tcPr>
            <w:tcW w:w="2268" w:type="dxa"/>
            <w:vAlign w:val="center"/>
          </w:tcPr>
          <w:p w14:paraId="0FB05CC6" w14:textId="77777777" w:rsidR="0049063B" w:rsidRDefault="00000000">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sz w:val="22"/>
                <w:szCs w:val="22"/>
              </w:rPr>
              <w:t>Provincia</w:t>
            </w:r>
          </w:p>
        </w:tc>
        <w:tc>
          <w:tcPr>
            <w:tcW w:w="2268" w:type="dxa"/>
            <w:vAlign w:val="center"/>
          </w:tcPr>
          <w:p w14:paraId="7BE3DEBC"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6FE4C516"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2021</w:t>
            </w:r>
          </w:p>
          <w:p w14:paraId="3669C152"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color w:val="000000"/>
                <w:sz w:val="22"/>
                <w:szCs w:val="22"/>
              </w:rPr>
            </w:pPr>
            <w:r>
              <w:rPr>
                <w:rFonts w:ascii="Open Sans" w:eastAsia="Open Sans" w:hAnsi="Open Sans" w:cs="Open Sans"/>
                <w:b w:val="0"/>
                <w:color w:val="000000"/>
                <w:sz w:val="22"/>
                <w:szCs w:val="22"/>
              </w:rPr>
              <w:t>(1 año)</w:t>
            </w:r>
          </w:p>
        </w:tc>
        <w:tc>
          <w:tcPr>
            <w:tcW w:w="1857" w:type="dxa"/>
            <w:vAlign w:val="center"/>
          </w:tcPr>
          <w:p w14:paraId="122A4906"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7B4023AC"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2022</w:t>
            </w:r>
          </w:p>
        </w:tc>
      </w:tr>
      <w:tr w:rsidR="0049063B" w14:paraId="5855A85E"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75945D87"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57D4F256"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Almería</w:t>
            </w:r>
          </w:p>
        </w:tc>
        <w:tc>
          <w:tcPr>
            <w:tcW w:w="2268" w:type="dxa"/>
            <w:vAlign w:val="bottom"/>
          </w:tcPr>
          <w:p w14:paraId="1F61B578"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11,0%</w:t>
            </w:r>
          </w:p>
        </w:tc>
        <w:tc>
          <w:tcPr>
            <w:tcW w:w="1857" w:type="dxa"/>
            <w:vAlign w:val="bottom"/>
          </w:tcPr>
          <w:p w14:paraId="027B897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10,6%</w:t>
            </w:r>
          </w:p>
        </w:tc>
      </w:tr>
      <w:tr w:rsidR="0049063B" w14:paraId="37483C9D"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69290DF1"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6708C7B1"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Cádiz</w:t>
            </w:r>
          </w:p>
        </w:tc>
        <w:tc>
          <w:tcPr>
            <w:tcW w:w="2268" w:type="dxa"/>
            <w:vAlign w:val="bottom"/>
          </w:tcPr>
          <w:p w14:paraId="56E1B5C7"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8,4%</w:t>
            </w:r>
          </w:p>
        </w:tc>
        <w:tc>
          <w:tcPr>
            <w:tcW w:w="1857" w:type="dxa"/>
            <w:vAlign w:val="bottom"/>
          </w:tcPr>
          <w:p w14:paraId="2C07836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r>
      <w:tr w:rsidR="0049063B" w14:paraId="16F53E71"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694A3018"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5E23F97C"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Córdoba</w:t>
            </w:r>
          </w:p>
        </w:tc>
        <w:tc>
          <w:tcPr>
            <w:tcW w:w="2268" w:type="dxa"/>
            <w:vAlign w:val="bottom"/>
          </w:tcPr>
          <w:p w14:paraId="2526F20D"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6,7%</w:t>
            </w:r>
          </w:p>
        </w:tc>
        <w:tc>
          <w:tcPr>
            <w:tcW w:w="1857" w:type="dxa"/>
            <w:vAlign w:val="bottom"/>
          </w:tcPr>
          <w:p w14:paraId="622094B1"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r>
      <w:tr w:rsidR="0049063B" w14:paraId="1D86967F"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59693D5B"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3563B0C3"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Granada</w:t>
            </w:r>
          </w:p>
        </w:tc>
        <w:tc>
          <w:tcPr>
            <w:tcW w:w="2268" w:type="dxa"/>
            <w:vAlign w:val="bottom"/>
          </w:tcPr>
          <w:p w14:paraId="4C810779"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5,8%</w:t>
            </w:r>
          </w:p>
        </w:tc>
        <w:tc>
          <w:tcPr>
            <w:tcW w:w="1857" w:type="dxa"/>
            <w:vAlign w:val="bottom"/>
          </w:tcPr>
          <w:p w14:paraId="0D08969C"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r>
      <w:tr w:rsidR="0049063B" w14:paraId="694452C1"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4F4845FA"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22B1585F"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Jaén</w:t>
            </w:r>
          </w:p>
        </w:tc>
        <w:tc>
          <w:tcPr>
            <w:tcW w:w="2268" w:type="dxa"/>
            <w:vAlign w:val="bottom"/>
          </w:tcPr>
          <w:p w14:paraId="0897F21B" w14:textId="77777777" w:rsidR="0049063B" w:rsidRDefault="0049063B">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p>
        </w:tc>
        <w:tc>
          <w:tcPr>
            <w:tcW w:w="1857" w:type="dxa"/>
            <w:vAlign w:val="bottom"/>
          </w:tcPr>
          <w:p w14:paraId="482FB51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r>
      <w:tr w:rsidR="0049063B" w14:paraId="64512C81"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7D27B6E9"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77A1120F"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Málaga</w:t>
            </w:r>
          </w:p>
        </w:tc>
        <w:tc>
          <w:tcPr>
            <w:tcW w:w="2268" w:type="dxa"/>
            <w:vAlign w:val="bottom"/>
          </w:tcPr>
          <w:p w14:paraId="793ECEBE"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8,5%</w:t>
            </w:r>
          </w:p>
        </w:tc>
        <w:tc>
          <w:tcPr>
            <w:tcW w:w="1857" w:type="dxa"/>
            <w:vAlign w:val="bottom"/>
          </w:tcPr>
          <w:p w14:paraId="798E549E"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7,5%</w:t>
            </w:r>
          </w:p>
        </w:tc>
      </w:tr>
      <w:tr w:rsidR="0049063B" w14:paraId="79170A4E"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19253B7D"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4467F018"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Sevilla</w:t>
            </w:r>
          </w:p>
        </w:tc>
        <w:tc>
          <w:tcPr>
            <w:tcW w:w="2268" w:type="dxa"/>
            <w:vAlign w:val="bottom"/>
          </w:tcPr>
          <w:p w14:paraId="62729FB5"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9,7%</w:t>
            </w:r>
          </w:p>
        </w:tc>
        <w:tc>
          <w:tcPr>
            <w:tcW w:w="1857" w:type="dxa"/>
            <w:vAlign w:val="bottom"/>
          </w:tcPr>
          <w:p w14:paraId="6265DE8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11,4%</w:t>
            </w:r>
          </w:p>
        </w:tc>
      </w:tr>
      <w:tr w:rsidR="0049063B" w14:paraId="5E469976"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03F338B1"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Aragón</w:t>
            </w:r>
          </w:p>
        </w:tc>
        <w:tc>
          <w:tcPr>
            <w:tcW w:w="2268" w:type="dxa"/>
            <w:vAlign w:val="bottom"/>
          </w:tcPr>
          <w:p w14:paraId="24D29693"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Zaragoza</w:t>
            </w:r>
          </w:p>
        </w:tc>
        <w:tc>
          <w:tcPr>
            <w:tcW w:w="2268" w:type="dxa"/>
            <w:vAlign w:val="bottom"/>
          </w:tcPr>
          <w:p w14:paraId="3DE748B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7,3%</w:t>
            </w:r>
          </w:p>
        </w:tc>
        <w:tc>
          <w:tcPr>
            <w:tcW w:w="1857" w:type="dxa"/>
            <w:vAlign w:val="bottom"/>
          </w:tcPr>
          <w:p w14:paraId="6CDC661F"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7,0%</w:t>
            </w:r>
          </w:p>
        </w:tc>
      </w:tr>
      <w:tr w:rsidR="0049063B" w14:paraId="1FE0CDA4"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557A3AC7"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268" w:type="dxa"/>
            <w:vAlign w:val="bottom"/>
          </w:tcPr>
          <w:p w14:paraId="4D2DC83F"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Asturias</w:t>
            </w:r>
          </w:p>
        </w:tc>
        <w:tc>
          <w:tcPr>
            <w:tcW w:w="2268" w:type="dxa"/>
            <w:vAlign w:val="bottom"/>
          </w:tcPr>
          <w:p w14:paraId="7067FE9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6,7%</w:t>
            </w:r>
          </w:p>
        </w:tc>
        <w:tc>
          <w:tcPr>
            <w:tcW w:w="1857" w:type="dxa"/>
            <w:vAlign w:val="bottom"/>
          </w:tcPr>
          <w:p w14:paraId="609DC6C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9063B" w14:paraId="210B3684"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0E3DC946"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Baleares</w:t>
            </w:r>
          </w:p>
        </w:tc>
        <w:tc>
          <w:tcPr>
            <w:tcW w:w="2268" w:type="dxa"/>
            <w:vAlign w:val="bottom"/>
          </w:tcPr>
          <w:p w14:paraId="735F3AD9"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Illes Balears</w:t>
            </w:r>
          </w:p>
        </w:tc>
        <w:tc>
          <w:tcPr>
            <w:tcW w:w="2268" w:type="dxa"/>
            <w:vAlign w:val="bottom"/>
          </w:tcPr>
          <w:p w14:paraId="27618E6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8,4%</w:t>
            </w:r>
          </w:p>
        </w:tc>
        <w:tc>
          <w:tcPr>
            <w:tcW w:w="1857" w:type="dxa"/>
            <w:vAlign w:val="bottom"/>
          </w:tcPr>
          <w:p w14:paraId="64A174D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8,0%</w:t>
            </w:r>
          </w:p>
        </w:tc>
      </w:tr>
      <w:tr w:rsidR="0049063B" w14:paraId="7002A9FC"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46372F75"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Canarias</w:t>
            </w:r>
          </w:p>
        </w:tc>
        <w:tc>
          <w:tcPr>
            <w:tcW w:w="2268" w:type="dxa"/>
            <w:vAlign w:val="bottom"/>
          </w:tcPr>
          <w:p w14:paraId="4E247C9C"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Las Palmas</w:t>
            </w:r>
          </w:p>
        </w:tc>
        <w:tc>
          <w:tcPr>
            <w:tcW w:w="2268" w:type="dxa"/>
            <w:vAlign w:val="bottom"/>
          </w:tcPr>
          <w:p w14:paraId="68CD5618"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8,4%</w:t>
            </w:r>
          </w:p>
        </w:tc>
        <w:tc>
          <w:tcPr>
            <w:tcW w:w="1857" w:type="dxa"/>
            <w:vAlign w:val="bottom"/>
          </w:tcPr>
          <w:p w14:paraId="286CC65D"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8,2%</w:t>
            </w:r>
          </w:p>
        </w:tc>
      </w:tr>
      <w:tr w:rsidR="0049063B" w14:paraId="04C5E329"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31401E56"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Canarias</w:t>
            </w:r>
          </w:p>
        </w:tc>
        <w:tc>
          <w:tcPr>
            <w:tcW w:w="2268" w:type="dxa"/>
            <w:vAlign w:val="bottom"/>
          </w:tcPr>
          <w:p w14:paraId="03D89167"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Santa Cruz de Tenerife</w:t>
            </w:r>
          </w:p>
        </w:tc>
        <w:tc>
          <w:tcPr>
            <w:tcW w:w="2268" w:type="dxa"/>
            <w:vAlign w:val="bottom"/>
          </w:tcPr>
          <w:p w14:paraId="264ECCD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8,2%</w:t>
            </w:r>
          </w:p>
        </w:tc>
        <w:tc>
          <w:tcPr>
            <w:tcW w:w="1857" w:type="dxa"/>
            <w:vAlign w:val="bottom"/>
          </w:tcPr>
          <w:p w14:paraId="38147B2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9063B" w14:paraId="6A8F1436"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36A85AC3"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2268" w:type="dxa"/>
            <w:vAlign w:val="bottom"/>
          </w:tcPr>
          <w:p w14:paraId="73AEAD86"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Cantabria</w:t>
            </w:r>
          </w:p>
        </w:tc>
        <w:tc>
          <w:tcPr>
            <w:tcW w:w="2268" w:type="dxa"/>
            <w:vAlign w:val="bottom"/>
          </w:tcPr>
          <w:p w14:paraId="0F43E0D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7,3%</w:t>
            </w:r>
          </w:p>
        </w:tc>
        <w:tc>
          <w:tcPr>
            <w:tcW w:w="1857" w:type="dxa"/>
            <w:vAlign w:val="bottom"/>
          </w:tcPr>
          <w:p w14:paraId="3A159F5A"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49063B" w14:paraId="2A58A67B"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0E0757A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Castilla y León</w:t>
            </w:r>
          </w:p>
        </w:tc>
        <w:tc>
          <w:tcPr>
            <w:tcW w:w="2268" w:type="dxa"/>
            <w:vAlign w:val="bottom"/>
          </w:tcPr>
          <w:p w14:paraId="4AB96034"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Burgos</w:t>
            </w:r>
          </w:p>
        </w:tc>
        <w:tc>
          <w:tcPr>
            <w:tcW w:w="2268" w:type="dxa"/>
            <w:vAlign w:val="bottom"/>
          </w:tcPr>
          <w:p w14:paraId="44AC84E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6,3%</w:t>
            </w:r>
          </w:p>
        </w:tc>
        <w:tc>
          <w:tcPr>
            <w:tcW w:w="1857" w:type="dxa"/>
            <w:vAlign w:val="bottom"/>
          </w:tcPr>
          <w:p w14:paraId="29728B59"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r>
      <w:tr w:rsidR="0049063B" w14:paraId="1FAC1F98"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5F78BA9"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Castilla y León</w:t>
            </w:r>
          </w:p>
        </w:tc>
        <w:tc>
          <w:tcPr>
            <w:tcW w:w="2268" w:type="dxa"/>
            <w:vAlign w:val="bottom"/>
          </w:tcPr>
          <w:p w14:paraId="24B5971B"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León</w:t>
            </w:r>
          </w:p>
        </w:tc>
        <w:tc>
          <w:tcPr>
            <w:tcW w:w="2268" w:type="dxa"/>
            <w:vAlign w:val="bottom"/>
          </w:tcPr>
          <w:p w14:paraId="6572AFF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9,1%</w:t>
            </w:r>
          </w:p>
        </w:tc>
        <w:tc>
          <w:tcPr>
            <w:tcW w:w="1857" w:type="dxa"/>
            <w:vAlign w:val="bottom"/>
          </w:tcPr>
          <w:p w14:paraId="7BD46ED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9,6%</w:t>
            </w:r>
          </w:p>
        </w:tc>
      </w:tr>
      <w:tr w:rsidR="0049063B" w14:paraId="296741E9"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944D1C7"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Castilla y León</w:t>
            </w:r>
          </w:p>
        </w:tc>
        <w:tc>
          <w:tcPr>
            <w:tcW w:w="2268" w:type="dxa"/>
            <w:vAlign w:val="bottom"/>
          </w:tcPr>
          <w:p w14:paraId="503084AD"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Salamanca</w:t>
            </w:r>
          </w:p>
        </w:tc>
        <w:tc>
          <w:tcPr>
            <w:tcW w:w="2268" w:type="dxa"/>
            <w:vAlign w:val="bottom"/>
          </w:tcPr>
          <w:p w14:paraId="705EC254"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5,6%</w:t>
            </w:r>
          </w:p>
        </w:tc>
        <w:tc>
          <w:tcPr>
            <w:tcW w:w="1857" w:type="dxa"/>
            <w:vAlign w:val="bottom"/>
          </w:tcPr>
          <w:p w14:paraId="7E51F66A"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r>
      <w:tr w:rsidR="0049063B" w14:paraId="20BE5F27"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795855CB"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Castilla y León</w:t>
            </w:r>
          </w:p>
        </w:tc>
        <w:tc>
          <w:tcPr>
            <w:tcW w:w="2268" w:type="dxa"/>
            <w:vAlign w:val="bottom"/>
          </w:tcPr>
          <w:p w14:paraId="4CE037E5"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Valladolid</w:t>
            </w:r>
          </w:p>
        </w:tc>
        <w:tc>
          <w:tcPr>
            <w:tcW w:w="2268" w:type="dxa"/>
            <w:vAlign w:val="bottom"/>
          </w:tcPr>
          <w:p w14:paraId="50CD1C7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6,6%</w:t>
            </w:r>
          </w:p>
        </w:tc>
        <w:tc>
          <w:tcPr>
            <w:tcW w:w="1857" w:type="dxa"/>
            <w:vAlign w:val="bottom"/>
          </w:tcPr>
          <w:p w14:paraId="67C8E321"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49063B" w14:paraId="0DAA4DE9"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42551FCD"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Castilla-La Mancha</w:t>
            </w:r>
          </w:p>
        </w:tc>
        <w:tc>
          <w:tcPr>
            <w:tcW w:w="2268" w:type="dxa"/>
            <w:vAlign w:val="bottom"/>
          </w:tcPr>
          <w:p w14:paraId="56B1E3FF"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Albacete</w:t>
            </w:r>
          </w:p>
        </w:tc>
        <w:tc>
          <w:tcPr>
            <w:tcW w:w="2268" w:type="dxa"/>
            <w:vAlign w:val="bottom"/>
          </w:tcPr>
          <w:p w14:paraId="01849664"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5,5%</w:t>
            </w:r>
          </w:p>
        </w:tc>
        <w:tc>
          <w:tcPr>
            <w:tcW w:w="1857" w:type="dxa"/>
            <w:vAlign w:val="bottom"/>
          </w:tcPr>
          <w:p w14:paraId="568A2B4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r>
      <w:tr w:rsidR="0049063B" w14:paraId="75F3D34E"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597B94CC"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Castilla-La Mancha</w:t>
            </w:r>
          </w:p>
        </w:tc>
        <w:tc>
          <w:tcPr>
            <w:tcW w:w="2268" w:type="dxa"/>
            <w:vAlign w:val="bottom"/>
          </w:tcPr>
          <w:p w14:paraId="750835F1"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Ciudad Real</w:t>
            </w:r>
          </w:p>
        </w:tc>
        <w:tc>
          <w:tcPr>
            <w:tcW w:w="2268" w:type="dxa"/>
            <w:vAlign w:val="bottom"/>
          </w:tcPr>
          <w:p w14:paraId="570A449A"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6,8%</w:t>
            </w:r>
          </w:p>
        </w:tc>
        <w:tc>
          <w:tcPr>
            <w:tcW w:w="1857" w:type="dxa"/>
            <w:vAlign w:val="bottom"/>
          </w:tcPr>
          <w:p w14:paraId="3FF6B112"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7,2%</w:t>
            </w:r>
          </w:p>
        </w:tc>
      </w:tr>
      <w:tr w:rsidR="0049063B" w14:paraId="1F9E9497"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5FE5A63"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Castilla-La Mancha</w:t>
            </w:r>
          </w:p>
        </w:tc>
        <w:tc>
          <w:tcPr>
            <w:tcW w:w="2268" w:type="dxa"/>
            <w:vAlign w:val="bottom"/>
          </w:tcPr>
          <w:p w14:paraId="29DE55F8"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Toledo</w:t>
            </w:r>
          </w:p>
        </w:tc>
        <w:tc>
          <w:tcPr>
            <w:tcW w:w="2268" w:type="dxa"/>
            <w:vAlign w:val="bottom"/>
          </w:tcPr>
          <w:p w14:paraId="5194C1F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8,2%</w:t>
            </w:r>
          </w:p>
        </w:tc>
        <w:tc>
          <w:tcPr>
            <w:tcW w:w="1857" w:type="dxa"/>
            <w:vAlign w:val="bottom"/>
          </w:tcPr>
          <w:p w14:paraId="52E112E4"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11,0%</w:t>
            </w:r>
          </w:p>
        </w:tc>
      </w:tr>
      <w:tr w:rsidR="0049063B" w14:paraId="4EB44312"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1B71D94"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Cataluña</w:t>
            </w:r>
          </w:p>
        </w:tc>
        <w:tc>
          <w:tcPr>
            <w:tcW w:w="2268" w:type="dxa"/>
            <w:vAlign w:val="bottom"/>
          </w:tcPr>
          <w:p w14:paraId="08F67D80"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Barcelona</w:t>
            </w:r>
          </w:p>
        </w:tc>
        <w:tc>
          <w:tcPr>
            <w:tcW w:w="2268" w:type="dxa"/>
            <w:vAlign w:val="bottom"/>
          </w:tcPr>
          <w:p w14:paraId="73395CF5"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7,6%</w:t>
            </w:r>
          </w:p>
        </w:tc>
        <w:tc>
          <w:tcPr>
            <w:tcW w:w="1857" w:type="dxa"/>
            <w:vAlign w:val="bottom"/>
          </w:tcPr>
          <w:p w14:paraId="7AB00B73"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7,2%</w:t>
            </w:r>
          </w:p>
        </w:tc>
      </w:tr>
      <w:tr w:rsidR="0049063B" w14:paraId="5572C86C"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747DF2F6"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Cataluña</w:t>
            </w:r>
          </w:p>
        </w:tc>
        <w:tc>
          <w:tcPr>
            <w:tcW w:w="2268" w:type="dxa"/>
            <w:vAlign w:val="bottom"/>
          </w:tcPr>
          <w:p w14:paraId="1EDEB703"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Girona</w:t>
            </w:r>
          </w:p>
        </w:tc>
        <w:tc>
          <w:tcPr>
            <w:tcW w:w="2268" w:type="dxa"/>
            <w:vAlign w:val="bottom"/>
          </w:tcPr>
          <w:p w14:paraId="611FBA7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7,3%</w:t>
            </w:r>
          </w:p>
        </w:tc>
        <w:tc>
          <w:tcPr>
            <w:tcW w:w="1857" w:type="dxa"/>
            <w:vAlign w:val="bottom"/>
          </w:tcPr>
          <w:p w14:paraId="19405E6A"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49063B" w14:paraId="6E386FC5"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F7FAEC1"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Cataluña</w:t>
            </w:r>
          </w:p>
        </w:tc>
        <w:tc>
          <w:tcPr>
            <w:tcW w:w="2268" w:type="dxa"/>
            <w:vAlign w:val="bottom"/>
          </w:tcPr>
          <w:p w14:paraId="505FDB95"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Lleida</w:t>
            </w:r>
          </w:p>
        </w:tc>
        <w:tc>
          <w:tcPr>
            <w:tcW w:w="2268" w:type="dxa"/>
            <w:vAlign w:val="bottom"/>
          </w:tcPr>
          <w:p w14:paraId="0877C92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8,0%</w:t>
            </w:r>
          </w:p>
        </w:tc>
        <w:tc>
          <w:tcPr>
            <w:tcW w:w="1857" w:type="dxa"/>
            <w:vAlign w:val="bottom"/>
          </w:tcPr>
          <w:p w14:paraId="766DD2A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7,9%</w:t>
            </w:r>
          </w:p>
        </w:tc>
      </w:tr>
      <w:tr w:rsidR="0049063B" w14:paraId="015AA06C"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0624BD8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Cataluña</w:t>
            </w:r>
          </w:p>
        </w:tc>
        <w:tc>
          <w:tcPr>
            <w:tcW w:w="2268" w:type="dxa"/>
            <w:vAlign w:val="bottom"/>
          </w:tcPr>
          <w:p w14:paraId="4A867E63"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Tarragona</w:t>
            </w:r>
          </w:p>
        </w:tc>
        <w:tc>
          <w:tcPr>
            <w:tcW w:w="2268" w:type="dxa"/>
            <w:vAlign w:val="bottom"/>
          </w:tcPr>
          <w:p w14:paraId="24AB8039"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8,8%</w:t>
            </w:r>
          </w:p>
        </w:tc>
        <w:tc>
          <w:tcPr>
            <w:tcW w:w="1857" w:type="dxa"/>
            <w:vAlign w:val="bottom"/>
          </w:tcPr>
          <w:p w14:paraId="6262BF88"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8,1%</w:t>
            </w:r>
          </w:p>
        </w:tc>
      </w:tr>
      <w:tr w:rsidR="0049063B" w14:paraId="0B16CBCC"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0CC904D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Comunitat Valenciana</w:t>
            </w:r>
          </w:p>
        </w:tc>
        <w:tc>
          <w:tcPr>
            <w:tcW w:w="2268" w:type="dxa"/>
            <w:vAlign w:val="bottom"/>
          </w:tcPr>
          <w:p w14:paraId="16CA4E2C"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Alicante</w:t>
            </w:r>
          </w:p>
        </w:tc>
        <w:tc>
          <w:tcPr>
            <w:tcW w:w="2268" w:type="dxa"/>
            <w:vAlign w:val="bottom"/>
          </w:tcPr>
          <w:p w14:paraId="6A25AC36"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9,7%</w:t>
            </w:r>
          </w:p>
        </w:tc>
        <w:tc>
          <w:tcPr>
            <w:tcW w:w="1857" w:type="dxa"/>
            <w:vAlign w:val="bottom"/>
          </w:tcPr>
          <w:p w14:paraId="424C7AFB"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8,6%</w:t>
            </w:r>
          </w:p>
        </w:tc>
      </w:tr>
      <w:tr w:rsidR="0049063B" w14:paraId="7BF02318"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0495181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Comunitat Valenciana</w:t>
            </w:r>
          </w:p>
        </w:tc>
        <w:tc>
          <w:tcPr>
            <w:tcW w:w="2268" w:type="dxa"/>
            <w:vAlign w:val="bottom"/>
          </w:tcPr>
          <w:p w14:paraId="66C91E8A"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Castellón</w:t>
            </w:r>
          </w:p>
        </w:tc>
        <w:tc>
          <w:tcPr>
            <w:tcW w:w="2268" w:type="dxa"/>
            <w:vAlign w:val="bottom"/>
          </w:tcPr>
          <w:p w14:paraId="4CA57038"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9,2%</w:t>
            </w:r>
          </w:p>
        </w:tc>
        <w:tc>
          <w:tcPr>
            <w:tcW w:w="1857" w:type="dxa"/>
            <w:vAlign w:val="bottom"/>
          </w:tcPr>
          <w:p w14:paraId="01CEF74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9,5%</w:t>
            </w:r>
          </w:p>
        </w:tc>
      </w:tr>
      <w:tr w:rsidR="0049063B" w14:paraId="5198CBFA"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467F4F8C"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Comunitat Valenciana</w:t>
            </w:r>
          </w:p>
        </w:tc>
        <w:tc>
          <w:tcPr>
            <w:tcW w:w="2268" w:type="dxa"/>
            <w:vAlign w:val="bottom"/>
          </w:tcPr>
          <w:p w14:paraId="1D1B9A22"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Valencia</w:t>
            </w:r>
          </w:p>
        </w:tc>
        <w:tc>
          <w:tcPr>
            <w:tcW w:w="2268" w:type="dxa"/>
            <w:vAlign w:val="bottom"/>
          </w:tcPr>
          <w:p w14:paraId="46F4CFE3"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9,1%</w:t>
            </w:r>
          </w:p>
        </w:tc>
        <w:tc>
          <w:tcPr>
            <w:tcW w:w="1857" w:type="dxa"/>
            <w:vAlign w:val="bottom"/>
          </w:tcPr>
          <w:p w14:paraId="38D80085"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7,5%</w:t>
            </w:r>
          </w:p>
        </w:tc>
      </w:tr>
      <w:tr w:rsidR="0049063B" w14:paraId="3A59F644"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6DD6119B"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Extremadura</w:t>
            </w:r>
          </w:p>
        </w:tc>
        <w:tc>
          <w:tcPr>
            <w:tcW w:w="2268" w:type="dxa"/>
            <w:vAlign w:val="bottom"/>
          </w:tcPr>
          <w:p w14:paraId="486E54B4"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Badajoz</w:t>
            </w:r>
          </w:p>
        </w:tc>
        <w:tc>
          <w:tcPr>
            <w:tcW w:w="2268" w:type="dxa"/>
            <w:vAlign w:val="bottom"/>
          </w:tcPr>
          <w:p w14:paraId="4BB45EB9"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7,0%</w:t>
            </w:r>
          </w:p>
        </w:tc>
        <w:tc>
          <w:tcPr>
            <w:tcW w:w="1857" w:type="dxa"/>
            <w:vAlign w:val="bottom"/>
          </w:tcPr>
          <w:p w14:paraId="61A2B72C"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49063B" w14:paraId="194616A2"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8495C08"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Extremadura</w:t>
            </w:r>
          </w:p>
        </w:tc>
        <w:tc>
          <w:tcPr>
            <w:tcW w:w="2268" w:type="dxa"/>
            <w:vAlign w:val="bottom"/>
          </w:tcPr>
          <w:p w14:paraId="215C63C4"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Cáceres</w:t>
            </w:r>
          </w:p>
        </w:tc>
        <w:tc>
          <w:tcPr>
            <w:tcW w:w="2268" w:type="dxa"/>
            <w:vAlign w:val="bottom"/>
          </w:tcPr>
          <w:p w14:paraId="706C2D44"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857" w:type="dxa"/>
            <w:vAlign w:val="bottom"/>
          </w:tcPr>
          <w:p w14:paraId="01118C75"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49063B" w14:paraId="67894F1E"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30DF0C3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Galicia</w:t>
            </w:r>
          </w:p>
        </w:tc>
        <w:tc>
          <w:tcPr>
            <w:tcW w:w="2268" w:type="dxa"/>
            <w:vAlign w:val="bottom"/>
          </w:tcPr>
          <w:p w14:paraId="77E3496A"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 Coruña</w:t>
            </w:r>
          </w:p>
        </w:tc>
        <w:tc>
          <w:tcPr>
            <w:tcW w:w="2268" w:type="dxa"/>
            <w:vAlign w:val="bottom"/>
          </w:tcPr>
          <w:p w14:paraId="6584640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8,4%</w:t>
            </w:r>
          </w:p>
        </w:tc>
        <w:tc>
          <w:tcPr>
            <w:tcW w:w="1857" w:type="dxa"/>
            <w:vAlign w:val="bottom"/>
          </w:tcPr>
          <w:p w14:paraId="22FD393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6,2%</w:t>
            </w:r>
          </w:p>
        </w:tc>
      </w:tr>
      <w:tr w:rsidR="0049063B" w14:paraId="04D049B9"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19AD2511"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Galicia</w:t>
            </w:r>
          </w:p>
        </w:tc>
        <w:tc>
          <w:tcPr>
            <w:tcW w:w="2268" w:type="dxa"/>
            <w:vAlign w:val="bottom"/>
          </w:tcPr>
          <w:p w14:paraId="2273B79F"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Ourense</w:t>
            </w:r>
          </w:p>
        </w:tc>
        <w:tc>
          <w:tcPr>
            <w:tcW w:w="2268" w:type="dxa"/>
            <w:vAlign w:val="bottom"/>
          </w:tcPr>
          <w:p w14:paraId="4C581C5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c>
          <w:tcPr>
            <w:tcW w:w="1857" w:type="dxa"/>
            <w:vAlign w:val="bottom"/>
          </w:tcPr>
          <w:p w14:paraId="6B4302D3"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3,3%</w:t>
            </w:r>
          </w:p>
        </w:tc>
      </w:tr>
      <w:tr w:rsidR="0049063B" w14:paraId="394BF7E4"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45A8F56E"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Galicia</w:t>
            </w:r>
          </w:p>
        </w:tc>
        <w:tc>
          <w:tcPr>
            <w:tcW w:w="2268" w:type="dxa"/>
            <w:vAlign w:val="bottom"/>
          </w:tcPr>
          <w:p w14:paraId="7DDC51C7"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Pontevedra</w:t>
            </w:r>
          </w:p>
        </w:tc>
        <w:tc>
          <w:tcPr>
            <w:tcW w:w="2268" w:type="dxa"/>
            <w:vAlign w:val="bottom"/>
          </w:tcPr>
          <w:p w14:paraId="083A30D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857" w:type="dxa"/>
            <w:vAlign w:val="bottom"/>
          </w:tcPr>
          <w:p w14:paraId="3B6F563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4,7%</w:t>
            </w:r>
          </w:p>
        </w:tc>
      </w:tr>
      <w:tr w:rsidR="0049063B" w14:paraId="19E3EF0D"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3271B33B"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La Rioja</w:t>
            </w:r>
          </w:p>
        </w:tc>
        <w:tc>
          <w:tcPr>
            <w:tcW w:w="2268" w:type="dxa"/>
            <w:vAlign w:val="bottom"/>
          </w:tcPr>
          <w:p w14:paraId="4EF5AA43"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 Rioja</w:t>
            </w:r>
          </w:p>
        </w:tc>
        <w:tc>
          <w:tcPr>
            <w:tcW w:w="2268" w:type="dxa"/>
            <w:vAlign w:val="bottom"/>
          </w:tcPr>
          <w:p w14:paraId="41919F4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0,0%</w:t>
            </w:r>
          </w:p>
        </w:tc>
        <w:tc>
          <w:tcPr>
            <w:tcW w:w="1857" w:type="dxa"/>
            <w:vAlign w:val="bottom"/>
          </w:tcPr>
          <w:p w14:paraId="0A98904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49063B" w14:paraId="2888DC41"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585697D8"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268" w:type="dxa"/>
            <w:vAlign w:val="bottom"/>
          </w:tcPr>
          <w:p w14:paraId="0D0C164F"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Madrid</w:t>
            </w:r>
          </w:p>
        </w:tc>
        <w:tc>
          <w:tcPr>
            <w:tcW w:w="2268" w:type="dxa"/>
            <w:vAlign w:val="bottom"/>
          </w:tcPr>
          <w:p w14:paraId="23C08A3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7,8%</w:t>
            </w:r>
          </w:p>
        </w:tc>
        <w:tc>
          <w:tcPr>
            <w:tcW w:w="1857" w:type="dxa"/>
            <w:vAlign w:val="bottom"/>
          </w:tcPr>
          <w:p w14:paraId="2C829487"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7,3%</w:t>
            </w:r>
          </w:p>
        </w:tc>
      </w:tr>
      <w:tr w:rsidR="0049063B" w14:paraId="68E87905"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57681F5"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Navarra</w:t>
            </w:r>
          </w:p>
        </w:tc>
        <w:tc>
          <w:tcPr>
            <w:tcW w:w="2268" w:type="dxa"/>
            <w:vAlign w:val="bottom"/>
          </w:tcPr>
          <w:p w14:paraId="4E644D66"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Navarra</w:t>
            </w:r>
          </w:p>
        </w:tc>
        <w:tc>
          <w:tcPr>
            <w:tcW w:w="2268" w:type="dxa"/>
            <w:vAlign w:val="bottom"/>
          </w:tcPr>
          <w:p w14:paraId="78FA2123"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7,7%</w:t>
            </w:r>
          </w:p>
        </w:tc>
        <w:tc>
          <w:tcPr>
            <w:tcW w:w="1857" w:type="dxa"/>
            <w:vAlign w:val="bottom"/>
          </w:tcPr>
          <w:p w14:paraId="2ED628D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7,9%</w:t>
            </w:r>
          </w:p>
        </w:tc>
      </w:tr>
      <w:tr w:rsidR="0049063B" w14:paraId="1AD96AE3"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39779D44"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País Vasco</w:t>
            </w:r>
          </w:p>
        </w:tc>
        <w:tc>
          <w:tcPr>
            <w:tcW w:w="2268" w:type="dxa"/>
            <w:vAlign w:val="bottom"/>
          </w:tcPr>
          <w:p w14:paraId="3CD91B7C"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Araba - Álava</w:t>
            </w:r>
          </w:p>
        </w:tc>
        <w:tc>
          <w:tcPr>
            <w:tcW w:w="2268" w:type="dxa"/>
            <w:vAlign w:val="bottom"/>
          </w:tcPr>
          <w:p w14:paraId="70003F75"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4,7%</w:t>
            </w:r>
          </w:p>
        </w:tc>
        <w:tc>
          <w:tcPr>
            <w:tcW w:w="1857" w:type="dxa"/>
            <w:vAlign w:val="bottom"/>
          </w:tcPr>
          <w:p w14:paraId="548F5C6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r>
      <w:tr w:rsidR="0049063B" w14:paraId="5A3DC051"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1E63D2A"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País Vasco</w:t>
            </w:r>
          </w:p>
        </w:tc>
        <w:tc>
          <w:tcPr>
            <w:tcW w:w="2268" w:type="dxa"/>
            <w:vAlign w:val="bottom"/>
          </w:tcPr>
          <w:p w14:paraId="18C53EAA"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Bizkaia</w:t>
            </w:r>
          </w:p>
        </w:tc>
        <w:tc>
          <w:tcPr>
            <w:tcW w:w="2268" w:type="dxa"/>
            <w:vAlign w:val="bottom"/>
          </w:tcPr>
          <w:p w14:paraId="6201C165"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5,9%</w:t>
            </w:r>
          </w:p>
        </w:tc>
        <w:tc>
          <w:tcPr>
            <w:tcW w:w="1857" w:type="dxa"/>
            <w:vAlign w:val="bottom"/>
          </w:tcPr>
          <w:p w14:paraId="78651E06"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r>
      <w:tr w:rsidR="0049063B" w14:paraId="1C37BE89"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0E07D24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País Vasco</w:t>
            </w:r>
          </w:p>
        </w:tc>
        <w:tc>
          <w:tcPr>
            <w:tcW w:w="2268" w:type="dxa"/>
            <w:vAlign w:val="bottom"/>
          </w:tcPr>
          <w:p w14:paraId="5D19872A"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Gipuzkoa</w:t>
            </w:r>
          </w:p>
        </w:tc>
        <w:tc>
          <w:tcPr>
            <w:tcW w:w="2268" w:type="dxa"/>
            <w:vAlign w:val="bottom"/>
          </w:tcPr>
          <w:p w14:paraId="37632CA7"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5,6%</w:t>
            </w:r>
          </w:p>
        </w:tc>
        <w:tc>
          <w:tcPr>
            <w:tcW w:w="1857" w:type="dxa"/>
            <w:vAlign w:val="bottom"/>
          </w:tcPr>
          <w:p w14:paraId="72B4C6B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r>
      <w:tr w:rsidR="0049063B" w14:paraId="183D7B50"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1954AD7"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Región de Murcia</w:t>
            </w:r>
          </w:p>
        </w:tc>
        <w:tc>
          <w:tcPr>
            <w:tcW w:w="2268" w:type="dxa"/>
            <w:vAlign w:val="bottom"/>
          </w:tcPr>
          <w:p w14:paraId="7764CF00"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Murcia</w:t>
            </w:r>
          </w:p>
        </w:tc>
        <w:tc>
          <w:tcPr>
            <w:tcW w:w="2268" w:type="dxa"/>
            <w:vAlign w:val="bottom"/>
          </w:tcPr>
          <w:p w14:paraId="71663C57"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10,9%</w:t>
            </w:r>
          </w:p>
        </w:tc>
        <w:tc>
          <w:tcPr>
            <w:tcW w:w="1857" w:type="dxa"/>
            <w:vAlign w:val="bottom"/>
          </w:tcPr>
          <w:p w14:paraId="7A25D3DB"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10,0%</w:t>
            </w:r>
          </w:p>
        </w:tc>
      </w:tr>
      <w:tr w:rsidR="0049063B" w14:paraId="2EB3AFB9"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09B05E31"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4E1A4522"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Almería</w:t>
            </w:r>
          </w:p>
        </w:tc>
        <w:tc>
          <w:tcPr>
            <w:tcW w:w="2268" w:type="dxa"/>
            <w:vAlign w:val="bottom"/>
          </w:tcPr>
          <w:p w14:paraId="60DB003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11,0%</w:t>
            </w:r>
          </w:p>
        </w:tc>
        <w:tc>
          <w:tcPr>
            <w:tcW w:w="1857" w:type="dxa"/>
            <w:vAlign w:val="bottom"/>
          </w:tcPr>
          <w:p w14:paraId="4CA345A5"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10,6%</w:t>
            </w:r>
          </w:p>
        </w:tc>
      </w:tr>
      <w:tr w:rsidR="0049063B" w14:paraId="18F08A81"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3E690B7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5EE8F9F1"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Cádiz</w:t>
            </w:r>
          </w:p>
        </w:tc>
        <w:tc>
          <w:tcPr>
            <w:tcW w:w="2268" w:type="dxa"/>
            <w:vAlign w:val="bottom"/>
          </w:tcPr>
          <w:p w14:paraId="2AC9711D"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8,4%</w:t>
            </w:r>
          </w:p>
        </w:tc>
        <w:tc>
          <w:tcPr>
            <w:tcW w:w="1857" w:type="dxa"/>
            <w:vAlign w:val="bottom"/>
          </w:tcPr>
          <w:p w14:paraId="0D0521DB"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r>
      <w:tr w:rsidR="0049063B" w14:paraId="33C47BC4"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5EFE3653"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59770895"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Córdoba</w:t>
            </w:r>
          </w:p>
        </w:tc>
        <w:tc>
          <w:tcPr>
            <w:tcW w:w="2268" w:type="dxa"/>
            <w:vAlign w:val="bottom"/>
          </w:tcPr>
          <w:p w14:paraId="469134B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6,7%</w:t>
            </w:r>
          </w:p>
        </w:tc>
        <w:tc>
          <w:tcPr>
            <w:tcW w:w="1857" w:type="dxa"/>
            <w:vAlign w:val="bottom"/>
          </w:tcPr>
          <w:p w14:paraId="4B9F27BE"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r>
      <w:tr w:rsidR="0049063B" w14:paraId="54B97539"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13CCDC95"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3536F375"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Granada</w:t>
            </w:r>
          </w:p>
        </w:tc>
        <w:tc>
          <w:tcPr>
            <w:tcW w:w="2268" w:type="dxa"/>
            <w:vAlign w:val="bottom"/>
          </w:tcPr>
          <w:p w14:paraId="1826933E"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5,8%</w:t>
            </w:r>
          </w:p>
        </w:tc>
        <w:tc>
          <w:tcPr>
            <w:tcW w:w="1857" w:type="dxa"/>
            <w:vAlign w:val="bottom"/>
          </w:tcPr>
          <w:p w14:paraId="1AEB6CCB"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r>
      <w:tr w:rsidR="0049063B" w14:paraId="084DF550"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69D2DE8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59AEC9B0"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Jaén</w:t>
            </w:r>
          </w:p>
        </w:tc>
        <w:tc>
          <w:tcPr>
            <w:tcW w:w="2268" w:type="dxa"/>
            <w:vAlign w:val="bottom"/>
          </w:tcPr>
          <w:p w14:paraId="217C421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b/>
                <w:sz w:val="22"/>
                <w:szCs w:val="22"/>
              </w:rPr>
              <w:t>-</w:t>
            </w:r>
          </w:p>
        </w:tc>
        <w:tc>
          <w:tcPr>
            <w:tcW w:w="1857" w:type="dxa"/>
            <w:vAlign w:val="bottom"/>
          </w:tcPr>
          <w:p w14:paraId="36FFA446"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r>
      <w:tr w:rsidR="0049063B" w14:paraId="19B83517"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31C8B669"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7C0AA465"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color w:val="000000"/>
                <w:sz w:val="22"/>
                <w:szCs w:val="22"/>
              </w:rPr>
              <w:t>Málaga</w:t>
            </w:r>
          </w:p>
        </w:tc>
        <w:tc>
          <w:tcPr>
            <w:tcW w:w="2268" w:type="dxa"/>
            <w:vAlign w:val="bottom"/>
          </w:tcPr>
          <w:p w14:paraId="3F51B71E"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8,5%</w:t>
            </w:r>
          </w:p>
        </w:tc>
        <w:tc>
          <w:tcPr>
            <w:tcW w:w="1857" w:type="dxa"/>
            <w:vAlign w:val="bottom"/>
          </w:tcPr>
          <w:p w14:paraId="3CEAE0A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7,5%</w:t>
            </w:r>
          </w:p>
        </w:tc>
      </w:tr>
      <w:tr w:rsidR="0049063B" w14:paraId="39ED6045"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4AD97A76"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268" w:type="dxa"/>
            <w:vAlign w:val="bottom"/>
          </w:tcPr>
          <w:p w14:paraId="143BE92C"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Sevilla</w:t>
            </w:r>
          </w:p>
        </w:tc>
        <w:tc>
          <w:tcPr>
            <w:tcW w:w="2268" w:type="dxa"/>
            <w:vAlign w:val="bottom"/>
          </w:tcPr>
          <w:p w14:paraId="596CEA77"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9,7%</w:t>
            </w:r>
          </w:p>
        </w:tc>
        <w:tc>
          <w:tcPr>
            <w:tcW w:w="1857" w:type="dxa"/>
            <w:vAlign w:val="bottom"/>
          </w:tcPr>
          <w:p w14:paraId="426BBAE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11,4%</w:t>
            </w:r>
          </w:p>
        </w:tc>
      </w:tr>
      <w:tr w:rsidR="0049063B" w14:paraId="7A2E474F"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62930DAF"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Aragón</w:t>
            </w:r>
          </w:p>
        </w:tc>
        <w:tc>
          <w:tcPr>
            <w:tcW w:w="2268" w:type="dxa"/>
            <w:vAlign w:val="bottom"/>
          </w:tcPr>
          <w:p w14:paraId="3E80CB84"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Zaragoza</w:t>
            </w:r>
          </w:p>
        </w:tc>
        <w:tc>
          <w:tcPr>
            <w:tcW w:w="2268" w:type="dxa"/>
            <w:vAlign w:val="bottom"/>
          </w:tcPr>
          <w:p w14:paraId="6E0C51BB"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7,3%</w:t>
            </w:r>
          </w:p>
        </w:tc>
        <w:tc>
          <w:tcPr>
            <w:tcW w:w="1857" w:type="dxa"/>
            <w:vAlign w:val="bottom"/>
          </w:tcPr>
          <w:p w14:paraId="69A8576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7,0%</w:t>
            </w:r>
          </w:p>
        </w:tc>
      </w:tr>
      <w:tr w:rsidR="0049063B" w14:paraId="746A406B" w14:textId="77777777" w:rsidTr="0049063B">
        <w:trPr>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5C729EAE"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268" w:type="dxa"/>
            <w:vAlign w:val="bottom"/>
          </w:tcPr>
          <w:p w14:paraId="343E5227"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Asturias</w:t>
            </w:r>
          </w:p>
        </w:tc>
        <w:tc>
          <w:tcPr>
            <w:tcW w:w="2268" w:type="dxa"/>
            <w:vAlign w:val="bottom"/>
          </w:tcPr>
          <w:p w14:paraId="55E26CF2"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color w:val="000000"/>
                <w:sz w:val="22"/>
                <w:szCs w:val="22"/>
              </w:rPr>
              <w:t>6,7%</w:t>
            </w:r>
          </w:p>
        </w:tc>
        <w:tc>
          <w:tcPr>
            <w:tcW w:w="1857" w:type="dxa"/>
            <w:vAlign w:val="bottom"/>
          </w:tcPr>
          <w:p w14:paraId="6A7A6464"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6,1%</w:t>
            </w:r>
          </w:p>
        </w:tc>
      </w:tr>
      <w:tr w:rsidR="0049063B" w14:paraId="30C6823B" w14:textId="77777777" w:rsidTr="004906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2B363EE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Baleares</w:t>
            </w:r>
          </w:p>
        </w:tc>
        <w:tc>
          <w:tcPr>
            <w:tcW w:w="2268" w:type="dxa"/>
            <w:vAlign w:val="bottom"/>
          </w:tcPr>
          <w:p w14:paraId="5B17413C"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Illes Balears</w:t>
            </w:r>
          </w:p>
        </w:tc>
        <w:tc>
          <w:tcPr>
            <w:tcW w:w="2268" w:type="dxa"/>
            <w:vAlign w:val="bottom"/>
          </w:tcPr>
          <w:p w14:paraId="262E928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color w:val="000000"/>
                <w:sz w:val="22"/>
                <w:szCs w:val="22"/>
              </w:rPr>
              <w:t>8,4%</w:t>
            </w:r>
          </w:p>
        </w:tc>
        <w:tc>
          <w:tcPr>
            <w:tcW w:w="1857" w:type="dxa"/>
            <w:vAlign w:val="bottom"/>
          </w:tcPr>
          <w:p w14:paraId="63B84F4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8,0%</w:t>
            </w:r>
          </w:p>
        </w:tc>
      </w:tr>
      <w:tr w:rsidR="0049063B" w14:paraId="3BAF6FF7" w14:textId="77777777" w:rsidTr="0049063B">
        <w:trPr>
          <w:trHeight w:val="270"/>
        </w:trPr>
        <w:tc>
          <w:tcPr>
            <w:cnfStyle w:val="001000000000" w:firstRow="0" w:lastRow="0" w:firstColumn="1" w:lastColumn="0" w:oddVBand="0" w:evenVBand="0" w:oddHBand="0" w:evenHBand="0" w:firstRowFirstColumn="0" w:firstRowLastColumn="0" w:lastRowFirstColumn="0" w:lastRowLastColumn="0"/>
            <w:tcW w:w="2547" w:type="dxa"/>
            <w:vAlign w:val="bottom"/>
          </w:tcPr>
          <w:p w14:paraId="4A7EDBB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Canarias</w:t>
            </w:r>
          </w:p>
        </w:tc>
        <w:tc>
          <w:tcPr>
            <w:tcW w:w="2268" w:type="dxa"/>
            <w:vAlign w:val="bottom"/>
          </w:tcPr>
          <w:p w14:paraId="7FBEC8FF"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Las Palmas</w:t>
            </w:r>
          </w:p>
        </w:tc>
        <w:tc>
          <w:tcPr>
            <w:tcW w:w="2268" w:type="dxa"/>
            <w:vAlign w:val="bottom"/>
          </w:tcPr>
          <w:p w14:paraId="5531EB9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color w:val="000000"/>
                <w:sz w:val="22"/>
                <w:szCs w:val="22"/>
              </w:rPr>
              <w:t>8,4%</w:t>
            </w:r>
          </w:p>
        </w:tc>
        <w:tc>
          <w:tcPr>
            <w:tcW w:w="1857" w:type="dxa"/>
            <w:vAlign w:val="bottom"/>
          </w:tcPr>
          <w:p w14:paraId="772759DD"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color w:val="000000"/>
                <w:sz w:val="22"/>
                <w:szCs w:val="22"/>
              </w:rPr>
              <w:t>8,2%</w:t>
            </w:r>
          </w:p>
        </w:tc>
      </w:tr>
    </w:tbl>
    <w:p w14:paraId="798388DE" w14:textId="77777777" w:rsidR="00715A20" w:rsidRDefault="00715A20">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p>
    <w:p w14:paraId="54673A29" w14:textId="761AB44B" w:rsidR="0049063B" w:rsidRDefault="00000000">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Tabla 3. Rentabilidad de los garajes por ciudades (comparativa 2017, 2021 y 2022)</w:t>
      </w:r>
    </w:p>
    <w:tbl>
      <w:tblPr>
        <w:tblStyle w:val="a1"/>
        <w:tblW w:w="906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38"/>
        <w:gridCol w:w="3212"/>
        <w:gridCol w:w="1896"/>
        <w:gridCol w:w="2121"/>
      </w:tblGrid>
      <w:tr w:rsidR="0049063B" w14:paraId="5320665E" w14:textId="77777777" w:rsidTr="0049063B">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72F1229"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Provincia</w:t>
            </w:r>
          </w:p>
        </w:tc>
        <w:tc>
          <w:tcPr>
            <w:tcW w:w="3212" w:type="dxa"/>
            <w:vAlign w:val="center"/>
          </w:tcPr>
          <w:p w14:paraId="03D86B84" w14:textId="77777777" w:rsidR="0049063B" w:rsidRDefault="00000000">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18"/>
                <w:szCs w:val="18"/>
              </w:rPr>
            </w:pPr>
            <w:r>
              <w:rPr>
                <w:rFonts w:ascii="Open Sans" w:eastAsia="Open Sans" w:hAnsi="Open Sans" w:cs="Open Sans"/>
                <w:b w:val="0"/>
                <w:sz w:val="22"/>
                <w:szCs w:val="22"/>
              </w:rPr>
              <w:t>Municipio</w:t>
            </w:r>
          </w:p>
        </w:tc>
        <w:tc>
          <w:tcPr>
            <w:tcW w:w="1896" w:type="dxa"/>
            <w:vAlign w:val="center"/>
          </w:tcPr>
          <w:p w14:paraId="20A15868"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68C9631F"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2021</w:t>
            </w:r>
          </w:p>
          <w:p w14:paraId="10EC9832"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18"/>
                <w:szCs w:val="18"/>
              </w:rPr>
            </w:pPr>
            <w:r>
              <w:rPr>
                <w:rFonts w:ascii="Open Sans" w:eastAsia="Open Sans" w:hAnsi="Open Sans" w:cs="Open Sans"/>
                <w:b w:val="0"/>
                <w:color w:val="000000"/>
                <w:sz w:val="22"/>
                <w:szCs w:val="22"/>
              </w:rPr>
              <w:t>(1 año)</w:t>
            </w:r>
          </w:p>
        </w:tc>
        <w:tc>
          <w:tcPr>
            <w:tcW w:w="2121" w:type="dxa"/>
            <w:vAlign w:val="center"/>
          </w:tcPr>
          <w:p w14:paraId="5F977A46"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513AAD8A"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18"/>
                <w:szCs w:val="18"/>
              </w:rPr>
            </w:pPr>
            <w:r>
              <w:rPr>
                <w:rFonts w:ascii="Open Sans" w:eastAsia="Open Sans" w:hAnsi="Open Sans" w:cs="Open Sans"/>
                <w:b w:val="0"/>
                <w:color w:val="000000"/>
                <w:sz w:val="22"/>
                <w:szCs w:val="22"/>
              </w:rPr>
              <w:t>2022</w:t>
            </w:r>
          </w:p>
        </w:tc>
      </w:tr>
      <w:tr w:rsidR="0049063B" w14:paraId="188D68CA"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D03F8D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Córdoba</w:t>
            </w:r>
          </w:p>
        </w:tc>
        <w:tc>
          <w:tcPr>
            <w:tcW w:w="3212" w:type="dxa"/>
            <w:vAlign w:val="bottom"/>
          </w:tcPr>
          <w:p w14:paraId="3C6D4D82"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Córdoba capital</w:t>
            </w:r>
          </w:p>
        </w:tc>
        <w:tc>
          <w:tcPr>
            <w:tcW w:w="1896" w:type="dxa"/>
            <w:vAlign w:val="bottom"/>
          </w:tcPr>
          <w:p w14:paraId="4843371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2121" w:type="dxa"/>
            <w:vAlign w:val="bottom"/>
          </w:tcPr>
          <w:p w14:paraId="55A43B8D"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5,0%</w:t>
            </w:r>
          </w:p>
        </w:tc>
      </w:tr>
      <w:tr w:rsidR="0049063B" w14:paraId="4A407468"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3F9DBB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Granada</w:t>
            </w:r>
          </w:p>
        </w:tc>
        <w:tc>
          <w:tcPr>
            <w:tcW w:w="3212" w:type="dxa"/>
            <w:vAlign w:val="bottom"/>
          </w:tcPr>
          <w:p w14:paraId="236D9B4C"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Granada capital</w:t>
            </w:r>
          </w:p>
        </w:tc>
        <w:tc>
          <w:tcPr>
            <w:tcW w:w="1896" w:type="dxa"/>
            <w:vAlign w:val="bottom"/>
          </w:tcPr>
          <w:p w14:paraId="3EEB7A77"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2121" w:type="dxa"/>
            <w:vAlign w:val="bottom"/>
          </w:tcPr>
          <w:p w14:paraId="6AC6087C"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3,6%</w:t>
            </w:r>
          </w:p>
        </w:tc>
      </w:tr>
      <w:tr w:rsidR="0049063B" w14:paraId="0008E9AB"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5BEA14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Málaga</w:t>
            </w:r>
          </w:p>
        </w:tc>
        <w:tc>
          <w:tcPr>
            <w:tcW w:w="3212" w:type="dxa"/>
            <w:vAlign w:val="bottom"/>
          </w:tcPr>
          <w:p w14:paraId="1D3D34E6"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Málaga capital</w:t>
            </w:r>
          </w:p>
        </w:tc>
        <w:tc>
          <w:tcPr>
            <w:tcW w:w="1896" w:type="dxa"/>
            <w:vAlign w:val="bottom"/>
          </w:tcPr>
          <w:p w14:paraId="50231FD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c>
          <w:tcPr>
            <w:tcW w:w="2121" w:type="dxa"/>
            <w:vAlign w:val="bottom"/>
          </w:tcPr>
          <w:p w14:paraId="6E885A9B"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5,7%</w:t>
            </w:r>
          </w:p>
        </w:tc>
      </w:tr>
      <w:tr w:rsidR="0049063B" w14:paraId="01682318"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0F8F44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Sevilla</w:t>
            </w:r>
          </w:p>
        </w:tc>
        <w:tc>
          <w:tcPr>
            <w:tcW w:w="3212" w:type="dxa"/>
            <w:vAlign w:val="bottom"/>
          </w:tcPr>
          <w:p w14:paraId="19BF1EC2"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Sevilla capital</w:t>
            </w:r>
          </w:p>
        </w:tc>
        <w:tc>
          <w:tcPr>
            <w:tcW w:w="1896" w:type="dxa"/>
            <w:vAlign w:val="bottom"/>
          </w:tcPr>
          <w:p w14:paraId="540BC22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8,2%</w:t>
            </w:r>
          </w:p>
        </w:tc>
        <w:tc>
          <w:tcPr>
            <w:tcW w:w="2121" w:type="dxa"/>
            <w:vAlign w:val="bottom"/>
          </w:tcPr>
          <w:p w14:paraId="62235B08"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11,0%</w:t>
            </w:r>
          </w:p>
        </w:tc>
      </w:tr>
      <w:tr w:rsidR="0049063B" w14:paraId="504F73D0"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316F363"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Zaragoza</w:t>
            </w:r>
          </w:p>
        </w:tc>
        <w:tc>
          <w:tcPr>
            <w:tcW w:w="3212" w:type="dxa"/>
            <w:vAlign w:val="bottom"/>
          </w:tcPr>
          <w:p w14:paraId="7283E21F"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Zaragoza capital</w:t>
            </w:r>
          </w:p>
        </w:tc>
        <w:tc>
          <w:tcPr>
            <w:tcW w:w="1896" w:type="dxa"/>
            <w:vAlign w:val="bottom"/>
          </w:tcPr>
          <w:p w14:paraId="4886BDB4"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2121" w:type="dxa"/>
            <w:vAlign w:val="bottom"/>
          </w:tcPr>
          <w:p w14:paraId="74287CFA"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r>
      <w:tr w:rsidR="0049063B" w14:paraId="462D9B8D"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31AC91C"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3212" w:type="dxa"/>
            <w:vAlign w:val="bottom"/>
          </w:tcPr>
          <w:p w14:paraId="05A1E2C9"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Gijón</w:t>
            </w:r>
          </w:p>
        </w:tc>
        <w:tc>
          <w:tcPr>
            <w:tcW w:w="1896" w:type="dxa"/>
            <w:vAlign w:val="bottom"/>
          </w:tcPr>
          <w:p w14:paraId="2E85E18F"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2121" w:type="dxa"/>
            <w:vAlign w:val="bottom"/>
          </w:tcPr>
          <w:p w14:paraId="612AE8B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r>
      <w:tr w:rsidR="0049063B" w14:paraId="46772620"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EB5547A"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3212" w:type="dxa"/>
            <w:vAlign w:val="bottom"/>
          </w:tcPr>
          <w:p w14:paraId="6D76A781"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Oviedo</w:t>
            </w:r>
          </w:p>
        </w:tc>
        <w:tc>
          <w:tcPr>
            <w:tcW w:w="1896" w:type="dxa"/>
            <w:vAlign w:val="bottom"/>
          </w:tcPr>
          <w:p w14:paraId="7C05023C"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2121" w:type="dxa"/>
            <w:vAlign w:val="bottom"/>
          </w:tcPr>
          <w:p w14:paraId="6733BA18"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5,0%</w:t>
            </w:r>
          </w:p>
        </w:tc>
      </w:tr>
      <w:tr w:rsidR="0049063B" w14:paraId="1C0B478E"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3FE79AE"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Illes Balears</w:t>
            </w:r>
          </w:p>
        </w:tc>
        <w:tc>
          <w:tcPr>
            <w:tcW w:w="3212" w:type="dxa"/>
            <w:vAlign w:val="bottom"/>
          </w:tcPr>
          <w:p w14:paraId="348F032B"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Palma de Mallorca</w:t>
            </w:r>
          </w:p>
        </w:tc>
        <w:tc>
          <w:tcPr>
            <w:tcW w:w="1896" w:type="dxa"/>
            <w:vAlign w:val="bottom"/>
          </w:tcPr>
          <w:p w14:paraId="6D79653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7,8%</w:t>
            </w:r>
          </w:p>
        </w:tc>
        <w:tc>
          <w:tcPr>
            <w:tcW w:w="2121" w:type="dxa"/>
            <w:vAlign w:val="bottom"/>
          </w:tcPr>
          <w:p w14:paraId="652D75C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7,2%</w:t>
            </w:r>
          </w:p>
        </w:tc>
      </w:tr>
      <w:tr w:rsidR="0049063B" w14:paraId="7B385609"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7C4CF46"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Las Palmas</w:t>
            </w:r>
          </w:p>
        </w:tc>
        <w:tc>
          <w:tcPr>
            <w:tcW w:w="3212" w:type="dxa"/>
            <w:vAlign w:val="bottom"/>
          </w:tcPr>
          <w:p w14:paraId="5450B594"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Las Palmas de Gran Canaria</w:t>
            </w:r>
          </w:p>
        </w:tc>
        <w:tc>
          <w:tcPr>
            <w:tcW w:w="1896" w:type="dxa"/>
            <w:vAlign w:val="bottom"/>
          </w:tcPr>
          <w:p w14:paraId="3752C01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c>
          <w:tcPr>
            <w:tcW w:w="2121" w:type="dxa"/>
            <w:vAlign w:val="bottom"/>
          </w:tcPr>
          <w:p w14:paraId="7C9F02B8"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49063B" w14:paraId="2D149D76"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B498796"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3212" w:type="dxa"/>
            <w:vAlign w:val="bottom"/>
          </w:tcPr>
          <w:p w14:paraId="0EE36A20"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Santander</w:t>
            </w:r>
          </w:p>
        </w:tc>
        <w:tc>
          <w:tcPr>
            <w:tcW w:w="1896" w:type="dxa"/>
            <w:vAlign w:val="bottom"/>
          </w:tcPr>
          <w:p w14:paraId="456AFEEE"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c>
          <w:tcPr>
            <w:tcW w:w="2121" w:type="dxa"/>
            <w:vAlign w:val="bottom"/>
          </w:tcPr>
          <w:p w14:paraId="34C2B7DE"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r>
      <w:tr w:rsidR="0049063B" w14:paraId="4747B3C5"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AE97B3B"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Burgos</w:t>
            </w:r>
          </w:p>
        </w:tc>
        <w:tc>
          <w:tcPr>
            <w:tcW w:w="3212" w:type="dxa"/>
            <w:vAlign w:val="bottom"/>
          </w:tcPr>
          <w:p w14:paraId="3A294539"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Burgos capital</w:t>
            </w:r>
          </w:p>
        </w:tc>
        <w:tc>
          <w:tcPr>
            <w:tcW w:w="1896" w:type="dxa"/>
            <w:vAlign w:val="bottom"/>
          </w:tcPr>
          <w:p w14:paraId="5C517DC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3D537F4E"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r>
      <w:tr w:rsidR="0049063B" w14:paraId="02A15370"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4C85DA4"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Salamanca</w:t>
            </w:r>
          </w:p>
        </w:tc>
        <w:tc>
          <w:tcPr>
            <w:tcW w:w="3212" w:type="dxa"/>
            <w:vAlign w:val="bottom"/>
          </w:tcPr>
          <w:p w14:paraId="35BD2496"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Salamanca capital</w:t>
            </w:r>
          </w:p>
        </w:tc>
        <w:tc>
          <w:tcPr>
            <w:tcW w:w="1896" w:type="dxa"/>
            <w:vAlign w:val="bottom"/>
          </w:tcPr>
          <w:p w14:paraId="3431575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3,8%</w:t>
            </w:r>
          </w:p>
        </w:tc>
        <w:tc>
          <w:tcPr>
            <w:tcW w:w="2121" w:type="dxa"/>
            <w:vAlign w:val="bottom"/>
          </w:tcPr>
          <w:p w14:paraId="63EFD3E8"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3,5%</w:t>
            </w:r>
          </w:p>
        </w:tc>
      </w:tr>
      <w:tr w:rsidR="0049063B" w14:paraId="5155ADAC"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20A8F3D"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Valladolid</w:t>
            </w:r>
          </w:p>
        </w:tc>
        <w:tc>
          <w:tcPr>
            <w:tcW w:w="3212" w:type="dxa"/>
            <w:vAlign w:val="bottom"/>
          </w:tcPr>
          <w:p w14:paraId="6A25B655"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Valladolid capital</w:t>
            </w:r>
          </w:p>
        </w:tc>
        <w:tc>
          <w:tcPr>
            <w:tcW w:w="1896" w:type="dxa"/>
            <w:vAlign w:val="bottom"/>
          </w:tcPr>
          <w:p w14:paraId="43D0BAE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c>
          <w:tcPr>
            <w:tcW w:w="2121" w:type="dxa"/>
            <w:vAlign w:val="bottom"/>
          </w:tcPr>
          <w:p w14:paraId="39A02FC7"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r>
      <w:tr w:rsidR="0049063B" w14:paraId="4823FA48"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EF48B28"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Albacete</w:t>
            </w:r>
          </w:p>
        </w:tc>
        <w:tc>
          <w:tcPr>
            <w:tcW w:w="3212" w:type="dxa"/>
            <w:vAlign w:val="bottom"/>
          </w:tcPr>
          <w:p w14:paraId="668B580B"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Albacete capital</w:t>
            </w:r>
          </w:p>
        </w:tc>
        <w:tc>
          <w:tcPr>
            <w:tcW w:w="1896" w:type="dxa"/>
          </w:tcPr>
          <w:p w14:paraId="0ABD8806"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2418027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r>
      <w:tr w:rsidR="0049063B" w14:paraId="39AFF35A"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7456E94"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2DAFF61D"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Badalona</w:t>
            </w:r>
          </w:p>
        </w:tc>
        <w:tc>
          <w:tcPr>
            <w:tcW w:w="1896" w:type="dxa"/>
          </w:tcPr>
          <w:p w14:paraId="528181EA"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4D61BD82"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6,9%</w:t>
            </w:r>
          </w:p>
        </w:tc>
      </w:tr>
      <w:tr w:rsidR="0049063B" w14:paraId="134D4720"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E179658"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59EF6EDB"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Barcelona capital</w:t>
            </w:r>
          </w:p>
        </w:tc>
        <w:tc>
          <w:tcPr>
            <w:tcW w:w="1896" w:type="dxa"/>
            <w:vAlign w:val="bottom"/>
          </w:tcPr>
          <w:p w14:paraId="517CACF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2121" w:type="dxa"/>
            <w:vAlign w:val="bottom"/>
          </w:tcPr>
          <w:p w14:paraId="370343D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6,2%</w:t>
            </w:r>
          </w:p>
        </w:tc>
      </w:tr>
      <w:tr w:rsidR="0049063B" w14:paraId="2F65EB02"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6AE51D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3885ABCC"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Cornellà de Llobregat</w:t>
            </w:r>
          </w:p>
        </w:tc>
        <w:tc>
          <w:tcPr>
            <w:tcW w:w="1896" w:type="dxa"/>
            <w:vAlign w:val="bottom"/>
          </w:tcPr>
          <w:p w14:paraId="7B1C8806"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109B42F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6,2%</w:t>
            </w:r>
          </w:p>
        </w:tc>
      </w:tr>
      <w:tr w:rsidR="0049063B" w14:paraId="6DF1E522"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3F5724E"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2A2F1E96"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Esplugues de Llobregat</w:t>
            </w:r>
          </w:p>
        </w:tc>
        <w:tc>
          <w:tcPr>
            <w:tcW w:w="1896" w:type="dxa"/>
            <w:vAlign w:val="bottom"/>
          </w:tcPr>
          <w:p w14:paraId="6CB52AE5"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2121" w:type="dxa"/>
            <w:vAlign w:val="bottom"/>
          </w:tcPr>
          <w:p w14:paraId="7D3B7B3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5,7%</w:t>
            </w:r>
          </w:p>
        </w:tc>
      </w:tr>
      <w:tr w:rsidR="0049063B" w14:paraId="0AE49CD6"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3F03D9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6276B306"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L'Hospitalet de Llobregat</w:t>
            </w:r>
          </w:p>
        </w:tc>
        <w:tc>
          <w:tcPr>
            <w:tcW w:w="1896" w:type="dxa"/>
            <w:vAlign w:val="bottom"/>
          </w:tcPr>
          <w:p w14:paraId="7EBED4CD"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2121" w:type="dxa"/>
            <w:vAlign w:val="bottom"/>
          </w:tcPr>
          <w:p w14:paraId="79F6C4B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r>
      <w:tr w:rsidR="0049063B" w14:paraId="55BF86A1" w14:textId="77777777" w:rsidTr="0049063B">
        <w:trPr>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F616BD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57724C53"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Manresa</w:t>
            </w:r>
          </w:p>
        </w:tc>
        <w:tc>
          <w:tcPr>
            <w:tcW w:w="1896" w:type="dxa"/>
          </w:tcPr>
          <w:p w14:paraId="56E701DD"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773F62D5"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r>
      <w:tr w:rsidR="0049063B" w14:paraId="02428C02" w14:textId="77777777" w:rsidTr="0049063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F9CB511"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29DB1A34"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Mataró</w:t>
            </w:r>
          </w:p>
        </w:tc>
        <w:tc>
          <w:tcPr>
            <w:tcW w:w="1896" w:type="dxa"/>
          </w:tcPr>
          <w:p w14:paraId="55890C3D"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05A767B7"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49063B" w14:paraId="2E912AF2" w14:textId="77777777" w:rsidTr="0049063B">
        <w:trPr>
          <w:trHeight w:val="268"/>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E01E8DD"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3A4F52B6"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Sabadell</w:t>
            </w:r>
          </w:p>
        </w:tc>
        <w:tc>
          <w:tcPr>
            <w:tcW w:w="1896" w:type="dxa"/>
            <w:vAlign w:val="bottom"/>
          </w:tcPr>
          <w:p w14:paraId="1024D43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2121" w:type="dxa"/>
            <w:vAlign w:val="bottom"/>
          </w:tcPr>
          <w:p w14:paraId="6FEE932D"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49063B" w14:paraId="4788ED2C" w14:textId="77777777" w:rsidTr="0049063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2295AA9"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5787C994"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 Cugat del Vallès</w:t>
            </w:r>
          </w:p>
        </w:tc>
        <w:tc>
          <w:tcPr>
            <w:tcW w:w="1896" w:type="dxa"/>
          </w:tcPr>
          <w:p w14:paraId="0F4D17D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1B989496"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49063B" w14:paraId="6C1BC779" w14:textId="77777777" w:rsidTr="0049063B">
        <w:trPr>
          <w:trHeight w:val="281"/>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AFF910A"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696C2797"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Terrassa</w:t>
            </w:r>
          </w:p>
        </w:tc>
        <w:tc>
          <w:tcPr>
            <w:tcW w:w="1896" w:type="dxa"/>
          </w:tcPr>
          <w:p w14:paraId="7537A88A"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7349AA6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r>
      <w:tr w:rsidR="0049063B" w14:paraId="2E9E31BE" w14:textId="77777777" w:rsidTr="0049063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0C06FDC"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Barcelona</w:t>
            </w:r>
          </w:p>
        </w:tc>
        <w:tc>
          <w:tcPr>
            <w:tcW w:w="3212" w:type="dxa"/>
            <w:vAlign w:val="bottom"/>
          </w:tcPr>
          <w:p w14:paraId="71900AFC"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Vic</w:t>
            </w:r>
          </w:p>
        </w:tc>
        <w:tc>
          <w:tcPr>
            <w:tcW w:w="1896" w:type="dxa"/>
          </w:tcPr>
          <w:p w14:paraId="3E024B0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79042221"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5,0%</w:t>
            </w:r>
          </w:p>
        </w:tc>
      </w:tr>
      <w:tr w:rsidR="0049063B" w14:paraId="3869E722" w14:textId="77777777" w:rsidTr="0049063B">
        <w:trPr>
          <w:trHeight w:val="281"/>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5E71347"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Girona</w:t>
            </w:r>
          </w:p>
        </w:tc>
        <w:tc>
          <w:tcPr>
            <w:tcW w:w="3212" w:type="dxa"/>
            <w:vAlign w:val="bottom"/>
          </w:tcPr>
          <w:p w14:paraId="0CDB48B0"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Girona capital</w:t>
            </w:r>
          </w:p>
        </w:tc>
        <w:tc>
          <w:tcPr>
            <w:tcW w:w="1896" w:type="dxa"/>
            <w:vAlign w:val="bottom"/>
          </w:tcPr>
          <w:p w14:paraId="53803CC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2121" w:type="dxa"/>
            <w:vAlign w:val="bottom"/>
          </w:tcPr>
          <w:p w14:paraId="79A7E0D9"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r>
      <w:tr w:rsidR="0049063B" w14:paraId="4288A2F5" w14:textId="77777777" w:rsidTr="0049063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1D4D865"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Lleida</w:t>
            </w:r>
          </w:p>
        </w:tc>
        <w:tc>
          <w:tcPr>
            <w:tcW w:w="3212" w:type="dxa"/>
            <w:vAlign w:val="bottom"/>
          </w:tcPr>
          <w:p w14:paraId="6D7E7ABF"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Lleida capital</w:t>
            </w:r>
          </w:p>
        </w:tc>
        <w:tc>
          <w:tcPr>
            <w:tcW w:w="1896" w:type="dxa"/>
            <w:vAlign w:val="bottom"/>
          </w:tcPr>
          <w:p w14:paraId="2837EC5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7,0%</w:t>
            </w:r>
          </w:p>
        </w:tc>
        <w:tc>
          <w:tcPr>
            <w:tcW w:w="2121" w:type="dxa"/>
            <w:vAlign w:val="bottom"/>
          </w:tcPr>
          <w:p w14:paraId="0472C8A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r>
      <w:tr w:rsidR="0049063B" w14:paraId="59600F54" w14:textId="77777777" w:rsidTr="0049063B">
        <w:trPr>
          <w:trHeight w:val="281"/>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EE0674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3212" w:type="dxa"/>
            <w:vAlign w:val="bottom"/>
          </w:tcPr>
          <w:p w14:paraId="51E5B859"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Reus</w:t>
            </w:r>
          </w:p>
        </w:tc>
        <w:tc>
          <w:tcPr>
            <w:tcW w:w="1896" w:type="dxa"/>
            <w:vAlign w:val="bottom"/>
          </w:tcPr>
          <w:p w14:paraId="74DE0DB6"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05C10817"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49063B" w14:paraId="49346953" w14:textId="77777777" w:rsidTr="0049063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538F377"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Tarragona</w:t>
            </w:r>
          </w:p>
        </w:tc>
        <w:tc>
          <w:tcPr>
            <w:tcW w:w="3212" w:type="dxa"/>
            <w:vAlign w:val="bottom"/>
          </w:tcPr>
          <w:p w14:paraId="04E0EFEE"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Tarragona capital</w:t>
            </w:r>
          </w:p>
        </w:tc>
        <w:tc>
          <w:tcPr>
            <w:tcW w:w="1896" w:type="dxa"/>
            <w:vAlign w:val="bottom"/>
          </w:tcPr>
          <w:p w14:paraId="44612CD1"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2121" w:type="dxa"/>
            <w:vAlign w:val="bottom"/>
          </w:tcPr>
          <w:p w14:paraId="5F011FF8"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5,7%</w:t>
            </w:r>
          </w:p>
        </w:tc>
      </w:tr>
      <w:tr w:rsidR="0049063B" w14:paraId="3BA51A53" w14:textId="77777777" w:rsidTr="0049063B">
        <w:trPr>
          <w:trHeight w:val="281"/>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AB9752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Alicante</w:t>
            </w:r>
          </w:p>
        </w:tc>
        <w:tc>
          <w:tcPr>
            <w:tcW w:w="3212" w:type="dxa"/>
            <w:vAlign w:val="bottom"/>
          </w:tcPr>
          <w:p w14:paraId="37CF8D57" w14:textId="77777777" w:rsidR="0049063B"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Alicante / Alacant</w:t>
            </w:r>
          </w:p>
        </w:tc>
        <w:tc>
          <w:tcPr>
            <w:tcW w:w="1896" w:type="dxa"/>
            <w:vAlign w:val="bottom"/>
          </w:tcPr>
          <w:p w14:paraId="306E2357"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2121" w:type="dxa"/>
            <w:vAlign w:val="bottom"/>
          </w:tcPr>
          <w:p w14:paraId="0C4E873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r>
      <w:tr w:rsidR="0049063B" w14:paraId="4261D5AF" w14:textId="77777777" w:rsidTr="0049063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7EFAC7B"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Castellón</w:t>
            </w:r>
          </w:p>
        </w:tc>
        <w:tc>
          <w:tcPr>
            <w:tcW w:w="3212" w:type="dxa"/>
            <w:vAlign w:val="bottom"/>
          </w:tcPr>
          <w:p w14:paraId="50B8CBB7" w14:textId="77777777" w:rsidR="0049063B"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Castellón de la Plana / Castelló de la Plana</w:t>
            </w:r>
          </w:p>
        </w:tc>
        <w:tc>
          <w:tcPr>
            <w:tcW w:w="1896" w:type="dxa"/>
            <w:vAlign w:val="bottom"/>
          </w:tcPr>
          <w:p w14:paraId="5C6C0DE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385F7D97"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8,7%</w:t>
            </w:r>
          </w:p>
        </w:tc>
      </w:tr>
      <w:tr w:rsidR="0049063B" w14:paraId="477B994A" w14:textId="77777777" w:rsidTr="0049063B">
        <w:trPr>
          <w:trHeight w:val="262"/>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E4F6D85"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Valencia</w:t>
            </w:r>
          </w:p>
        </w:tc>
        <w:tc>
          <w:tcPr>
            <w:tcW w:w="3212" w:type="dxa"/>
            <w:vAlign w:val="bottom"/>
          </w:tcPr>
          <w:p w14:paraId="08296415" w14:textId="77777777" w:rsidR="0049063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Valencia capital</w:t>
            </w:r>
          </w:p>
        </w:tc>
        <w:tc>
          <w:tcPr>
            <w:tcW w:w="1896" w:type="dxa"/>
            <w:vAlign w:val="bottom"/>
          </w:tcPr>
          <w:p w14:paraId="36F12829"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7,1%</w:t>
            </w:r>
          </w:p>
        </w:tc>
        <w:tc>
          <w:tcPr>
            <w:tcW w:w="2121" w:type="dxa"/>
            <w:vAlign w:val="bottom"/>
          </w:tcPr>
          <w:p w14:paraId="5C9E7F04"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5,5%</w:t>
            </w:r>
          </w:p>
        </w:tc>
      </w:tr>
      <w:tr w:rsidR="0049063B" w14:paraId="3D600A96" w14:textId="77777777" w:rsidTr="0049063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BB487BE"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Badajoz</w:t>
            </w:r>
          </w:p>
        </w:tc>
        <w:tc>
          <w:tcPr>
            <w:tcW w:w="3212" w:type="dxa"/>
            <w:vAlign w:val="bottom"/>
          </w:tcPr>
          <w:p w14:paraId="07C87864" w14:textId="77777777" w:rsidR="0049063B"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Badajoz capital</w:t>
            </w:r>
          </w:p>
        </w:tc>
        <w:tc>
          <w:tcPr>
            <w:tcW w:w="1896" w:type="dxa"/>
            <w:vAlign w:val="bottom"/>
          </w:tcPr>
          <w:p w14:paraId="30BF4B40"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4,9%</w:t>
            </w:r>
          </w:p>
        </w:tc>
        <w:tc>
          <w:tcPr>
            <w:tcW w:w="2121" w:type="dxa"/>
            <w:vAlign w:val="bottom"/>
          </w:tcPr>
          <w:p w14:paraId="35B6B58F"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4,4%</w:t>
            </w:r>
          </w:p>
        </w:tc>
      </w:tr>
      <w:tr w:rsidR="0049063B" w14:paraId="429AB5C4" w14:textId="77777777" w:rsidTr="0049063B">
        <w:trPr>
          <w:trHeight w:val="308"/>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882FBF4"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Cáceres</w:t>
            </w:r>
          </w:p>
        </w:tc>
        <w:tc>
          <w:tcPr>
            <w:tcW w:w="3212" w:type="dxa"/>
            <w:vAlign w:val="bottom"/>
          </w:tcPr>
          <w:p w14:paraId="440882DA" w14:textId="77777777" w:rsidR="0049063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Cáceres capital</w:t>
            </w:r>
          </w:p>
        </w:tc>
        <w:tc>
          <w:tcPr>
            <w:tcW w:w="1896" w:type="dxa"/>
            <w:vAlign w:val="bottom"/>
          </w:tcPr>
          <w:p w14:paraId="1590BC6A"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6C98F277"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5,0%</w:t>
            </w:r>
          </w:p>
        </w:tc>
      </w:tr>
      <w:tr w:rsidR="0049063B" w14:paraId="0960AA94" w14:textId="77777777" w:rsidTr="0049063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43C07D4"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A Coruña</w:t>
            </w:r>
          </w:p>
        </w:tc>
        <w:tc>
          <w:tcPr>
            <w:tcW w:w="3212" w:type="dxa"/>
            <w:vAlign w:val="bottom"/>
          </w:tcPr>
          <w:p w14:paraId="4E0531DF" w14:textId="77777777" w:rsidR="0049063B"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 Coruña capital</w:t>
            </w:r>
          </w:p>
        </w:tc>
        <w:tc>
          <w:tcPr>
            <w:tcW w:w="1896" w:type="dxa"/>
            <w:vAlign w:val="bottom"/>
          </w:tcPr>
          <w:p w14:paraId="38571A65"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2121" w:type="dxa"/>
            <w:vAlign w:val="bottom"/>
          </w:tcPr>
          <w:p w14:paraId="009C5B21"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r>
      <w:tr w:rsidR="0049063B" w14:paraId="0CF73799" w14:textId="77777777" w:rsidTr="0049063B">
        <w:trPr>
          <w:trHeight w:val="273"/>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C7C9BF9"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A Coruña</w:t>
            </w:r>
          </w:p>
        </w:tc>
        <w:tc>
          <w:tcPr>
            <w:tcW w:w="3212" w:type="dxa"/>
            <w:vAlign w:val="bottom"/>
          </w:tcPr>
          <w:p w14:paraId="33788B3E" w14:textId="77777777" w:rsidR="0049063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Santiago de Compostela</w:t>
            </w:r>
          </w:p>
        </w:tc>
        <w:tc>
          <w:tcPr>
            <w:tcW w:w="1896" w:type="dxa"/>
          </w:tcPr>
          <w:p w14:paraId="32829B59"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578E664B"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3,7%</w:t>
            </w:r>
          </w:p>
        </w:tc>
      </w:tr>
      <w:tr w:rsidR="0049063B" w14:paraId="067678A3" w14:textId="77777777" w:rsidTr="0049063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31C8EB9"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Ourense</w:t>
            </w:r>
          </w:p>
        </w:tc>
        <w:tc>
          <w:tcPr>
            <w:tcW w:w="3212" w:type="dxa"/>
            <w:vAlign w:val="bottom"/>
          </w:tcPr>
          <w:p w14:paraId="799C1423" w14:textId="77777777" w:rsidR="0049063B"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Ourense capital</w:t>
            </w:r>
          </w:p>
        </w:tc>
        <w:tc>
          <w:tcPr>
            <w:tcW w:w="1896" w:type="dxa"/>
          </w:tcPr>
          <w:p w14:paraId="73BD871D"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48F552CE"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3,2%</w:t>
            </w:r>
          </w:p>
        </w:tc>
      </w:tr>
      <w:tr w:rsidR="0049063B" w14:paraId="3A18F5B4" w14:textId="77777777" w:rsidTr="0049063B">
        <w:trPr>
          <w:trHeight w:val="273"/>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9FEC9DA"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lastRenderedPageBreak/>
              <w:t>Pontevedra</w:t>
            </w:r>
          </w:p>
        </w:tc>
        <w:tc>
          <w:tcPr>
            <w:tcW w:w="3212" w:type="dxa"/>
            <w:vAlign w:val="bottom"/>
          </w:tcPr>
          <w:p w14:paraId="0E92725C" w14:textId="77777777" w:rsidR="0049063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Vigo</w:t>
            </w:r>
          </w:p>
        </w:tc>
        <w:tc>
          <w:tcPr>
            <w:tcW w:w="1896" w:type="dxa"/>
            <w:vAlign w:val="bottom"/>
          </w:tcPr>
          <w:p w14:paraId="2339F5CF"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2121" w:type="dxa"/>
            <w:vAlign w:val="bottom"/>
          </w:tcPr>
          <w:p w14:paraId="0197DD7F"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4,0%</w:t>
            </w:r>
          </w:p>
        </w:tc>
      </w:tr>
      <w:tr w:rsidR="0049063B" w14:paraId="36BC72FF" w14:textId="77777777" w:rsidTr="0049063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A96C671"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La Rioja</w:t>
            </w:r>
          </w:p>
        </w:tc>
        <w:tc>
          <w:tcPr>
            <w:tcW w:w="3212" w:type="dxa"/>
            <w:vAlign w:val="bottom"/>
          </w:tcPr>
          <w:p w14:paraId="3547D05E" w14:textId="77777777" w:rsidR="0049063B"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Logroño</w:t>
            </w:r>
          </w:p>
        </w:tc>
        <w:tc>
          <w:tcPr>
            <w:tcW w:w="1896" w:type="dxa"/>
            <w:vAlign w:val="bottom"/>
          </w:tcPr>
          <w:p w14:paraId="1F116E88"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7ACA1CB6"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r>
      <w:tr w:rsidR="0049063B" w14:paraId="5BA730DB" w14:textId="77777777" w:rsidTr="0049063B">
        <w:trPr>
          <w:trHeight w:val="273"/>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694644B"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Madrid</w:t>
            </w:r>
          </w:p>
        </w:tc>
        <w:tc>
          <w:tcPr>
            <w:tcW w:w="3212" w:type="dxa"/>
            <w:vAlign w:val="bottom"/>
          </w:tcPr>
          <w:p w14:paraId="35D89246" w14:textId="77777777" w:rsidR="0049063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Alcalá de Henares</w:t>
            </w:r>
          </w:p>
        </w:tc>
        <w:tc>
          <w:tcPr>
            <w:tcW w:w="1896" w:type="dxa"/>
            <w:vAlign w:val="bottom"/>
          </w:tcPr>
          <w:p w14:paraId="5070592D"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7,5%</w:t>
            </w:r>
          </w:p>
        </w:tc>
        <w:tc>
          <w:tcPr>
            <w:tcW w:w="2121" w:type="dxa"/>
            <w:vAlign w:val="bottom"/>
          </w:tcPr>
          <w:p w14:paraId="0119F3B6"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6,7%</w:t>
            </w:r>
          </w:p>
        </w:tc>
      </w:tr>
      <w:tr w:rsidR="0049063B" w14:paraId="1EAE4E58" w14:textId="77777777" w:rsidTr="0049063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80A340D"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Madrid</w:t>
            </w:r>
          </w:p>
        </w:tc>
        <w:tc>
          <w:tcPr>
            <w:tcW w:w="3212" w:type="dxa"/>
            <w:vAlign w:val="bottom"/>
          </w:tcPr>
          <w:p w14:paraId="7A7BAAA4" w14:textId="77777777" w:rsidR="0049063B"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Alcorcón</w:t>
            </w:r>
          </w:p>
        </w:tc>
        <w:tc>
          <w:tcPr>
            <w:tcW w:w="1896" w:type="dxa"/>
            <w:vAlign w:val="bottom"/>
          </w:tcPr>
          <w:p w14:paraId="754E4033"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7,1%</w:t>
            </w:r>
          </w:p>
        </w:tc>
        <w:tc>
          <w:tcPr>
            <w:tcW w:w="2121" w:type="dxa"/>
            <w:vAlign w:val="bottom"/>
          </w:tcPr>
          <w:p w14:paraId="5601D0A6"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7,0%</w:t>
            </w:r>
          </w:p>
        </w:tc>
      </w:tr>
      <w:tr w:rsidR="0049063B" w14:paraId="63AE6804" w14:textId="77777777" w:rsidTr="0049063B">
        <w:trPr>
          <w:trHeight w:val="273"/>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00037E0"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Madrid</w:t>
            </w:r>
          </w:p>
        </w:tc>
        <w:tc>
          <w:tcPr>
            <w:tcW w:w="3212" w:type="dxa"/>
            <w:vAlign w:val="bottom"/>
          </w:tcPr>
          <w:p w14:paraId="436C3ECD" w14:textId="77777777" w:rsidR="0049063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Getafe</w:t>
            </w:r>
          </w:p>
        </w:tc>
        <w:tc>
          <w:tcPr>
            <w:tcW w:w="1896" w:type="dxa"/>
            <w:vAlign w:val="bottom"/>
          </w:tcPr>
          <w:p w14:paraId="2AB221AE"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6,4%</w:t>
            </w:r>
          </w:p>
        </w:tc>
        <w:tc>
          <w:tcPr>
            <w:tcW w:w="2121" w:type="dxa"/>
            <w:vAlign w:val="bottom"/>
          </w:tcPr>
          <w:p w14:paraId="0EC2D692"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6,2%</w:t>
            </w:r>
          </w:p>
        </w:tc>
      </w:tr>
      <w:tr w:rsidR="0049063B" w14:paraId="6EB44B5B" w14:textId="77777777" w:rsidTr="0049063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4D95E82"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Madrid</w:t>
            </w:r>
          </w:p>
        </w:tc>
        <w:tc>
          <w:tcPr>
            <w:tcW w:w="3212" w:type="dxa"/>
            <w:vAlign w:val="bottom"/>
          </w:tcPr>
          <w:p w14:paraId="120B8123" w14:textId="77777777" w:rsidR="0049063B"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Madrid capital</w:t>
            </w:r>
          </w:p>
        </w:tc>
        <w:tc>
          <w:tcPr>
            <w:tcW w:w="1896" w:type="dxa"/>
            <w:vAlign w:val="bottom"/>
          </w:tcPr>
          <w:p w14:paraId="5E65E25F"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2121" w:type="dxa"/>
            <w:vAlign w:val="bottom"/>
          </w:tcPr>
          <w:p w14:paraId="05AA3B5E"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49063B" w14:paraId="046737BE" w14:textId="77777777" w:rsidTr="0049063B">
        <w:trPr>
          <w:trHeight w:val="286"/>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5BBC378"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Navarra</w:t>
            </w:r>
          </w:p>
        </w:tc>
        <w:tc>
          <w:tcPr>
            <w:tcW w:w="3212" w:type="dxa"/>
            <w:vAlign w:val="bottom"/>
          </w:tcPr>
          <w:p w14:paraId="5F468B2A" w14:textId="77777777" w:rsidR="0049063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Pamplona / Iruña</w:t>
            </w:r>
          </w:p>
        </w:tc>
        <w:tc>
          <w:tcPr>
            <w:tcW w:w="1896" w:type="dxa"/>
            <w:vAlign w:val="bottom"/>
          </w:tcPr>
          <w:p w14:paraId="3055A96B"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6,2%</w:t>
            </w:r>
          </w:p>
        </w:tc>
        <w:tc>
          <w:tcPr>
            <w:tcW w:w="2121" w:type="dxa"/>
            <w:vAlign w:val="bottom"/>
          </w:tcPr>
          <w:p w14:paraId="61513B92"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6,2%</w:t>
            </w:r>
          </w:p>
        </w:tc>
      </w:tr>
      <w:tr w:rsidR="0049063B" w14:paraId="1D735000" w14:textId="77777777" w:rsidTr="0049063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6D2367D"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Araba - Álava</w:t>
            </w:r>
          </w:p>
        </w:tc>
        <w:tc>
          <w:tcPr>
            <w:tcW w:w="3212" w:type="dxa"/>
            <w:vAlign w:val="bottom"/>
          </w:tcPr>
          <w:p w14:paraId="4981114E" w14:textId="77777777" w:rsidR="0049063B"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Vitoria - Gasteiz</w:t>
            </w:r>
          </w:p>
        </w:tc>
        <w:tc>
          <w:tcPr>
            <w:tcW w:w="1896" w:type="dxa"/>
            <w:vAlign w:val="bottom"/>
          </w:tcPr>
          <w:p w14:paraId="7781CA81"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1" w:type="dxa"/>
            <w:vAlign w:val="bottom"/>
          </w:tcPr>
          <w:p w14:paraId="4942A9A7"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3,8%</w:t>
            </w:r>
          </w:p>
        </w:tc>
      </w:tr>
      <w:tr w:rsidR="0049063B" w14:paraId="0EADC727" w14:textId="77777777" w:rsidTr="0049063B">
        <w:trPr>
          <w:trHeight w:val="276"/>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BD0CBCA"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Bizkaia</w:t>
            </w:r>
          </w:p>
        </w:tc>
        <w:tc>
          <w:tcPr>
            <w:tcW w:w="3212" w:type="dxa"/>
            <w:vAlign w:val="bottom"/>
          </w:tcPr>
          <w:p w14:paraId="442702A3" w14:textId="77777777" w:rsidR="0049063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Bilbao</w:t>
            </w:r>
          </w:p>
        </w:tc>
        <w:tc>
          <w:tcPr>
            <w:tcW w:w="1896" w:type="dxa"/>
            <w:vAlign w:val="bottom"/>
          </w:tcPr>
          <w:p w14:paraId="279D039A"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4,8%</w:t>
            </w:r>
          </w:p>
        </w:tc>
        <w:tc>
          <w:tcPr>
            <w:tcW w:w="2121" w:type="dxa"/>
            <w:vAlign w:val="bottom"/>
          </w:tcPr>
          <w:p w14:paraId="4DA0035C"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5,0%</w:t>
            </w:r>
          </w:p>
        </w:tc>
      </w:tr>
      <w:tr w:rsidR="0049063B" w14:paraId="4A398CF1" w14:textId="77777777" w:rsidTr="0049063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BBDD7C5"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Gipuzkoa</w:t>
            </w:r>
          </w:p>
        </w:tc>
        <w:tc>
          <w:tcPr>
            <w:tcW w:w="3212" w:type="dxa"/>
            <w:vAlign w:val="bottom"/>
          </w:tcPr>
          <w:p w14:paraId="7D0B67AC" w14:textId="77777777" w:rsidR="0049063B"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Donostia - San Sebastián</w:t>
            </w:r>
          </w:p>
        </w:tc>
        <w:tc>
          <w:tcPr>
            <w:tcW w:w="1896" w:type="dxa"/>
            <w:vAlign w:val="bottom"/>
          </w:tcPr>
          <w:p w14:paraId="399519C9"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5,4%</w:t>
            </w:r>
          </w:p>
        </w:tc>
        <w:tc>
          <w:tcPr>
            <w:tcW w:w="2121" w:type="dxa"/>
            <w:vAlign w:val="bottom"/>
          </w:tcPr>
          <w:p w14:paraId="280B07DE" w14:textId="77777777" w:rsidR="0049063B"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5,2%</w:t>
            </w:r>
          </w:p>
        </w:tc>
      </w:tr>
      <w:tr w:rsidR="0049063B" w14:paraId="1CFCF652" w14:textId="77777777" w:rsidTr="0049063B">
        <w:trPr>
          <w:trHeight w:val="276"/>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CE0C35C" w14:textId="77777777" w:rsidR="0049063B" w:rsidRDefault="00000000">
            <w:pPr>
              <w:spacing w:line="276" w:lineRule="auto"/>
              <w:rPr>
                <w:rFonts w:ascii="Open Sans" w:eastAsia="Open Sans" w:hAnsi="Open Sans" w:cs="Open Sans"/>
                <w:sz w:val="22"/>
                <w:szCs w:val="22"/>
              </w:rPr>
            </w:pPr>
            <w:r>
              <w:rPr>
                <w:rFonts w:ascii="Open Sans" w:eastAsia="Open Sans" w:hAnsi="Open Sans" w:cs="Open Sans"/>
                <w:b w:val="0"/>
                <w:sz w:val="22"/>
                <w:szCs w:val="22"/>
              </w:rPr>
              <w:t>Murcia</w:t>
            </w:r>
          </w:p>
        </w:tc>
        <w:tc>
          <w:tcPr>
            <w:tcW w:w="3212" w:type="dxa"/>
            <w:vAlign w:val="bottom"/>
          </w:tcPr>
          <w:p w14:paraId="75B350AC" w14:textId="77777777" w:rsidR="0049063B"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Murcia capital</w:t>
            </w:r>
          </w:p>
        </w:tc>
        <w:tc>
          <w:tcPr>
            <w:tcW w:w="1896" w:type="dxa"/>
            <w:vAlign w:val="bottom"/>
          </w:tcPr>
          <w:p w14:paraId="7B2AD5C9"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10,2%</w:t>
            </w:r>
          </w:p>
        </w:tc>
        <w:tc>
          <w:tcPr>
            <w:tcW w:w="2121" w:type="dxa"/>
            <w:vAlign w:val="bottom"/>
          </w:tcPr>
          <w:p w14:paraId="3558713D" w14:textId="77777777" w:rsidR="0049063B" w:rsidRDefault="00000000">
            <w:pPr>
              <w:spacing w:line="276"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9,9%</w:t>
            </w:r>
          </w:p>
        </w:tc>
      </w:tr>
    </w:tbl>
    <w:p w14:paraId="2F82745E" w14:textId="77777777" w:rsidR="0049063B" w:rsidRDefault="0049063B">
      <w:pPr>
        <w:jc w:val="both"/>
        <w:rPr>
          <w:rFonts w:ascii="Open Sans Light" w:eastAsia="Open Sans Light" w:hAnsi="Open Sans Light" w:cs="Open Sans Light"/>
          <w:color w:val="404040"/>
        </w:rPr>
      </w:pPr>
    </w:p>
    <w:p w14:paraId="3AB7060D" w14:textId="77777777" w:rsidR="0049063B" w:rsidRDefault="00000000">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t>Tabla 4. Rentabilidad de los garajes por distritos de Madrid (comparativa 2017, 2021 y 2022)</w:t>
      </w:r>
    </w:p>
    <w:tbl>
      <w:tblPr>
        <w:tblStyle w:val="a2"/>
        <w:tblW w:w="906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89"/>
        <w:gridCol w:w="2268"/>
        <w:gridCol w:w="2126"/>
        <w:gridCol w:w="1984"/>
      </w:tblGrid>
      <w:tr w:rsidR="0049063B" w14:paraId="40033C5F" w14:textId="77777777" w:rsidTr="0049063B">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A6FFAA4"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Distritos de Madrid</w:t>
            </w:r>
          </w:p>
        </w:tc>
        <w:tc>
          <w:tcPr>
            <w:tcW w:w="2268" w:type="dxa"/>
            <w:vAlign w:val="center"/>
          </w:tcPr>
          <w:p w14:paraId="54EF17DB"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737301D3"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2017</w:t>
            </w:r>
          </w:p>
          <w:p w14:paraId="1E19F09E"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(5 años)</w:t>
            </w:r>
          </w:p>
        </w:tc>
        <w:tc>
          <w:tcPr>
            <w:tcW w:w="2126" w:type="dxa"/>
            <w:vAlign w:val="center"/>
          </w:tcPr>
          <w:p w14:paraId="6430A5B4"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3951CF18"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2021</w:t>
            </w:r>
          </w:p>
          <w:p w14:paraId="1282AA5B"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(1 año)</w:t>
            </w:r>
          </w:p>
        </w:tc>
        <w:tc>
          <w:tcPr>
            <w:tcW w:w="1984" w:type="dxa"/>
            <w:vAlign w:val="center"/>
          </w:tcPr>
          <w:p w14:paraId="39CE2858"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34EE9628"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color w:val="000000"/>
                <w:sz w:val="22"/>
                <w:szCs w:val="22"/>
              </w:rPr>
            </w:pPr>
            <w:r>
              <w:rPr>
                <w:rFonts w:ascii="Open Sans" w:eastAsia="Open Sans" w:hAnsi="Open Sans" w:cs="Open Sans"/>
                <w:b w:val="0"/>
                <w:color w:val="000000"/>
                <w:sz w:val="22"/>
                <w:szCs w:val="22"/>
              </w:rPr>
              <w:t>2022</w:t>
            </w:r>
          </w:p>
        </w:tc>
      </w:tr>
      <w:tr w:rsidR="0049063B" w14:paraId="44D5FE6B" w14:textId="77777777" w:rsidTr="0049063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572FD90F"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San Blas</w:t>
            </w:r>
          </w:p>
        </w:tc>
        <w:tc>
          <w:tcPr>
            <w:tcW w:w="2268" w:type="dxa"/>
          </w:tcPr>
          <w:p w14:paraId="61A6F867"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6" w:type="dxa"/>
            <w:vAlign w:val="bottom"/>
          </w:tcPr>
          <w:p w14:paraId="5D946D18"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5,7%</w:t>
            </w:r>
          </w:p>
        </w:tc>
        <w:tc>
          <w:tcPr>
            <w:tcW w:w="1984" w:type="dxa"/>
            <w:vAlign w:val="bottom"/>
          </w:tcPr>
          <w:p w14:paraId="222A1E38"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7,2%</w:t>
            </w:r>
          </w:p>
        </w:tc>
      </w:tr>
      <w:tr w:rsidR="0049063B" w14:paraId="57CC3FAC" w14:textId="77777777" w:rsidTr="0049063B">
        <w:trPr>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608E31ED"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Moncloa - Aravaca</w:t>
            </w:r>
          </w:p>
        </w:tc>
        <w:tc>
          <w:tcPr>
            <w:tcW w:w="2268" w:type="dxa"/>
          </w:tcPr>
          <w:p w14:paraId="4A1E2FE2"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6" w:type="dxa"/>
          </w:tcPr>
          <w:p w14:paraId="031FC254"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84" w:type="dxa"/>
            <w:vAlign w:val="bottom"/>
          </w:tcPr>
          <w:p w14:paraId="746EC018"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7,2%</w:t>
            </w:r>
          </w:p>
        </w:tc>
      </w:tr>
      <w:tr w:rsidR="0049063B" w14:paraId="3E27818A" w14:textId="77777777" w:rsidTr="0049063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51B38A11"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Retiro</w:t>
            </w:r>
          </w:p>
        </w:tc>
        <w:tc>
          <w:tcPr>
            <w:tcW w:w="2268" w:type="dxa"/>
            <w:vAlign w:val="bottom"/>
          </w:tcPr>
          <w:p w14:paraId="6FC48D2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5,4%</w:t>
            </w:r>
          </w:p>
        </w:tc>
        <w:tc>
          <w:tcPr>
            <w:tcW w:w="2126" w:type="dxa"/>
          </w:tcPr>
          <w:p w14:paraId="62692A33"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84" w:type="dxa"/>
            <w:vAlign w:val="bottom"/>
          </w:tcPr>
          <w:p w14:paraId="7784D68B"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5,7%</w:t>
            </w:r>
          </w:p>
        </w:tc>
      </w:tr>
      <w:tr w:rsidR="0049063B" w14:paraId="6A2C0DE1" w14:textId="77777777" w:rsidTr="0049063B">
        <w:trPr>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0CA16C78"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Barrio de Salamanca</w:t>
            </w:r>
          </w:p>
        </w:tc>
        <w:tc>
          <w:tcPr>
            <w:tcW w:w="2268" w:type="dxa"/>
            <w:vAlign w:val="bottom"/>
          </w:tcPr>
          <w:p w14:paraId="27CAE93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5,0%</w:t>
            </w:r>
          </w:p>
        </w:tc>
        <w:tc>
          <w:tcPr>
            <w:tcW w:w="2126" w:type="dxa"/>
            <w:vAlign w:val="bottom"/>
          </w:tcPr>
          <w:p w14:paraId="2E610672"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4,7%</w:t>
            </w:r>
          </w:p>
        </w:tc>
        <w:tc>
          <w:tcPr>
            <w:tcW w:w="1984" w:type="dxa"/>
            <w:vAlign w:val="bottom"/>
          </w:tcPr>
          <w:p w14:paraId="5B4110BD"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5,6%</w:t>
            </w:r>
          </w:p>
        </w:tc>
      </w:tr>
      <w:tr w:rsidR="0049063B" w14:paraId="312F59CD" w14:textId="77777777" w:rsidTr="0049063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371D6E2B"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Chamartín</w:t>
            </w:r>
          </w:p>
        </w:tc>
        <w:tc>
          <w:tcPr>
            <w:tcW w:w="2268" w:type="dxa"/>
          </w:tcPr>
          <w:p w14:paraId="7F184401"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6" w:type="dxa"/>
          </w:tcPr>
          <w:p w14:paraId="60F5D924"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84" w:type="dxa"/>
            <w:vAlign w:val="bottom"/>
          </w:tcPr>
          <w:p w14:paraId="529820CE"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5,2%</w:t>
            </w:r>
          </w:p>
        </w:tc>
      </w:tr>
      <w:tr w:rsidR="0049063B" w14:paraId="1D9BD0FA" w14:textId="77777777" w:rsidTr="0049063B">
        <w:trPr>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0094D495"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Fuencarral - El Pardo</w:t>
            </w:r>
          </w:p>
        </w:tc>
        <w:tc>
          <w:tcPr>
            <w:tcW w:w="2268" w:type="dxa"/>
          </w:tcPr>
          <w:p w14:paraId="68AC1A1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6" w:type="dxa"/>
          </w:tcPr>
          <w:p w14:paraId="2D70D206"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84" w:type="dxa"/>
            <w:vAlign w:val="bottom"/>
          </w:tcPr>
          <w:p w14:paraId="5C35F8EF"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5,1%</w:t>
            </w:r>
          </w:p>
        </w:tc>
      </w:tr>
      <w:tr w:rsidR="0049063B" w14:paraId="275BEFAB" w14:textId="77777777" w:rsidTr="0049063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7DACCCBA"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Centro</w:t>
            </w:r>
          </w:p>
        </w:tc>
        <w:tc>
          <w:tcPr>
            <w:tcW w:w="2268" w:type="dxa"/>
          </w:tcPr>
          <w:p w14:paraId="6936E777"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6" w:type="dxa"/>
          </w:tcPr>
          <w:p w14:paraId="7A5AAFA5"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84" w:type="dxa"/>
            <w:vAlign w:val="bottom"/>
          </w:tcPr>
          <w:p w14:paraId="041150F8"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5,0%</w:t>
            </w:r>
          </w:p>
        </w:tc>
      </w:tr>
      <w:tr w:rsidR="0049063B" w14:paraId="46596EA0" w14:textId="77777777" w:rsidTr="0049063B">
        <w:trPr>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0D064818"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Tetuán</w:t>
            </w:r>
          </w:p>
        </w:tc>
        <w:tc>
          <w:tcPr>
            <w:tcW w:w="2268" w:type="dxa"/>
            <w:vAlign w:val="bottom"/>
          </w:tcPr>
          <w:p w14:paraId="45087372"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5,2%</w:t>
            </w:r>
          </w:p>
        </w:tc>
        <w:tc>
          <w:tcPr>
            <w:tcW w:w="2126" w:type="dxa"/>
            <w:vAlign w:val="bottom"/>
          </w:tcPr>
          <w:p w14:paraId="7041B52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4,8%</w:t>
            </w:r>
          </w:p>
        </w:tc>
        <w:tc>
          <w:tcPr>
            <w:tcW w:w="1984" w:type="dxa"/>
            <w:vAlign w:val="bottom"/>
          </w:tcPr>
          <w:p w14:paraId="23CE8F3A"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4,9%</w:t>
            </w:r>
          </w:p>
        </w:tc>
      </w:tr>
      <w:tr w:rsidR="0049063B" w14:paraId="30D3BAB1" w14:textId="77777777" w:rsidTr="0049063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6FF5BFB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Hortaleza</w:t>
            </w:r>
          </w:p>
        </w:tc>
        <w:tc>
          <w:tcPr>
            <w:tcW w:w="2268" w:type="dxa"/>
            <w:vAlign w:val="bottom"/>
          </w:tcPr>
          <w:p w14:paraId="41C80C1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4,6%</w:t>
            </w:r>
          </w:p>
        </w:tc>
        <w:tc>
          <w:tcPr>
            <w:tcW w:w="2126" w:type="dxa"/>
            <w:vAlign w:val="bottom"/>
          </w:tcPr>
          <w:p w14:paraId="3285CFDD"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5,1%</w:t>
            </w:r>
          </w:p>
        </w:tc>
        <w:tc>
          <w:tcPr>
            <w:tcW w:w="1984" w:type="dxa"/>
            <w:vAlign w:val="bottom"/>
          </w:tcPr>
          <w:p w14:paraId="52841984"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4,6%</w:t>
            </w:r>
          </w:p>
        </w:tc>
      </w:tr>
      <w:tr w:rsidR="0049063B" w14:paraId="0958DA14" w14:textId="77777777" w:rsidTr="0049063B">
        <w:trPr>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45ADD4B1"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Ciudad Lineal</w:t>
            </w:r>
          </w:p>
        </w:tc>
        <w:tc>
          <w:tcPr>
            <w:tcW w:w="2268" w:type="dxa"/>
            <w:vAlign w:val="bottom"/>
          </w:tcPr>
          <w:p w14:paraId="38C5739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4,5%</w:t>
            </w:r>
          </w:p>
        </w:tc>
        <w:tc>
          <w:tcPr>
            <w:tcW w:w="2126" w:type="dxa"/>
            <w:vAlign w:val="bottom"/>
          </w:tcPr>
          <w:p w14:paraId="09EFB01D"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4,7%</w:t>
            </w:r>
          </w:p>
        </w:tc>
        <w:tc>
          <w:tcPr>
            <w:tcW w:w="1984" w:type="dxa"/>
            <w:vAlign w:val="bottom"/>
          </w:tcPr>
          <w:p w14:paraId="4B43F69E"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4,6%</w:t>
            </w:r>
          </w:p>
        </w:tc>
      </w:tr>
      <w:tr w:rsidR="0049063B" w14:paraId="75F2096A" w14:textId="77777777" w:rsidTr="0049063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30B2DA1A"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Chamberí</w:t>
            </w:r>
          </w:p>
        </w:tc>
        <w:tc>
          <w:tcPr>
            <w:tcW w:w="2268" w:type="dxa"/>
            <w:vAlign w:val="bottom"/>
          </w:tcPr>
          <w:p w14:paraId="5865F10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5,0%</w:t>
            </w:r>
          </w:p>
        </w:tc>
        <w:tc>
          <w:tcPr>
            <w:tcW w:w="2126" w:type="dxa"/>
            <w:vAlign w:val="bottom"/>
          </w:tcPr>
          <w:p w14:paraId="59DDAF94"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84" w:type="dxa"/>
            <w:vAlign w:val="bottom"/>
          </w:tcPr>
          <w:p w14:paraId="28A5A685"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4,5%</w:t>
            </w:r>
          </w:p>
        </w:tc>
      </w:tr>
      <w:tr w:rsidR="0049063B" w14:paraId="7A0769F0" w14:textId="77777777" w:rsidTr="0049063B">
        <w:trPr>
          <w:trHeight w:val="289"/>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6160243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Arganzuela</w:t>
            </w:r>
          </w:p>
        </w:tc>
        <w:tc>
          <w:tcPr>
            <w:tcW w:w="2268" w:type="dxa"/>
            <w:vAlign w:val="bottom"/>
          </w:tcPr>
          <w:p w14:paraId="405928DE"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4,6%</w:t>
            </w:r>
          </w:p>
        </w:tc>
        <w:tc>
          <w:tcPr>
            <w:tcW w:w="2126" w:type="dxa"/>
            <w:vAlign w:val="bottom"/>
          </w:tcPr>
          <w:p w14:paraId="3781A7E9"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84" w:type="dxa"/>
            <w:vAlign w:val="bottom"/>
          </w:tcPr>
          <w:p w14:paraId="041378A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color w:val="000000"/>
                <w:sz w:val="22"/>
                <w:szCs w:val="22"/>
              </w:rPr>
              <w:t>4,4%</w:t>
            </w:r>
          </w:p>
        </w:tc>
      </w:tr>
    </w:tbl>
    <w:p w14:paraId="097817E6" w14:textId="77777777" w:rsidR="0049063B" w:rsidRDefault="0049063B">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p>
    <w:p w14:paraId="5F3981D5" w14:textId="77777777" w:rsidR="0049063B" w:rsidRDefault="00000000">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t>Tabla 5. Rentabilidad de los garajes por distritos de Barcelona (comparativa 2017, 2021 y 2022)</w:t>
      </w:r>
    </w:p>
    <w:tbl>
      <w:tblPr>
        <w:tblStyle w:val="a3"/>
        <w:tblW w:w="906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47"/>
        <w:gridCol w:w="2410"/>
        <w:gridCol w:w="2126"/>
        <w:gridCol w:w="1984"/>
      </w:tblGrid>
      <w:tr w:rsidR="0049063B" w14:paraId="3EF963C6" w14:textId="77777777" w:rsidTr="0049063B">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C36B9D2" w14:textId="77777777" w:rsidR="0049063B" w:rsidRDefault="00000000">
            <w:pPr>
              <w:jc w:val="center"/>
              <w:rPr>
                <w:rFonts w:ascii="Open Sans" w:eastAsia="Open Sans" w:hAnsi="Open Sans" w:cs="Open Sans"/>
                <w:sz w:val="22"/>
                <w:szCs w:val="22"/>
              </w:rPr>
            </w:pPr>
            <w:r>
              <w:rPr>
                <w:rFonts w:ascii="Open Sans" w:eastAsia="Open Sans" w:hAnsi="Open Sans" w:cs="Open Sans"/>
                <w:b w:val="0"/>
                <w:sz w:val="22"/>
                <w:szCs w:val="22"/>
              </w:rPr>
              <w:t>Distritos de Barcelona</w:t>
            </w:r>
          </w:p>
        </w:tc>
        <w:tc>
          <w:tcPr>
            <w:tcW w:w="2410" w:type="dxa"/>
            <w:vAlign w:val="center"/>
          </w:tcPr>
          <w:p w14:paraId="1A838748"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42E98E67"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2017</w:t>
            </w:r>
          </w:p>
          <w:p w14:paraId="1508D691"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(5 años)</w:t>
            </w:r>
          </w:p>
        </w:tc>
        <w:tc>
          <w:tcPr>
            <w:tcW w:w="2126" w:type="dxa"/>
            <w:vAlign w:val="center"/>
          </w:tcPr>
          <w:p w14:paraId="0F1C47A7"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4AF59660"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2021</w:t>
            </w:r>
          </w:p>
          <w:p w14:paraId="4A96D05E"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(1 año)</w:t>
            </w:r>
          </w:p>
        </w:tc>
        <w:tc>
          <w:tcPr>
            <w:tcW w:w="1984" w:type="dxa"/>
            <w:vAlign w:val="center"/>
          </w:tcPr>
          <w:p w14:paraId="16C48AC8"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b w:val="0"/>
                <w:color w:val="000000"/>
                <w:sz w:val="22"/>
                <w:szCs w:val="22"/>
              </w:rPr>
              <w:t>Rentabilidad</w:t>
            </w:r>
          </w:p>
          <w:p w14:paraId="0D0CCBF6" w14:textId="77777777" w:rsidR="0049063B"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color w:val="000000"/>
                <w:sz w:val="22"/>
                <w:szCs w:val="22"/>
              </w:rPr>
            </w:pPr>
            <w:r>
              <w:rPr>
                <w:rFonts w:ascii="Open Sans" w:eastAsia="Open Sans" w:hAnsi="Open Sans" w:cs="Open Sans"/>
                <w:b w:val="0"/>
                <w:color w:val="000000"/>
                <w:sz w:val="22"/>
                <w:szCs w:val="22"/>
              </w:rPr>
              <w:t>2022</w:t>
            </w:r>
          </w:p>
        </w:tc>
      </w:tr>
      <w:tr w:rsidR="0049063B" w14:paraId="1996D14D" w14:textId="77777777" w:rsidTr="0049063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47" w:type="dxa"/>
          </w:tcPr>
          <w:p w14:paraId="007580BE"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Horta - Guinardó</w:t>
            </w:r>
          </w:p>
        </w:tc>
        <w:tc>
          <w:tcPr>
            <w:tcW w:w="2410" w:type="dxa"/>
          </w:tcPr>
          <w:p w14:paraId="36D8BC63"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5,9%</w:t>
            </w:r>
          </w:p>
        </w:tc>
        <w:tc>
          <w:tcPr>
            <w:tcW w:w="2126" w:type="dxa"/>
          </w:tcPr>
          <w:p w14:paraId="33BFE0C2"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c>
          <w:tcPr>
            <w:tcW w:w="1984" w:type="dxa"/>
          </w:tcPr>
          <w:p w14:paraId="631E39A8"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r>
      <w:tr w:rsidR="0049063B" w14:paraId="72B6256F" w14:textId="77777777" w:rsidTr="0049063B">
        <w:trPr>
          <w:trHeight w:val="282"/>
        </w:trPr>
        <w:tc>
          <w:tcPr>
            <w:cnfStyle w:val="001000000000" w:firstRow="0" w:lastRow="0" w:firstColumn="1" w:lastColumn="0" w:oddVBand="0" w:evenVBand="0" w:oddHBand="0" w:evenHBand="0" w:firstRowFirstColumn="0" w:firstRowLastColumn="0" w:lastRowFirstColumn="0" w:lastRowLastColumn="0"/>
            <w:tcW w:w="2547" w:type="dxa"/>
          </w:tcPr>
          <w:p w14:paraId="49E846B2"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Sants - Montjuïc</w:t>
            </w:r>
          </w:p>
        </w:tc>
        <w:tc>
          <w:tcPr>
            <w:tcW w:w="2410" w:type="dxa"/>
          </w:tcPr>
          <w:p w14:paraId="6EECFEB1"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7,6%</w:t>
            </w:r>
          </w:p>
        </w:tc>
        <w:tc>
          <w:tcPr>
            <w:tcW w:w="2126" w:type="dxa"/>
          </w:tcPr>
          <w:p w14:paraId="14F3B8F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c>
          <w:tcPr>
            <w:tcW w:w="1984" w:type="dxa"/>
          </w:tcPr>
          <w:p w14:paraId="650B047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r>
      <w:tr w:rsidR="0049063B" w14:paraId="2A064692" w14:textId="77777777" w:rsidTr="0049063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47" w:type="dxa"/>
          </w:tcPr>
          <w:p w14:paraId="50C710FA"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Eixample</w:t>
            </w:r>
          </w:p>
        </w:tc>
        <w:tc>
          <w:tcPr>
            <w:tcW w:w="2410" w:type="dxa"/>
          </w:tcPr>
          <w:p w14:paraId="7FE3382F"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6,9%</w:t>
            </w:r>
          </w:p>
        </w:tc>
        <w:tc>
          <w:tcPr>
            <w:tcW w:w="2126" w:type="dxa"/>
          </w:tcPr>
          <w:p w14:paraId="4AEF5C75"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1984" w:type="dxa"/>
          </w:tcPr>
          <w:p w14:paraId="5BBAD83B"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r>
      <w:tr w:rsidR="0049063B" w14:paraId="3326A319" w14:textId="77777777" w:rsidTr="0049063B">
        <w:trPr>
          <w:trHeight w:val="282"/>
        </w:trPr>
        <w:tc>
          <w:tcPr>
            <w:cnfStyle w:val="001000000000" w:firstRow="0" w:lastRow="0" w:firstColumn="1" w:lastColumn="0" w:oddVBand="0" w:evenVBand="0" w:oddHBand="0" w:evenHBand="0" w:firstRowFirstColumn="0" w:firstRowLastColumn="0" w:lastRowFirstColumn="0" w:lastRowLastColumn="0"/>
            <w:tcW w:w="2547" w:type="dxa"/>
          </w:tcPr>
          <w:p w14:paraId="4DCE2189"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lastRenderedPageBreak/>
              <w:t>Sarrià - Sant Gervasi</w:t>
            </w:r>
          </w:p>
        </w:tc>
        <w:tc>
          <w:tcPr>
            <w:tcW w:w="2410" w:type="dxa"/>
          </w:tcPr>
          <w:p w14:paraId="77E95E15"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6,7%</w:t>
            </w:r>
          </w:p>
        </w:tc>
        <w:tc>
          <w:tcPr>
            <w:tcW w:w="2126" w:type="dxa"/>
          </w:tcPr>
          <w:p w14:paraId="4ECB394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c>
          <w:tcPr>
            <w:tcW w:w="1984" w:type="dxa"/>
          </w:tcPr>
          <w:p w14:paraId="65601C32"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9063B" w14:paraId="58695C1A" w14:textId="77777777" w:rsidTr="0049063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47" w:type="dxa"/>
          </w:tcPr>
          <w:p w14:paraId="6C4BD65D"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Nou Barris</w:t>
            </w:r>
          </w:p>
        </w:tc>
        <w:tc>
          <w:tcPr>
            <w:tcW w:w="2410" w:type="dxa"/>
          </w:tcPr>
          <w:p w14:paraId="346B974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6" w:type="dxa"/>
          </w:tcPr>
          <w:p w14:paraId="1E979BC5"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84" w:type="dxa"/>
          </w:tcPr>
          <w:p w14:paraId="393F9CA6"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9063B" w14:paraId="0A91ABCD" w14:textId="77777777" w:rsidTr="0049063B">
        <w:trPr>
          <w:trHeight w:val="282"/>
        </w:trPr>
        <w:tc>
          <w:tcPr>
            <w:cnfStyle w:val="001000000000" w:firstRow="0" w:lastRow="0" w:firstColumn="1" w:lastColumn="0" w:oddVBand="0" w:evenVBand="0" w:oddHBand="0" w:evenHBand="0" w:firstRowFirstColumn="0" w:firstRowLastColumn="0" w:lastRowFirstColumn="0" w:lastRowLastColumn="0"/>
            <w:tcW w:w="2547" w:type="dxa"/>
          </w:tcPr>
          <w:p w14:paraId="5CFF3C71"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Les Corts</w:t>
            </w:r>
          </w:p>
        </w:tc>
        <w:tc>
          <w:tcPr>
            <w:tcW w:w="2410" w:type="dxa"/>
          </w:tcPr>
          <w:p w14:paraId="46BEA393"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8,8%</w:t>
            </w:r>
          </w:p>
        </w:tc>
        <w:tc>
          <w:tcPr>
            <w:tcW w:w="2126" w:type="dxa"/>
          </w:tcPr>
          <w:p w14:paraId="1A962728"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5,9%</w:t>
            </w:r>
          </w:p>
        </w:tc>
        <w:tc>
          <w:tcPr>
            <w:tcW w:w="1984" w:type="dxa"/>
          </w:tcPr>
          <w:p w14:paraId="0D68DA76"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r>
      <w:tr w:rsidR="0049063B" w14:paraId="3FEAB831" w14:textId="77777777" w:rsidTr="0049063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47" w:type="dxa"/>
          </w:tcPr>
          <w:p w14:paraId="11787D2A" w14:textId="77777777" w:rsidR="0049063B" w:rsidRDefault="00000000">
            <w:pPr>
              <w:rPr>
                <w:rFonts w:ascii="Open Sans" w:eastAsia="Open Sans" w:hAnsi="Open Sans" w:cs="Open Sans"/>
                <w:sz w:val="22"/>
                <w:szCs w:val="22"/>
              </w:rPr>
            </w:pPr>
            <w:proofErr w:type="spellStart"/>
            <w:r>
              <w:rPr>
                <w:rFonts w:ascii="Open Sans" w:eastAsia="Open Sans" w:hAnsi="Open Sans" w:cs="Open Sans"/>
                <w:b w:val="0"/>
                <w:sz w:val="22"/>
                <w:szCs w:val="22"/>
              </w:rPr>
              <w:t>Ciutat</w:t>
            </w:r>
            <w:proofErr w:type="spellEnd"/>
            <w:r>
              <w:rPr>
                <w:rFonts w:ascii="Open Sans" w:eastAsia="Open Sans" w:hAnsi="Open Sans" w:cs="Open Sans"/>
                <w:b w:val="0"/>
                <w:sz w:val="22"/>
                <w:szCs w:val="22"/>
              </w:rPr>
              <w:t xml:space="preserve"> Vella</w:t>
            </w:r>
          </w:p>
        </w:tc>
        <w:tc>
          <w:tcPr>
            <w:tcW w:w="2410" w:type="dxa"/>
          </w:tcPr>
          <w:p w14:paraId="566675BE"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2126" w:type="dxa"/>
          </w:tcPr>
          <w:p w14:paraId="33BFF0C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w:t>
            </w:r>
          </w:p>
        </w:tc>
        <w:tc>
          <w:tcPr>
            <w:tcW w:w="1984" w:type="dxa"/>
          </w:tcPr>
          <w:p w14:paraId="65852509"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49063B" w14:paraId="4C307DED" w14:textId="77777777" w:rsidTr="0049063B">
        <w:trPr>
          <w:trHeight w:val="282"/>
        </w:trPr>
        <w:tc>
          <w:tcPr>
            <w:cnfStyle w:val="001000000000" w:firstRow="0" w:lastRow="0" w:firstColumn="1" w:lastColumn="0" w:oddVBand="0" w:evenVBand="0" w:oddHBand="0" w:evenHBand="0" w:firstRowFirstColumn="0" w:firstRowLastColumn="0" w:lastRowFirstColumn="0" w:lastRowLastColumn="0"/>
            <w:tcW w:w="2547" w:type="dxa"/>
          </w:tcPr>
          <w:p w14:paraId="2AA8F530"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Sant Martí</w:t>
            </w:r>
          </w:p>
        </w:tc>
        <w:tc>
          <w:tcPr>
            <w:tcW w:w="2410" w:type="dxa"/>
          </w:tcPr>
          <w:p w14:paraId="2ED2ED8F"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5,1%</w:t>
            </w:r>
          </w:p>
        </w:tc>
        <w:tc>
          <w:tcPr>
            <w:tcW w:w="2126" w:type="dxa"/>
          </w:tcPr>
          <w:p w14:paraId="6CF0467C"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984" w:type="dxa"/>
          </w:tcPr>
          <w:p w14:paraId="58CD0472"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r>
      <w:tr w:rsidR="0049063B" w14:paraId="02B508C5" w14:textId="77777777" w:rsidTr="0049063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47" w:type="dxa"/>
          </w:tcPr>
          <w:p w14:paraId="7B5BD83E"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Sant Andreu</w:t>
            </w:r>
          </w:p>
        </w:tc>
        <w:tc>
          <w:tcPr>
            <w:tcW w:w="2410" w:type="dxa"/>
          </w:tcPr>
          <w:p w14:paraId="0D83B8FD"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4,7%</w:t>
            </w:r>
          </w:p>
        </w:tc>
        <w:tc>
          <w:tcPr>
            <w:tcW w:w="2126" w:type="dxa"/>
          </w:tcPr>
          <w:p w14:paraId="115C7C22"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6,2%</w:t>
            </w:r>
          </w:p>
        </w:tc>
        <w:tc>
          <w:tcPr>
            <w:tcW w:w="1984" w:type="dxa"/>
          </w:tcPr>
          <w:p w14:paraId="2412DD00" w14:textId="77777777" w:rsidR="0049063B"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r>
      <w:tr w:rsidR="0049063B" w14:paraId="7D3602E8" w14:textId="77777777" w:rsidTr="0049063B">
        <w:trPr>
          <w:trHeight w:val="282"/>
        </w:trPr>
        <w:tc>
          <w:tcPr>
            <w:cnfStyle w:val="001000000000" w:firstRow="0" w:lastRow="0" w:firstColumn="1" w:lastColumn="0" w:oddVBand="0" w:evenVBand="0" w:oddHBand="0" w:evenHBand="0" w:firstRowFirstColumn="0" w:firstRowLastColumn="0" w:lastRowFirstColumn="0" w:lastRowLastColumn="0"/>
            <w:tcW w:w="2547" w:type="dxa"/>
          </w:tcPr>
          <w:p w14:paraId="761E10C8" w14:textId="77777777" w:rsidR="0049063B" w:rsidRDefault="00000000">
            <w:pPr>
              <w:rPr>
                <w:rFonts w:ascii="Open Sans" w:eastAsia="Open Sans" w:hAnsi="Open Sans" w:cs="Open Sans"/>
                <w:sz w:val="22"/>
                <w:szCs w:val="22"/>
              </w:rPr>
            </w:pPr>
            <w:r>
              <w:rPr>
                <w:rFonts w:ascii="Open Sans" w:eastAsia="Open Sans" w:hAnsi="Open Sans" w:cs="Open Sans"/>
                <w:b w:val="0"/>
                <w:sz w:val="22"/>
                <w:szCs w:val="22"/>
              </w:rPr>
              <w:t>Gràcia</w:t>
            </w:r>
          </w:p>
        </w:tc>
        <w:tc>
          <w:tcPr>
            <w:tcW w:w="2410" w:type="dxa"/>
          </w:tcPr>
          <w:p w14:paraId="7A76B0BB"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5,0%</w:t>
            </w:r>
          </w:p>
        </w:tc>
        <w:tc>
          <w:tcPr>
            <w:tcW w:w="2126" w:type="dxa"/>
          </w:tcPr>
          <w:p w14:paraId="3666F23E"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c>
          <w:tcPr>
            <w:tcW w:w="1984" w:type="dxa"/>
          </w:tcPr>
          <w:p w14:paraId="2667F530" w14:textId="77777777" w:rsidR="0049063B"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5,6%</w:t>
            </w:r>
          </w:p>
        </w:tc>
      </w:tr>
    </w:tbl>
    <w:p w14:paraId="1C1A81A2" w14:textId="77777777" w:rsidR="0049063B" w:rsidRDefault="0049063B">
      <w:pPr>
        <w:spacing w:line="276" w:lineRule="auto"/>
        <w:ind w:right="-574"/>
        <w:jc w:val="right"/>
        <w:rPr>
          <w:rFonts w:ascii="Open Sans Light" w:eastAsia="Open Sans Light" w:hAnsi="Open Sans Light" w:cs="Open Sans Light"/>
          <w:b/>
          <w:color w:val="303AB2"/>
        </w:rPr>
      </w:pPr>
    </w:p>
    <w:p w14:paraId="3FEBE75D" w14:textId="77777777" w:rsidR="0049063B" w:rsidRDefault="0049063B">
      <w:pPr>
        <w:spacing w:line="276" w:lineRule="auto"/>
        <w:ind w:right="-716"/>
        <w:jc w:val="right"/>
        <w:rPr>
          <w:rFonts w:ascii="Open Sans Light" w:eastAsia="Open Sans Light" w:hAnsi="Open Sans Light" w:cs="Open Sans Light"/>
          <w:b/>
          <w:color w:val="303AB2"/>
        </w:rPr>
      </w:pPr>
    </w:p>
    <w:p w14:paraId="5817A783" w14:textId="77777777" w:rsidR="0049063B" w:rsidRDefault="0049063B">
      <w:pPr>
        <w:spacing w:line="276" w:lineRule="auto"/>
        <w:ind w:right="-716"/>
        <w:jc w:val="right"/>
        <w:rPr>
          <w:rFonts w:ascii="Open Sans Light" w:eastAsia="Open Sans Light" w:hAnsi="Open Sans Light" w:cs="Open Sans Light"/>
          <w:b/>
          <w:color w:val="303AB2"/>
        </w:rPr>
      </w:pPr>
    </w:p>
    <w:p w14:paraId="1E82266E" w14:textId="77777777" w:rsidR="0049063B"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02091BA3" w14:textId="77777777" w:rsidR="0049063B"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9">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20">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3" w:name="_heading=h.3znysh7" w:colFirst="0" w:colLast="0"/>
    <w:bookmarkEnd w:id="3"/>
    <w:p w14:paraId="3275EF3E" w14:textId="77777777" w:rsidR="0049063B"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color w:val="000000"/>
          <w:sz w:val="22"/>
          <w:szCs w:val="22"/>
        </w:rPr>
        <w:t xml:space="preserve">, una empresa 100% especializada en </w:t>
      </w:r>
      <w:proofErr w:type="spellStart"/>
      <w:r>
        <w:rPr>
          <w:rFonts w:ascii="Open Sans" w:eastAsia="Open Sans" w:hAnsi="Open Sans" w:cs="Open Sans"/>
          <w:color w:val="000000"/>
          <w:sz w:val="22"/>
          <w:szCs w:val="22"/>
        </w:rPr>
        <w:t>Marketplaces</w:t>
      </w:r>
      <w:proofErr w:type="spellEnd"/>
      <w:r>
        <w:rPr>
          <w:rFonts w:ascii="Open Sans" w:eastAsia="Open Sans" w:hAnsi="Open Sans" w:cs="Open Sans"/>
          <w:color w:val="000000"/>
          <w:sz w:val="22"/>
          <w:szCs w:val="22"/>
        </w:rPr>
        <w:t xml:space="preserve"> digitales y el único “pure </w:t>
      </w:r>
      <w:proofErr w:type="spellStart"/>
      <w:r>
        <w:rPr>
          <w:rFonts w:ascii="Open Sans" w:eastAsia="Open Sans" w:hAnsi="Open Sans" w:cs="Open Sans"/>
          <w:color w:val="000000"/>
          <w:sz w:val="22"/>
          <w:szCs w:val="22"/>
        </w:rPr>
        <w:t>player</w:t>
      </w:r>
      <w:proofErr w:type="spellEnd"/>
      <w:r>
        <w:rPr>
          <w:rFonts w:ascii="Open Sans" w:eastAsia="Open Sans" w:hAnsi="Open Sans" w:cs="Open Sans"/>
          <w:color w:val="000000"/>
          <w:sz w:val="22"/>
          <w:szCs w:val="22"/>
        </w:rPr>
        <w:t xml:space="preserve">” del sector a nivel mundial. </w:t>
      </w:r>
      <w:hyperlink r:id="rId21">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2A8A4876" w14:textId="4626B4F1" w:rsidR="0049063B" w:rsidRDefault="0049063B" w:rsidP="00715A20">
      <w:pPr>
        <w:spacing w:line="276" w:lineRule="auto"/>
        <w:ind w:right="-716"/>
        <w:rPr>
          <w:rFonts w:ascii="Open Sans Light" w:eastAsia="Open Sans Light" w:hAnsi="Open Sans Light" w:cs="Open Sans Light"/>
          <w:b/>
          <w:color w:val="303AB2"/>
        </w:rPr>
      </w:pPr>
    </w:p>
    <w:p w14:paraId="55F86AF9" w14:textId="77777777" w:rsidR="00715A20" w:rsidRDefault="00715A20" w:rsidP="00715A20">
      <w:pPr>
        <w:spacing w:line="276" w:lineRule="auto"/>
        <w:ind w:right="-716"/>
        <w:rPr>
          <w:rFonts w:ascii="Open Sans Light" w:eastAsia="Open Sans Light" w:hAnsi="Open Sans Light" w:cs="Open Sans Light"/>
          <w:b/>
          <w:color w:val="303AB2"/>
        </w:rPr>
      </w:pPr>
    </w:p>
    <w:p w14:paraId="160AA64B" w14:textId="77777777" w:rsidR="0049063B"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319A5367" w14:textId="77777777" w:rsidR="0049063B" w:rsidRDefault="00000000">
      <w:pPr>
        <w:spacing w:before="143" w:after="200"/>
        <w:ind w:right="-716"/>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22">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3">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24">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5">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6">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087E6D30" w14:textId="77777777" w:rsidR="0049063B"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negocios de </w:t>
      </w: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752F8AF3" w14:textId="77777777" w:rsidR="0049063B" w:rsidRDefault="00000000">
      <w:pPr>
        <w:spacing w:before="143" w:after="200"/>
        <w:ind w:right="-716"/>
        <w:jc w:val="both"/>
        <w:rPr>
          <w:rFonts w:ascii="Open Sans" w:eastAsia="Open Sans" w:hAnsi="Open Sans" w:cs="Open Sans"/>
          <w:color w:val="000000"/>
          <w:sz w:val="22"/>
          <w:szCs w:val="22"/>
        </w:rPr>
      </w:pPr>
      <w:proofErr w:type="spellStart"/>
      <w:r>
        <w:rPr>
          <w:rFonts w:ascii="Open Sans" w:eastAsia="Open Sans" w:hAnsi="Open Sans" w:cs="Open Sans"/>
          <w:color w:val="000000"/>
          <w:sz w:val="22"/>
          <w:szCs w:val="22"/>
        </w:rPr>
        <w:t>Adevinta</w:t>
      </w:r>
      <w:proofErr w:type="spellEnd"/>
      <w:r>
        <w:rPr>
          <w:rFonts w:ascii="Open Sans" w:eastAsia="Open Sans" w:hAnsi="Open Sans" w:cs="Open Sans"/>
          <w:color w:val="000000"/>
          <w:sz w:val="22"/>
          <w:szCs w:val="22"/>
        </w:rPr>
        <w:t xml:space="preserve"> tiene presencia mundial en 11 países. El conjunto de sus plataformas locales recibe un promedio de 3.000 millones de visitas cada mes. </w:t>
      </w:r>
    </w:p>
    <w:p w14:paraId="3BF2752D" w14:textId="77777777" w:rsidR="0049063B" w:rsidRDefault="00000000">
      <w:pPr>
        <w:spacing w:after="160"/>
        <w:ind w:right="-716"/>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7">
        <w:r>
          <w:rPr>
            <w:rFonts w:ascii="Open Sans" w:eastAsia="Open Sans" w:hAnsi="Open Sans" w:cs="Open Sans"/>
            <w:color w:val="1155CC"/>
            <w:sz w:val="22"/>
            <w:szCs w:val="22"/>
            <w:u w:val="single"/>
          </w:rPr>
          <w:t>adevinta.es</w:t>
        </w:r>
      </w:hyperlink>
    </w:p>
    <w:p w14:paraId="5F862493" w14:textId="77777777" w:rsidR="0049063B" w:rsidRDefault="0049063B">
      <w:pPr>
        <w:spacing w:after="160"/>
        <w:ind w:right="-716"/>
        <w:jc w:val="both"/>
        <w:rPr>
          <w:rFonts w:ascii="Open Sans" w:eastAsia="Open Sans" w:hAnsi="Open Sans" w:cs="Open Sans"/>
        </w:rPr>
      </w:pPr>
    </w:p>
    <w:p w14:paraId="38360474" w14:textId="77777777" w:rsidR="0049063B"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lastRenderedPageBreak/>
        <w:t>Departamento Comunicación Fotocasa</w:t>
      </w:r>
    </w:p>
    <w:p w14:paraId="0B55A2F2" w14:textId="77777777" w:rsidR="0049063B"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6F58D85B" w14:textId="77777777" w:rsidR="0049063B" w:rsidRDefault="00000000">
      <w:pPr>
        <w:shd w:val="clear" w:color="auto" w:fill="FFFFFF"/>
        <w:spacing w:line="276" w:lineRule="auto"/>
        <w:ind w:right="-716"/>
        <w:rPr>
          <w:rFonts w:ascii="Open Sans" w:eastAsia="Open Sans" w:hAnsi="Open Sans" w:cs="Open Sans"/>
          <w:color w:val="0000FF"/>
          <w:sz w:val="22"/>
          <w:szCs w:val="22"/>
          <w:u w:val="single"/>
        </w:rPr>
      </w:pPr>
      <w:hyperlink r:id="rId28">
        <w:r>
          <w:rPr>
            <w:rFonts w:ascii="Open Sans" w:eastAsia="Open Sans" w:hAnsi="Open Sans" w:cs="Open Sans"/>
            <w:color w:val="0000FF"/>
            <w:sz w:val="22"/>
            <w:szCs w:val="22"/>
            <w:u w:val="single"/>
          </w:rPr>
          <w:t>comunicacion@fotocasa.es</w:t>
        </w:r>
      </w:hyperlink>
    </w:p>
    <w:p w14:paraId="3E710EF9" w14:textId="77777777" w:rsidR="0049063B"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1258404D" w14:textId="77777777" w:rsidR="0049063B" w:rsidRDefault="0049063B">
      <w:pPr>
        <w:shd w:val="clear" w:color="auto" w:fill="FFFFFF"/>
        <w:spacing w:line="276" w:lineRule="auto"/>
        <w:ind w:right="-716"/>
        <w:rPr>
          <w:rFonts w:ascii="Open Sans" w:eastAsia="Open Sans" w:hAnsi="Open Sans" w:cs="Open Sans"/>
          <w:color w:val="000000"/>
          <w:sz w:val="22"/>
          <w:szCs w:val="22"/>
        </w:rPr>
      </w:pPr>
    </w:p>
    <w:p w14:paraId="5EA77548" w14:textId="77777777" w:rsidR="0049063B" w:rsidRDefault="0049063B">
      <w:pPr>
        <w:spacing w:line="276" w:lineRule="auto"/>
        <w:ind w:right="-716"/>
        <w:rPr>
          <w:rFonts w:ascii="Open Sans Light" w:eastAsia="Open Sans Light" w:hAnsi="Open Sans Light" w:cs="Open Sans Light"/>
          <w:b/>
          <w:color w:val="303AB2"/>
          <w:sz w:val="22"/>
          <w:szCs w:val="22"/>
        </w:rPr>
      </w:pPr>
    </w:p>
    <w:p w14:paraId="594B248B" w14:textId="77777777" w:rsidR="0049063B"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32C5DD16" w14:textId="77777777" w:rsidR="0049063B"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6BBF60BE" w14:textId="77777777" w:rsidR="0049063B" w:rsidRPr="00D87EE4" w:rsidRDefault="00000000">
      <w:pPr>
        <w:shd w:val="clear" w:color="auto" w:fill="FFFFFF"/>
        <w:spacing w:line="276" w:lineRule="auto"/>
        <w:ind w:right="-716"/>
        <w:rPr>
          <w:rFonts w:ascii="Open Sans" w:eastAsia="Open Sans" w:hAnsi="Open Sans" w:cs="Open Sans"/>
          <w:color w:val="0000FF"/>
          <w:sz w:val="22"/>
          <w:szCs w:val="22"/>
          <w:u w:val="single"/>
          <w:lang w:val="en-US"/>
        </w:rPr>
      </w:pPr>
      <w:hyperlink r:id="rId29">
        <w:r w:rsidRPr="00D87EE4">
          <w:rPr>
            <w:rFonts w:ascii="Open Sans" w:eastAsia="Open Sans" w:hAnsi="Open Sans" w:cs="Open Sans"/>
            <w:color w:val="0000FF"/>
            <w:sz w:val="22"/>
            <w:szCs w:val="22"/>
            <w:u w:val="single"/>
            <w:lang w:val="en-US"/>
          </w:rPr>
          <w:t>rtorne@llorenteycuenca.com</w:t>
        </w:r>
      </w:hyperlink>
      <w:r w:rsidRPr="00D87EE4">
        <w:rPr>
          <w:rFonts w:ascii="Open Sans" w:eastAsia="Open Sans" w:hAnsi="Open Sans" w:cs="Open Sans"/>
          <w:color w:val="0000FF"/>
          <w:sz w:val="22"/>
          <w:szCs w:val="22"/>
          <w:lang w:val="en-US"/>
        </w:rPr>
        <w:tab/>
      </w:r>
      <w:r w:rsidRPr="00D87EE4">
        <w:rPr>
          <w:rFonts w:ascii="Open Sans" w:eastAsia="Open Sans" w:hAnsi="Open Sans" w:cs="Open Sans"/>
          <w:color w:val="0000FF"/>
          <w:sz w:val="22"/>
          <w:szCs w:val="22"/>
          <w:lang w:val="en-US"/>
        </w:rPr>
        <w:tab/>
      </w:r>
      <w:r w:rsidRPr="00D87EE4">
        <w:rPr>
          <w:rFonts w:ascii="Open Sans" w:eastAsia="Open Sans" w:hAnsi="Open Sans" w:cs="Open Sans"/>
          <w:color w:val="0000FF"/>
          <w:sz w:val="22"/>
          <w:szCs w:val="22"/>
          <w:lang w:val="en-US"/>
        </w:rPr>
        <w:tab/>
      </w:r>
    </w:p>
    <w:p w14:paraId="27EF4B5E" w14:textId="77777777" w:rsidR="0049063B" w:rsidRPr="00D87EE4" w:rsidRDefault="00000000">
      <w:pPr>
        <w:shd w:val="clear" w:color="auto" w:fill="FFFFFF"/>
        <w:spacing w:line="276" w:lineRule="auto"/>
        <w:ind w:right="-716"/>
        <w:rPr>
          <w:rFonts w:ascii="Open Sans" w:eastAsia="Open Sans" w:hAnsi="Open Sans" w:cs="Open Sans"/>
          <w:color w:val="000000"/>
          <w:sz w:val="22"/>
          <w:szCs w:val="22"/>
          <w:lang w:val="en-US"/>
        </w:rPr>
      </w:pPr>
      <w:r w:rsidRPr="00D87EE4">
        <w:rPr>
          <w:rFonts w:ascii="Open Sans" w:eastAsia="Open Sans" w:hAnsi="Open Sans" w:cs="Open Sans"/>
          <w:color w:val="000000"/>
          <w:sz w:val="22"/>
          <w:szCs w:val="22"/>
          <w:lang w:val="en-US"/>
        </w:rPr>
        <w:t xml:space="preserve">638 68 19 85      </w:t>
      </w:r>
      <w:r w:rsidRPr="00D87EE4">
        <w:rPr>
          <w:rFonts w:ascii="Open Sans" w:eastAsia="Open Sans" w:hAnsi="Open Sans" w:cs="Open Sans"/>
          <w:color w:val="000000"/>
          <w:sz w:val="22"/>
          <w:szCs w:val="22"/>
          <w:lang w:val="en-US"/>
        </w:rPr>
        <w:tab/>
      </w:r>
      <w:r w:rsidRPr="00D87EE4">
        <w:rPr>
          <w:rFonts w:ascii="Open Sans" w:eastAsia="Open Sans" w:hAnsi="Open Sans" w:cs="Open Sans"/>
          <w:color w:val="000000"/>
          <w:sz w:val="22"/>
          <w:szCs w:val="22"/>
          <w:lang w:val="en-US"/>
        </w:rPr>
        <w:tab/>
      </w:r>
      <w:r w:rsidRPr="00D87EE4">
        <w:rPr>
          <w:rFonts w:ascii="Open Sans" w:eastAsia="Open Sans" w:hAnsi="Open Sans" w:cs="Open Sans"/>
          <w:color w:val="000000"/>
          <w:sz w:val="22"/>
          <w:szCs w:val="22"/>
          <w:lang w:val="en-US"/>
        </w:rPr>
        <w:tab/>
      </w:r>
      <w:r w:rsidRPr="00D87EE4">
        <w:rPr>
          <w:rFonts w:ascii="Open Sans" w:eastAsia="Open Sans" w:hAnsi="Open Sans" w:cs="Open Sans"/>
          <w:color w:val="000000"/>
          <w:sz w:val="22"/>
          <w:szCs w:val="22"/>
          <w:lang w:val="en-US"/>
        </w:rPr>
        <w:tab/>
      </w:r>
      <w:r w:rsidRPr="00D87EE4">
        <w:rPr>
          <w:rFonts w:ascii="Open Sans" w:eastAsia="Open Sans" w:hAnsi="Open Sans" w:cs="Open Sans"/>
          <w:color w:val="000000"/>
          <w:sz w:val="22"/>
          <w:szCs w:val="22"/>
          <w:lang w:val="en-US"/>
        </w:rPr>
        <w:tab/>
      </w:r>
      <w:r w:rsidRPr="00D87EE4">
        <w:rPr>
          <w:rFonts w:ascii="Open Sans" w:eastAsia="Open Sans" w:hAnsi="Open Sans" w:cs="Open Sans"/>
          <w:color w:val="000000"/>
          <w:sz w:val="22"/>
          <w:szCs w:val="22"/>
          <w:lang w:val="en-US"/>
        </w:rPr>
        <w:tab/>
      </w:r>
      <w:r w:rsidRPr="00D87EE4">
        <w:rPr>
          <w:rFonts w:ascii="Open Sans" w:eastAsia="Open Sans" w:hAnsi="Open Sans" w:cs="Open Sans"/>
          <w:color w:val="000000"/>
          <w:sz w:val="22"/>
          <w:szCs w:val="22"/>
          <w:lang w:val="en-US"/>
        </w:rPr>
        <w:tab/>
      </w:r>
      <w:r w:rsidRPr="00D87EE4">
        <w:rPr>
          <w:rFonts w:ascii="Open Sans" w:eastAsia="Open Sans" w:hAnsi="Open Sans" w:cs="Open Sans"/>
          <w:color w:val="000000"/>
          <w:sz w:val="22"/>
          <w:szCs w:val="22"/>
          <w:lang w:val="en-US"/>
        </w:rPr>
        <w:tab/>
      </w:r>
    </w:p>
    <w:p w14:paraId="222B0FD2" w14:textId="77777777" w:rsidR="0049063B" w:rsidRPr="00D87EE4" w:rsidRDefault="00000000">
      <w:pPr>
        <w:shd w:val="clear" w:color="auto" w:fill="FFFFFF"/>
        <w:ind w:right="-716"/>
        <w:rPr>
          <w:rFonts w:ascii="Arial" w:eastAsia="Arial" w:hAnsi="Arial" w:cs="Arial"/>
          <w:color w:val="222222"/>
          <w:sz w:val="22"/>
          <w:szCs w:val="22"/>
          <w:lang w:val="en-US"/>
        </w:rPr>
      </w:pPr>
      <w:r w:rsidRPr="00D87EE4">
        <w:rPr>
          <w:rFonts w:ascii="Arial" w:eastAsia="Arial" w:hAnsi="Arial" w:cs="Arial"/>
          <w:color w:val="222222"/>
          <w:sz w:val="22"/>
          <w:szCs w:val="22"/>
          <w:lang w:val="en-US"/>
        </w:rPr>
        <w:tab/>
      </w:r>
      <w:r w:rsidRPr="00D87EE4">
        <w:rPr>
          <w:rFonts w:ascii="Arial" w:eastAsia="Arial" w:hAnsi="Arial" w:cs="Arial"/>
          <w:color w:val="222222"/>
          <w:sz w:val="22"/>
          <w:szCs w:val="22"/>
          <w:lang w:val="en-US"/>
        </w:rPr>
        <w:tab/>
      </w:r>
      <w:r w:rsidRPr="00D87EE4">
        <w:rPr>
          <w:rFonts w:ascii="Arial" w:eastAsia="Arial" w:hAnsi="Arial" w:cs="Arial"/>
          <w:color w:val="222222"/>
          <w:sz w:val="22"/>
          <w:szCs w:val="22"/>
          <w:lang w:val="en-US"/>
        </w:rPr>
        <w:tab/>
      </w:r>
      <w:r w:rsidRPr="00D87EE4">
        <w:rPr>
          <w:rFonts w:ascii="Arial" w:eastAsia="Arial" w:hAnsi="Arial" w:cs="Arial"/>
          <w:color w:val="222222"/>
          <w:sz w:val="22"/>
          <w:szCs w:val="22"/>
          <w:lang w:val="en-US"/>
        </w:rPr>
        <w:tab/>
      </w:r>
      <w:r w:rsidRPr="00D87EE4">
        <w:rPr>
          <w:rFonts w:ascii="Arial" w:eastAsia="Arial" w:hAnsi="Arial" w:cs="Arial"/>
          <w:color w:val="222222"/>
          <w:sz w:val="22"/>
          <w:szCs w:val="22"/>
          <w:lang w:val="en-US"/>
        </w:rPr>
        <w:tab/>
      </w:r>
      <w:r w:rsidRPr="00D87EE4">
        <w:rPr>
          <w:rFonts w:ascii="Arial" w:eastAsia="Arial" w:hAnsi="Arial" w:cs="Arial"/>
          <w:color w:val="222222"/>
          <w:sz w:val="22"/>
          <w:szCs w:val="22"/>
          <w:lang w:val="en-US"/>
        </w:rPr>
        <w:tab/>
      </w:r>
      <w:r w:rsidRPr="00D87EE4">
        <w:rPr>
          <w:rFonts w:ascii="Arial" w:eastAsia="Arial" w:hAnsi="Arial" w:cs="Arial"/>
          <w:color w:val="222222"/>
          <w:sz w:val="22"/>
          <w:szCs w:val="22"/>
          <w:lang w:val="en-US"/>
        </w:rPr>
        <w:tab/>
        <w:t xml:space="preserve">     </w:t>
      </w:r>
    </w:p>
    <w:p w14:paraId="690AA761" w14:textId="77777777" w:rsidR="0049063B" w:rsidRPr="00D87EE4" w:rsidRDefault="00000000">
      <w:pPr>
        <w:shd w:val="clear" w:color="auto" w:fill="FFFFFF"/>
        <w:ind w:right="-716"/>
        <w:rPr>
          <w:rFonts w:ascii="Open Sans" w:eastAsia="Open Sans" w:hAnsi="Open Sans" w:cs="Open Sans"/>
          <w:b/>
          <w:color w:val="000000"/>
          <w:sz w:val="22"/>
          <w:szCs w:val="22"/>
          <w:lang w:val="en-US"/>
        </w:rPr>
      </w:pPr>
      <w:r w:rsidRPr="00D87EE4">
        <w:rPr>
          <w:rFonts w:ascii="Open Sans" w:eastAsia="Open Sans" w:hAnsi="Open Sans" w:cs="Open Sans"/>
          <w:b/>
          <w:color w:val="000000"/>
          <w:sz w:val="22"/>
          <w:szCs w:val="22"/>
          <w:lang w:val="en-US"/>
        </w:rPr>
        <w:t>Fanny Merino</w:t>
      </w:r>
    </w:p>
    <w:p w14:paraId="58C42800" w14:textId="77777777" w:rsidR="0049063B" w:rsidRPr="00D87EE4" w:rsidRDefault="00000000">
      <w:pPr>
        <w:shd w:val="clear" w:color="auto" w:fill="FFFFFF"/>
        <w:ind w:right="-716"/>
        <w:rPr>
          <w:rFonts w:ascii="Open Sans" w:eastAsia="Open Sans" w:hAnsi="Open Sans" w:cs="Open Sans"/>
          <w:b/>
          <w:color w:val="000000"/>
          <w:sz w:val="22"/>
          <w:szCs w:val="22"/>
          <w:lang w:val="en-US"/>
        </w:rPr>
      </w:pPr>
      <w:hyperlink r:id="rId30">
        <w:r w:rsidRPr="00D87EE4">
          <w:rPr>
            <w:rFonts w:ascii="Open Sans" w:eastAsia="Open Sans" w:hAnsi="Open Sans" w:cs="Open Sans"/>
            <w:color w:val="0000FF"/>
            <w:sz w:val="22"/>
            <w:szCs w:val="22"/>
            <w:u w:val="single"/>
            <w:lang w:val="en-US"/>
          </w:rPr>
          <w:t>emerino@llorenteycuenca.com</w:t>
        </w:r>
      </w:hyperlink>
      <w:r w:rsidRPr="00D87EE4">
        <w:rPr>
          <w:rFonts w:ascii="Open Sans" w:eastAsia="Open Sans" w:hAnsi="Open Sans" w:cs="Open Sans"/>
          <w:color w:val="0000FF"/>
          <w:sz w:val="22"/>
          <w:szCs w:val="22"/>
          <w:lang w:val="en-US"/>
        </w:rPr>
        <w:tab/>
      </w:r>
      <w:r w:rsidRPr="00D87EE4">
        <w:rPr>
          <w:rFonts w:ascii="Open Sans" w:eastAsia="Open Sans" w:hAnsi="Open Sans" w:cs="Open Sans"/>
          <w:color w:val="0000FF"/>
          <w:sz w:val="22"/>
          <w:szCs w:val="22"/>
          <w:lang w:val="en-US"/>
        </w:rPr>
        <w:tab/>
      </w:r>
    </w:p>
    <w:p w14:paraId="783F7A30" w14:textId="77777777" w:rsidR="0049063B" w:rsidRPr="00D87EE4" w:rsidRDefault="00000000">
      <w:pPr>
        <w:shd w:val="clear" w:color="auto" w:fill="FFFFFF"/>
        <w:ind w:right="-716"/>
        <w:rPr>
          <w:rFonts w:ascii="Open Sans" w:eastAsia="Open Sans" w:hAnsi="Open Sans" w:cs="Open Sans"/>
          <w:color w:val="000000"/>
          <w:sz w:val="22"/>
          <w:szCs w:val="22"/>
          <w:lang w:val="en-US"/>
        </w:rPr>
      </w:pPr>
      <w:r w:rsidRPr="00D87EE4">
        <w:rPr>
          <w:rFonts w:ascii="Open Sans" w:eastAsia="Open Sans" w:hAnsi="Open Sans" w:cs="Open Sans"/>
          <w:color w:val="000000"/>
          <w:sz w:val="22"/>
          <w:szCs w:val="22"/>
          <w:lang w:val="en-US"/>
        </w:rPr>
        <w:t>663 35 69 75 </w:t>
      </w:r>
    </w:p>
    <w:p w14:paraId="363F7CBF" w14:textId="77777777" w:rsidR="0049063B" w:rsidRPr="00D87EE4" w:rsidRDefault="0049063B">
      <w:pPr>
        <w:shd w:val="clear" w:color="auto" w:fill="FFFFFF"/>
        <w:ind w:right="-716"/>
        <w:rPr>
          <w:rFonts w:ascii="Open Sans" w:eastAsia="Open Sans" w:hAnsi="Open Sans" w:cs="Open Sans"/>
          <w:color w:val="000000"/>
          <w:sz w:val="22"/>
          <w:szCs w:val="22"/>
          <w:lang w:val="en-US"/>
        </w:rPr>
      </w:pPr>
    </w:p>
    <w:p w14:paraId="3CA18839" w14:textId="77777777" w:rsidR="0049063B" w:rsidRPr="00D87EE4" w:rsidRDefault="00000000">
      <w:pPr>
        <w:shd w:val="clear" w:color="auto" w:fill="FFFFFF"/>
        <w:ind w:right="-716"/>
        <w:rPr>
          <w:rFonts w:ascii="Open Sans" w:eastAsia="Open Sans" w:hAnsi="Open Sans" w:cs="Open Sans"/>
          <w:b/>
          <w:color w:val="000000"/>
          <w:sz w:val="22"/>
          <w:szCs w:val="22"/>
          <w:lang w:val="en-US"/>
        </w:rPr>
      </w:pPr>
      <w:r w:rsidRPr="00D87EE4">
        <w:rPr>
          <w:rFonts w:ascii="Open Sans" w:eastAsia="Open Sans" w:hAnsi="Open Sans" w:cs="Open Sans"/>
          <w:b/>
          <w:color w:val="000000"/>
          <w:sz w:val="22"/>
          <w:szCs w:val="22"/>
          <w:lang w:val="en-US"/>
        </w:rPr>
        <w:t>Paula Iglesias</w:t>
      </w:r>
    </w:p>
    <w:p w14:paraId="1BF3CE92" w14:textId="77777777" w:rsidR="0049063B" w:rsidRPr="00D87EE4" w:rsidRDefault="00000000">
      <w:pPr>
        <w:shd w:val="clear" w:color="auto" w:fill="FFFFFF"/>
        <w:ind w:right="-716"/>
        <w:rPr>
          <w:rFonts w:ascii="Open Sans" w:eastAsia="Open Sans" w:hAnsi="Open Sans" w:cs="Open Sans"/>
          <w:b/>
          <w:color w:val="000000"/>
          <w:sz w:val="22"/>
          <w:szCs w:val="22"/>
          <w:lang w:val="en-US"/>
        </w:rPr>
      </w:pPr>
      <w:hyperlink r:id="rId31">
        <w:r w:rsidRPr="00D87EE4">
          <w:rPr>
            <w:rFonts w:ascii="Open Sans" w:eastAsia="Open Sans" w:hAnsi="Open Sans" w:cs="Open Sans"/>
            <w:color w:val="0000FF"/>
            <w:sz w:val="22"/>
            <w:szCs w:val="22"/>
            <w:u w:val="single"/>
            <w:lang w:val="en-US"/>
          </w:rPr>
          <w:t>piglesias@llorenteycuenca.com</w:t>
        </w:r>
      </w:hyperlink>
      <w:r w:rsidRPr="00D87EE4">
        <w:rPr>
          <w:rFonts w:ascii="Open Sans" w:eastAsia="Open Sans" w:hAnsi="Open Sans" w:cs="Open Sans"/>
          <w:color w:val="0000FF"/>
          <w:sz w:val="22"/>
          <w:szCs w:val="22"/>
          <w:lang w:val="en-US"/>
        </w:rPr>
        <w:tab/>
      </w:r>
      <w:r w:rsidRPr="00D87EE4">
        <w:rPr>
          <w:rFonts w:ascii="Open Sans" w:eastAsia="Open Sans" w:hAnsi="Open Sans" w:cs="Open Sans"/>
          <w:color w:val="0000FF"/>
          <w:sz w:val="22"/>
          <w:szCs w:val="22"/>
          <w:lang w:val="en-US"/>
        </w:rPr>
        <w:tab/>
      </w:r>
    </w:p>
    <w:p w14:paraId="73488509" w14:textId="77777777" w:rsidR="0049063B" w:rsidRDefault="00000000">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22"/>
          <w:szCs w:val="22"/>
        </w:rPr>
        <w:t>662 450 236</w:t>
      </w:r>
    </w:p>
    <w:p w14:paraId="4024ADD8" w14:textId="77777777" w:rsidR="0049063B" w:rsidRDefault="0049063B">
      <w:pPr>
        <w:spacing w:line="276" w:lineRule="auto"/>
        <w:ind w:right="-574"/>
        <w:jc w:val="right"/>
        <w:rPr>
          <w:rFonts w:ascii="Open Sans" w:eastAsia="Open Sans" w:hAnsi="Open Sans" w:cs="Open Sans"/>
          <w:color w:val="000000"/>
          <w:sz w:val="21"/>
          <w:szCs w:val="21"/>
        </w:rPr>
      </w:pPr>
    </w:p>
    <w:sectPr w:rsidR="0049063B">
      <w:footerReference w:type="default" r:id="rId32"/>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A997" w14:textId="77777777" w:rsidR="00F52CF5" w:rsidRDefault="00F52CF5">
      <w:r>
        <w:separator/>
      </w:r>
    </w:p>
  </w:endnote>
  <w:endnote w:type="continuationSeparator" w:id="0">
    <w:p w14:paraId="3CD24A55" w14:textId="77777777" w:rsidR="00F52CF5" w:rsidRDefault="00F5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65BF" w14:textId="77777777" w:rsidR="0049063B"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69129320" wp14:editId="08A333E1">
          <wp:simplePos x="0" y="0"/>
          <wp:positionH relativeFrom="column">
            <wp:posOffset>-1068069</wp:posOffset>
          </wp:positionH>
          <wp:positionV relativeFrom="paragraph">
            <wp:posOffset>174625</wp:posOffset>
          </wp:positionV>
          <wp:extent cx="7670800" cy="45148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70800" cy="4514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8B12" w14:textId="77777777" w:rsidR="00F52CF5" w:rsidRDefault="00F52CF5">
      <w:r>
        <w:separator/>
      </w:r>
    </w:p>
  </w:footnote>
  <w:footnote w:type="continuationSeparator" w:id="0">
    <w:p w14:paraId="6EB5DFCE" w14:textId="77777777" w:rsidR="00F52CF5" w:rsidRDefault="00F5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009A0"/>
    <w:multiLevelType w:val="multilevel"/>
    <w:tmpl w:val="00622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73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3B"/>
    <w:rsid w:val="0049063B"/>
    <w:rsid w:val="005008EA"/>
    <w:rsid w:val="00715A20"/>
    <w:rsid w:val="00C05FD9"/>
    <w:rsid w:val="00D87EE4"/>
    <w:rsid w:val="00F52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1151"/>
  <w15:docId w15:val="{6E5D781B-EA1D-41CD-8155-5E001F73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Refdecomentario">
    <w:name w:val="annotation reference"/>
    <w:uiPriority w:val="99"/>
    <w:semiHidden/>
    <w:unhideWhenUsed/>
    <w:rsid w:val="00964BED"/>
    <w:rPr>
      <w:sz w:val="16"/>
      <w:szCs w:val="16"/>
    </w:rPr>
  </w:style>
  <w:style w:type="paragraph" w:styleId="Textocomentario">
    <w:name w:val="annotation text"/>
    <w:basedOn w:val="Normal"/>
    <w:link w:val="TextocomentarioCar"/>
    <w:uiPriority w:val="99"/>
    <w:semiHidden/>
    <w:unhideWhenUsed/>
    <w:rsid w:val="00964BED"/>
    <w:rPr>
      <w:sz w:val="20"/>
      <w:szCs w:val="20"/>
    </w:rPr>
  </w:style>
  <w:style w:type="character" w:customStyle="1" w:styleId="TextocomentarioCar">
    <w:name w:val="Texto comentario Car"/>
    <w:link w:val="Textocomentario"/>
    <w:uiPriority w:val="99"/>
    <w:semiHidden/>
    <w:rsid w:val="00964BED"/>
    <w:rPr>
      <w:sz w:val="20"/>
      <w:szCs w:val="20"/>
    </w:rPr>
  </w:style>
  <w:style w:type="character" w:styleId="Mencinsinresolver">
    <w:name w:val="Unresolved Mention"/>
    <w:uiPriority w:val="99"/>
    <w:semiHidden/>
    <w:unhideWhenUsed/>
    <w:rsid w:val="00E84EE3"/>
    <w:rPr>
      <w:color w:val="605E5C"/>
      <w:shd w:val="clear" w:color="auto" w:fill="E1DFDD"/>
    </w:rPr>
  </w:style>
  <w:style w:type="paragraph" w:customStyle="1" w:styleId="Cuerpo">
    <w:name w:val="Cuerpo"/>
    <w:rsid w:val="0014415E"/>
    <w:rPr>
      <w:rFonts w:ascii="Times New Roman" w:eastAsia="Arial Unicode MS" w:hAnsi="Times New Roman" w:cs="Arial Unicode MS"/>
      <w:color w:val="000000"/>
      <w:u w:color="000000"/>
      <w:lang w:val="en-US" w:eastAsia="en-US"/>
    </w:rPr>
  </w:style>
  <w:style w:type="character" w:customStyle="1" w:styleId="Ninguno">
    <w:name w:val="Ninguno"/>
    <w:rsid w:val="0014415E"/>
    <w:rPr>
      <w:lang w:val="es-ES_tradnl"/>
    </w:rPr>
  </w:style>
  <w:style w:type="table" w:styleId="Tablaconcuadrcula5oscura-nfasis1">
    <w:name w:val="Grid Table 5 Dark Accent 1"/>
    <w:basedOn w:val="Tablanormal"/>
    <w:uiPriority w:val="50"/>
    <w:rsid w:val="001441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Texto">
    <w:name w:val="Texto"/>
    <w:basedOn w:val="Normal"/>
    <w:uiPriority w:val="99"/>
    <w:rsid w:val="0014415E"/>
    <w:rPr>
      <w:rFonts w:ascii="Gill Sans MT" w:eastAsia="Times New Roman" w:hAnsi="Gill Sans MT" w:cs="Arial"/>
      <w:sz w:val="22"/>
      <w:szCs w:val="22"/>
      <w:lang w:val="pt-BR" w:eastAsia="es-ES"/>
    </w:rPr>
  </w:style>
  <w:style w:type="paragraph" w:customStyle="1" w:styleId="Listavistosa-nfasis11">
    <w:name w:val="Lista vistosa - Énfasis 11"/>
    <w:basedOn w:val="Normal"/>
    <w:qFormat/>
    <w:rsid w:val="0014415E"/>
    <w:pPr>
      <w:ind w:left="708"/>
    </w:pPr>
    <w:rPr>
      <w:rFonts w:ascii="Times New Roman" w:eastAsia="Times New Roman" w:hAnsi="Times New Roman" w:cs="Times New Roman"/>
      <w:lang w:val="es-ES" w:eastAsia="es-ES"/>
    </w:rPr>
  </w:style>
  <w:style w:type="character" w:styleId="nfasis">
    <w:name w:val="Emphasis"/>
    <w:qFormat/>
    <w:rsid w:val="0014415E"/>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1">
    <w:basedOn w:val="TableNormal"/>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2">
    <w:basedOn w:val="TableNormal"/>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3">
    <w:basedOn w:val="TableNormal"/>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YzdaSf3Q_NQ" TargetMode="External"/><Relationship Id="rId18" Type="http://schemas.openxmlformats.org/officeDocument/2006/relationships/image" Target="media/image5.png"/><Relationship Id="rId26" Type="http://schemas.openxmlformats.org/officeDocument/2006/relationships/hyperlink" Target="https://motos.coches.net/" TargetMode="External"/><Relationship Id="rId3" Type="http://schemas.openxmlformats.org/officeDocument/2006/relationships/styles" Target="styles.xml"/><Relationship Id="rId21" Type="http://schemas.openxmlformats.org/officeDocument/2006/relationships/hyperlink" Target="https://www.fotocasa.es/es/quienes-somo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tocasa.es" TargetMode="External"/><Relationship Id="rId17" Type="http://schemas.openxmlformats.org/officeDocument/2006/relationships/image" Target="media/image4.png"/><Relationship Id="rId25" Type="http://schemas.openxmlformats.org/officeDocument/2006/relationships/hyperlink" Target="https://www.coches.ne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prensa.fotocasa.es" TargetMode="External"/><Relationship Id="rId29" Type="http://schemas.openxmlformats.org/officeDocument/2006/relationships/hyperlink" Target="mailto:rtorne@llorenteycuen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infojobs.ne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habitaclia.com/" TargetMode="External"/><Relationship Id="rId28" Type="http://schemas.openxmlformats.org/officeDocument/2006/relationships/hyperlink" Target="mailto:comunicacion@fotocasa.es" TargetMode="External"/><Relationship Id="rId10" Type="http://schemas.openxmlformats.org/officeDocument/2006/relationships/hyperlink" Target="http://www.fotocasa.es" TargetMode="External"/><Relationship Id="rId19" Type="http://schemas.openxmlformats.org/officeDocument/2006/relationships/hyperlink" Target="https://www.fotocasa.es/indice/" TargetMode="External"/><Relationship Id="rId31" Type="http://schemas.openxmlformats.org/officeDocument/2006/relationships/hyperlink" Target="mailto:piglesias@llorenteycuenca.com" TargetMode="External"/><Relationship Id="rId4" Type="http://schemas.openxmlformats.org/officeDocument/2006/relationships/settings" Target="settings.xml"/><Relationship Id="rId9" Type="http://schemas.openxmlformats.org/officeDocument/2006/relationships/hyperlink" Target="https://youtu.be/YzdaSf3Q_NQ" TargetMode="External"/><Relationship Id="rId14" Type="http://schemas.openxmlformats.org/officeDocument/2006/relationships/image" Target="media/image2.jpg"/><Relationship Id="rId22" Type="http://schemas.openxmlformats.org/officeDocument/2006/relationships/hyperlink" Target="https://www.fotocasa.es/es/" TargetMode="External"/><Relationship Id="rId27" Type="http://schemas.openxmlformats.org/officeDocument/2006/relationships/hyperlink" Target="http://adevinta.es" TargetMode="External"/><Relationship Id="rId30" Type="http://schemas.openxmlformats.org/officeDocument/2006/relationships/hyperlink" Target="mailto:emerino@llorenteycuenca.com"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rani\Downloads\PRENSA%20GARAJES%20RENTABILIDAD%2020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rani\Downloads\PRENSA%20GARAJES%20RENTABILIDAD%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spPr>
          <a:solidFill>
            <a:schemeClr val="accent1"/>
          </a:solidFill>
          <a:ln>
            <a:noFill/>
          </a:ln>
          <a:effectLst/>
        </c:spPr>
        <c:marker>
          <c:symbol val="circle"/>
          <c:size val="6"/>
          <c:spPr>
            <a:solidFill>
              <a:schemeClr val="accent1">
                <a:alpha val="70000"/>
              </a:schemeClr>
            </a:solidFill>
            <a:ln>
              <a:noFill/>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829914966224249E-2"/>
          <c:y val="7.9178696412948377E-2"/>
          <c:w val="0.90321796198654569"/>
          <c:h val="0.64392828853242834"/>
        </c:manualLayout>
      </c:layout>
      <c:barChart>
        <c:barDir val="col"/>
        <c:grouping val="clustered"/>
        <c:varyColors val="0"/>
        <c:ser>
          <c:idx val="0"/>
          <c:order val="0"/>
          <c:spPr>
            <a:solidFill>
              <a:sysClr val="window" lastClr="FFFFFF">
                <a:lumMod val="50000"/>
              </a:sysClr>
            </a:solidFill>
            <a:ln>
              <a:noFill/>
            </a:ln>
            <a:effectLst/>
          </c:spPr>
          <c:invertIfNegative val="0"/>
          <c:dLbls>
            <c:dLbl>
              <c:idx val="4"/>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0D-4411-B12B-BB46BFE214F0}"/>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Hoja1!$A$14:$A$21</c:f>
              <c:strCache>
                <c:ptCount val="8"/>
                <c:pt idx="0">
                  <c:v>2015                       (7 AÑOS)</c:v>
                </c:pt>
                <c:pt idx="1">
                  <c:v>2016</c:v>
                </c:pt>
                <c:pt idx="2">
                  <c:v>2017                        (5 AÑOS)</c:v>
                </c:pt>
                <c:pt idx="3">
                  <c:v>2018</c:v>
                </c:pt>
                <c:pt idx="4">
                  <c:v>2019</c:v>
                </c:pt>
                <c:pt idx="5">
                  <c:v>2020</c:v>
                </c:pt>
                <c:pt idx="6">
                  <c:v>2021                      (1 AÑO)</c:v>
                </c:pt>
                <c:pt idx="7">
                  <c:v>2022</c:v>
                </c:pt>
              </c:strCache>
            </c:strRef>
          </c:cat>
          <c:val>
            <c:numRef>
              <c:f>Hoja1!$B$14:$B$21</c:f>
              <c:numCache>
                <c:formatCode>0.0%</c:formatCode>
                <c:ptCount val="8"/>
                <c:pt idx="0">
                  <c:v>5.7507597193943182E-2</c:v>
                </c:pt>
                <c:pt idx="1">
                  <c:v>6.5260945522615507E-2</c:v>
                </c:pt>
                <c:pt idx="2">
                  <c:v>7.5669032912805384E-2</c:v>
                </c:pt>
                <c:pt idx="3">
                  <c:v>7.8468156968720948E-2</c:v>
                </c:pt>
                <c:pt idx="4">
                  <c:v>8.3282855764196168E-2</c:v>
                </c:pt>
                <c:pt idx="5">
                  <c:v>9.2884819889745868E-2</c:v>
                </c:pt>
                <c:pt idx="6">
                  <c:v>8.375762769462626E-2</c:v>
                </c:pt>
                <c:pt idx="7">
                  <c:v>7.5288658161263011E-2</c:v>
                </c:pt>
              </c:numCache>
            </c:numRef>
          </c:val>
          <c:extLst>
            <c:ext xmlns:c16="http://schemas.microsoft.com/office/drawing/2014/chart" uri="{C3380CC4-5D6E-409C-BE32-E72D297353CC}">
              <c16:uniqueId val="{00000001-9C0D-4411-B12B-BB46BFE214F0}"/>
            </c:ext>
          </c:extLst>
        </c:ser>
        <c:dLbls>
          <c:showLegendKey val="0"/>
          <c:showVal val="0"/>
          <c:showCatName val="0"/>
          <c:showSerName val="0"/>
          <c:showPercent val="0"/>
          <c:showBubbleSize val="0"/>
        </c:dLbls>
        <c:gapWidth val="80"/>
        <c:overlap val="25"/>
        <c:axId val="425153663"/>
        <c:axId val="424963199"/>
      </c:barChart>
      <c:catAx>
        <c:axId val="425153663"/>
        <c:scaling>
          <c:orientation val="minMax"/>
        </c:scaling>
        <c:delete val="0"/>
        <c:axPos val="b"/>
        <c:numFmt formatCode="[$-C0A]mmmm\-yy;@"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100" b="1" i="0" u="none" strike="noStrike" kern="1200" cap="none" spc="20" normalizeH="0" baseline="0">
                <a:solidFill>
                  <a:sysClr val="windowText" lastClr="000000"/>
                </a:solidFill>
                <a:latin typeface="+mn-lt"/>
                <a:ea typeface="+mn-ea"/>
                <a:cs typeface="+mn-cs"/>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out"/>
        <c:minorTickMark val="none"/>
        <c:tickLblPos val="nextTo"/>
        <c:crossAx val="425153663"/>
        <c:crosses val="autoZero"/>
        <c:crossBetween val="between"/>
      </c:valAx>
      <c:spPr>
        <a:noFill/>
        <a:ln>
          <a:noFill/>
        </a:ln>
        <a:effectLst/>
      </c:spPr>
    </c:plotArea>
    <c:plotVisOnly val="1"/>
    <c:dispBlanksAs val="gap"/>
    <c:showDLblsOverMax val="0"/>
    <c:extLst/>
  </c:chart>
  <c:spPr>
    <a:solidFill>
      <a:schemeClr val="lt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spPr>
          <a:solidFill>
            <a:schemeClr val="accent1"/>
          </a:solidFill>
          <a:ln>
            <a:noFill/>
          </a:ln>
          <a:effectLst/>
        </c:spPr>
        <c:marker>
          <c:symbol val="circle"/>
          <c:size val="6"/>
          <c:spPr>
            <a:solidFill>
              <a:schemeClr val="accent1">
                <a:alpha val="70000"/>
              </a:schemeClr>
            </a:solidFill>
            <a:ln>
              <a:noFill/>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391496966608852"/>
          <c:y val="5.6030458767504364E-2"/>
          <c:w val="0.84331553710392515"/>
          <c:h val="0.59351176251643323"/>
        </c:manualLayout>
      </c:layout>
      <c:barChart>
        <c:barDir val="col"/>
        <c:grouping val="clustered"/>
        <c:varyColors val="0"/>
        <c:ser>
          <c:idx val="0"/>
          <c:order val="0"/>
          <c:spPr>
            <a:solidFill>
              <a:sysClr val="window" lastClr="FFFFFF">
                <a:lumMod val="50000"/>
              </a:sysClr>
            </a:solidFill>
            <a:ln>
              <a:noFill/>
            </a:ln>
            <a:effectLst/>
          </c:spPr>
          <c:invertIfNegative val="0"/>
          <c:dPt>
            <c:idx val="3"/>
            <c:invertIfNegative val="0"/>
            <c:bubble3D val="0"/>
            <c:spPr>
              <a:solidFill>
                <a:sysClr val="windowText" lastClr="000000">
                  <a:lumMod val="50000"/>
                  <a:lumOff val="50000"/>
                </a:sysClr>
              </a:solidFill>
              <a:ln>
                <a:noFill/>
              </a:ln>
              <a:effectLst/>
            </c:spPr>
            <c:extLst>
              <c:ext xmlns:c16="http://schemas.microsoft.com/office/drawing/2014/chart" uri="{C3380CC4-5D6E-409C-BE32-E72D297353CC}">
                <c16:uniqueId val="{00000001-90D8-4583-9231-B877E44C50F8}"/>
              </c:ext>
            </c:extLst>
          </c:dPt>
          <c:dPt>
            <c:idx val="6"/>
            <c:invertIfNegative val="0"/>
            <c:bubble3D val="0"/>
            <c:spPr>
              <a:solidFill>
                <a:srgbClr val="FFC000"/>
              </a:solidFill>
              <a:ln>
                <a:noFill/>
              </a:ln>
              <a:effectLst/>
            </c:spPr>
            <c:extLst>
              <c:ext xmlns:c16="http://schemas.microsoft.com/office/drawing/2014/chart" uri="{C3380CC4-5D6E-409C-BE32-E72D297353CC}">
                <c16:uniqueId val="{00000003-90D8-4583-9231-B877E44C50F8}"/>
              </c:ext>
            </c:extLst>
          </c:dPt>
          <c:dPt>
            <c:idx val="9"/>
            <c:invertIfNegative val="0"/>
            <c:bubble3D val="0"/>
            <c:spPr>
              <a:solidFill>
                <a:srgbClr val="7F7F7F"/>
              </a:solidFill>
              <a:ln>
                <a:noFill/>
              </a:ln>
              <a:effectLst/>
            </c:spPr>
            <c:extLst>
              <c:ext xmlns:c16="http://schemas.microsoft.com/office/drawing/2014/chart" uri="{C3380CC4-5D6E-409C-BE32-E72D297353CC}">
                <c16:uniqueId val="{00000005-90D8-4583-9231-B877E44C50F8}"/>
              </c:ext>
            </c:extLst>
          </c:dPt>
          <c:dPt>
            <c:idx val="12"/>
            <c:invertIfNegative val="0"/>
            <c:bubble3D val="0"/>
            <c:spPr>
              <a:solidFill>
                <a:srgbClr val="7F7F7F"/>
              </a:solidFill>
              <a:ln>
                <a:noFill/>
              </a:ln>
              <a:effectLst/>
            </c:spPr>
            <c:extLst>
              <c:ext xmlns:c16="http://schemas.microsoft.com/office/drawing/2014/chart" uri="{C3380CC4-5D6E-409C-BE32-E72D297353CC}">
                <c16:uniqueId val="{00000007-90D8-4583-9231-B877E44C50F8}"/>
              </c:ext>
            </c:extLst>
          </c:dPt>
          <c:dLbls>
            <c:dLbl>
              <c:idx val="12"/>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D8-4583-9231-B877E44C50F8}"/>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Hoja1!$A$28:$A$44</c:f>
              <c:strCache>
                <c:ptCount val="17"/>
                <c:pt idx="0">
                  <c:v>Región de Murcia</c:v>
                </c:pt>
                <c:pt idx="1">
                  <c:v>Castilla-La Mancha</c:v>
                </c:pt>
                <c:pt idx="2">
                  <c:v>Comunitat Valenciana</c:v>
                </c:pt>
                <c:pt idx="3">
                  <c:v>Baleares</c:v>
                </c:pt>
                <c:pt idx="4">
                  <c:v>Navarra</c:v>
                </c:pt>
                <c:pt idx="5">
                  <c:v>Cataluña</c:v>
                </c:pt>
                <c:pt idx="6">
                  <c:v>España</c:v>
                </c:pt>
                <c:pt idx="7">
                  <c:v>Andalucía</c:v>
                </c:pt>
                <c:pt idx="8">
                  <c:v>Madrid</c:v>
                </c:pt>
                <c:pt idx="9">
                  <c:v>Canarias</c:v>
                </c:pt>
                <c:pt idx="10">
                  <c:v>Aragón</c:v>
                </c:pt>
                <c:pt idx="11">
                  <c:v>La Rioja</c:v>
                </c:pt>
                <c:pt idx="12">
                  <c:v>Cantabria</c:v>
                </c:pt>
                <c:pt idx="13">
                  <c:v>Extremadura</c:v>
                </c:pt>
                <c:pt idx="14">
                  <c:v>Asturias</c:v>
                </c:pt>
                <c:pt idx="15">
                  <c:v>Castilla y León</c:v>
                </c:pt>
                <c:pt idx="16">
                  <c:v>Galicia</c:v>
                </c:pt>
              </c:strCache>
            </c:strRef>
          </c:cat>
          <c:val>
            <c:numRef>
              <c:f>Hoja1!$B$28:$B$44</c:f>
              <c:numCache>
                <c:formatCode>0.0%</c:formatCode>
                <c:ptCount val="17"/>
                <c:pt idx="0">
                  <c:v>0.10033948611231218</c:v>
                </c:pt>
                <c:pt idx="1">
                  <c:v>8.4283032239615072E-2</c:v>
                </c:pt>
                <c:pt idx="2">
                  <c:v>8.2665095602806493E-2</c:v>
                </c:pt>
                <c:pt idx="3">
                  <c:v>8.0214116368472865E-2</c:v>
                </c:pt>
                <c:pt idx="4">
                  <c:v>7.9079183607474055E-2</c:v>
                </c:pt>
                <c:pt idx="5">
                  <c:v>7.5773266036628997E-2</c:v>
                </c:pt>
                <c:pt idx="6">
                  <c:v>7.5288658161263011E-2</c:v>
                </c:pt>
                <c:pt idx="7">
                  <c:v>7.4799153849341798E-2</c:v>
                </c:pt>
                <c:pt idx="8">
                  <c:v>7.2992102142262372E-2</c:v>
                </c:pt>
                <c:pt idx="9">
                  <c:v>7.2463718789991013E-2</c:v>
                </c:pt>
                <c:pt idx="10">
                  <c:v>6.7779680230832362E-2</c:v>
                </c:pt>
                <c:pt idx="11">
                  <c:v>6.6112195701130666E-2</c:v>
                </c:pt>
                <c:pt idx="12">
                  <c:v>6.5837692466826248E-2</c:v>
                </c:pt>
                <c:pt idx="13">
                  <c:v>6.2381488282793267E-2</c:v>
                </c:pt>
                <c:pt idx="14">
                  <c:v>6.1332397887847584E-2</c:v>
                </c:pt>
                <c:pt idx="15">
                  <c:v>5.9945128038943196E-2</c:v>
                </c:pt>
                <c:pt idx="16">
                  <c:v>5.2488103782062499E-2</c:v>
                </c:pt>
              </c:numCache>
            </c:numRef>
          </c:val>
          <c:extLst>
            <c:ext xmlns:c16="http://schemas.microsoft.com/office/drawing/2014/chart" uri="{C3380CC4-5D6E-409C-BE32-E72D297353CC}">
              <c16:uniqueId val="{00000008-90D8-4583-9231-B877E44C50F8}"/>
            </c:ext>
          </c:extLst>
        </c:ser>
        <c:dLbls>
          <c:showLegendKey val="0"/>
          <c:showVal val="0"/>
          <c:showCatName val="0"/>
          <c:showSerName val="0"/>
          <c:showPercent val="0"/>
          <c:showBubbleSize val="0"/>
        </c:dLbls>
        <c:gapWidth val="80"/>
        <c:overlap val="25"/>
        <c:axId val="425153663"/>
        <c:axId val="424963199"/>
      </c:barChart>
      <c:catAx>
        <c:axId val="425153663"/>
        <c:scaling>
          <c:orientation val="minMax"/>
        </c:scaling>
        <c:delete val="0"/>
        <c:axPos val="b"/>
        <c:numFmt formatCode="[$-C0A]mmmm\-yy;@" sourceLinked="0"/>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800" b="0" i="0" u="none" strike="noStrike" kern="1200" cap="none" spc="20" normalizeH="0" baseline="0">
                <a:solidFill>
                  <a:sysClr val="windowText" lastClr="000000"/>
                </a:solidFill>
                <a:latin typeface="+mn-lt"/>
                <a:ea typeface="+mn-ea"/>
                <a:cs typeface="+mn-cs"/>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out"/>
        <c:minorTickMark val="none"/>
        <c:tickLblPos val="nextTo"/>
        <c:crossAx val="425153663"/>
        <c:crosses val="autoZero"/>
        <c:crossBetween val="between"/>
      </c:valAx>
      <c:spPr>
        <a:noFill/>
        <a:ln>
          <a:noFill/>
        </a:ln>
        <a:effectLst/>
      </c:spPr>
    </c:plotArea>
    <c:plotVisOnly val="1"/>
    <c:dispBlanksAs val="gap"/>
    <c:showDLblsOverMax val="0"/>
    <c:extLst/>
  </c:chart>
  <c:spPr>
    <a:solidFill>
      <a:schemeClr val="lt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cVSTagvgL5SndinuTX9RTp7Plg==">AMUW2mVOa6Iu8QqigSt+oyLaMNuzFvH4mu8zfPdUNN2CvxoqsC+3TY/+Pb7f/ctdXOehD+oeGsKSz7CfJGS0z4fCVGZkHTOzv9a6Y96+NJlyBKAeSxkuUs5rElerp7lNYzpnQ17cR+KsBPIl5Fi9XIU9KsWvpwbTVLkqcb5nfhUbMylDOdnJ4RA=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2108</Words>
  <Characters>11597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5</cp:revision>
  <dcterms:created xsi:type="dcterms:W3CDTF">2021-02-14T11:41:00Z</dcterms:created>
  <dcterms:modified xsi:type="dcterms:W3CDTF">2023-02-21T11:59:00Z</dcterms:modified>
</cp:coreProperties>
</file>