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E24" w14:textId="647933A4" w:rsidR="000C02DE"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 xml:space="preserve">PRECIO DE LA VIVIENDA </w:t>
      </w:r>
      <w:r w:rsidR="00EF7B84">
        <w:rPr>
          <w:rFonts w:ascii="National" w:eastAsia="National" w:hAnsi="National" w:cs="National"/>
          <w:b/>
          <w:color w:val="1DBDC5"/>
          <w:sz w:val="34"/>
          <w:szCs w:val="34"/>
        </w:rPr>
        <w:t xml:space="preserve">DE COMPRA </w:t>
      </w:r>
      <w:r>
        <w:rPr>
          <w:rFonts w:ascii="National" w:eastAsia="National" w:hAnsi="National" w:cs="National"/>
          <w:b/>
          <w:color w:val="1DBDC5"/>
          <w:sz w:val="34"/>
          <w:szCs w:val="34"/>
        </w:rPr>
        <w:t>CON GARAJE</w:t>
      </w:r>
    </w:p>
    <w:p w14:paraId="5CB969AD" w14:textId="77777777" w:rsidR="000C02DE" w:rsidRDefault="00000000">
      <w:pPr>
        <w:shd w:val="clear" w:color="auto" w:fill="FFFFFF"/>
        <w:ind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Una plaza de garaje incrementa el valor de un piso hasta un 7% en España</w:t>
      </w:r>
    </w:p>
    <w:p w14:paraId="50180071" w14:textId="77777777" w:rsidR="000C02DE" w:rsidRDefault="000C02DE">
      <w:pPr>
        <w:spacing w:line="276" w:lineRule="auto"/>
        <w:ind w:right="-574"/>
        <w:jc w:val="both"/>
        <w:rPr>
          <w:rFonts w:ascii="Open Sans" w:eastAsia="Open Sans" w:hAnsi="Open Sans" w:cs="Open Sans"/>
          <w:color w:val="303AB2"/>
          <w:highlight w:val="yellow"/>
        </w:rPr>
      </w:pPr>
    </w:p>
    <w:p w14:paraId="43D5CCC9" w14:textId="77777777" w:rsidR="000C02DE" w:rsidRDefault="00000000">
      <w:pPr>
        <w:numPr>
          <w:ilvl w:val="0"/>
          <w:numId w:val="1"/>
        </w:numPr>
        <w:spacing w:line="276" w:lineRule="auto"/>
        <w:ind w:right="-574"/>
        <w:jc w:val="both"/>
        <w:rPr>
          <w:rFonts w:ascii="Open Sans" w:eastAsia="Open Sans" w:hAnsi="Open Sans" w:cs="Open Sans"/>
          <w:color w:val="303AB2"/>
        </w:rPr>
      </w:pPr>
      <w:r>
        <w:rPr>
          <w:rFonts w:ascii="Open Sans" w:eastAsia="Open Sans" w:hAnsi="Open Sans" w:cs="Open Sans"/>
          <w:color w:val="303AB2"/>
          <w:highlight w:val="white"/>
        </w:rPr>
        <w:t>El precio medio de la vivienda en España se sitúa en 164.000 euros, mientras que el precio de un piso con garaje supera los 175.000 euros</w:t>
      </w:r>
    </w:p>
    <w:p w14:paraId="7C1E1DC6" w14:textId="77777777" w:rsidR="000C02DE" w:rsidRDefault="00000000">
      <w:pPr>
        <w:numPr>
          <w:ilvl w:val="0"/>
          <w:numId w:val="1"/>
        </w:numP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Una plaza de garaje en Extremadura, Cantabria y Asturias incrementa el precio de la vivienda hasta en un 12% </w:t>
      </w:r>
    </w:p>
    <w:p w14:paraId="2A691E35" w14:textId="77777777" w:rsidR="000C02DE" w:rsidRDefault="00000000">
      <w:pPr>
        <w:numPr>
          <w:ilvl w:val="0"/>
          <w:numId w:val="1"/>
        </w:numP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Madrid (4,7%) y Baleares (4,9%), las comunidades autónomas con el menor incremento entre el precio de una vivienda sin y con garaje </w:t>
      </w:r>
    </w:p>
    <w:p w14:paraId="1DB892AD" w14:textId="77777777" w:rsidR="000C02DE" w:rsidRDefault="00000000">
      <w:pPr>
        <w:numPr>
          <w:ilvl w:val="0"/>
          <w:numId w:val="1"/>
        </w:numP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una plaza de garaje en el País Vasco alcanza los 20.526 euros, posicionándose como la comunidad autónoma más cara</w:t>
      </w:r>
      <w:r>
        <w:rPr>
          <w:rFonts w:ascii="Open Sans" w:eastAsia="Open Sans" w:hAnsi="Open Sans" w:cs="Open Sans"/>
          <w:color w:val="303AB2"/>
        </w:rPr>
        <w:br/>
      </w:r>
    </w:p>
    <w:p w14:paraId="4CDFABE5" w14:textId="77777777" w:rsidR="000C02DE"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8 de febrero de 2023</w:t>
      </w:r>
    </w:p>
    <w:p w14:paraId="3BD2611C" w14:textId="77777777" w:rsidR="000C02DE" w:rsidRDefault="000C02DE">
      <w:pPr>
        <w:spacing w:line="276" w:lineRule="auto"/>
        <w:ind w:right="-574"/>
        <w:jc w:val="both"/>
        <w:rPr>
          <w:rFonts w:ascii="Open Sans" w:eastAsia="Open Sans" w:hAnsi="Open Sans" w:cs="Open Sans"/>
          <w:color w:val="30302E"/>
          <w:sz w:val="22"/>
          <w:szCs w:val="22"/>
        </w:rPr>
      </w:pPr>
    </w:p>
    <w:p w14:paraId="10E43EC0"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los últimos años, las plazas de garaje han registrado una alta demanda y se han convertido en un activo estrella en el mercado inmobiliario, revalorizando la vivienda. Así, </w:t>
      </w:r>
      <w:r>
        <w:rPr>
          <w:rFonts w:ascii="Open Sans" w:eastAsia="Open Sans" w:hAnsi="Open Sans" w:cs="Open Sans"/>
          <w:b/>
          <w:sz w:val="22"/>
          <w:szCs w:val="22"/>
        </w:rPr>
        <w:t>una plaza de garaje incrementa el valor de un piso hasta un 7% de media en España</w:t>
      </w:r>
      <w:r>
        <w:rPr>
          <w:rFonts w:ascii="Open Sans" w:eastAsia="Open Sans" w:hAnsi="Open Sans" w:cs="Open Sans"/>
          <w:sz w:val="22"/>
          <w:szCs w:val="22"/>
        </w:rPr>
        <w:t xml:space="preserve">, según los datos del portal inmobiliario </w:t>
      </w:r>
      <w:hyperlink r:id="rId8">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En este sentido, mientras el precio medio de una vivienda en España se sitúa en 164.066 euros, el precio medio de un piso con garaje alcanza los 175.685 euros</w:t>
      </w:r>
    </w:p>
    <w:p w14:paraId="1F47FB7B"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7876C36" w14:textId="77777777" w:rsidR="000C02D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Concretamente, el análisis realizado por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muestra que hay comunidades autónomas donde contar con un garaje aumenta el precio de un piso hasta un 12%.  Es el caso de</w:t>
      </w:r>
      <w:r>
        <w:rPr>
          <w:rFonts w:ascii="Open Sans" w:eastAsia="Open Sans" w:hAnsi="Open Sans" w:cs="Open Sans"/>
          <w:b/>
          <w:sz w:val="22"/>
          <w:szCs w:val="22"/>
        </w:rPr>
        <w:t xml:space="preserve"> Extremadura (11,8%), Cantabria (11,3%) y Asturias (11%).</w:t>
      </w:r>
      <w:r>
        <w:rPr>
          <w:rFonts w:ascii="Open Sans" w:eastAsia="Open Sans" w:hAnsi="Open Sans" w:cs="Open Sans"/>
          <w:sz w:val="22"/>
          <w:szCs w:val="22"/>
        </w:rPr>
        <w:t xml:space="preserve"> </w:t>
      </w:r>
    </w:p>
    <w:p w14:paraId="114F14E2"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1E0DD99" w14:textId="1BAF5B03" w:rsidR="000C02D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su parte, </w:t>
      </w:r>
      <w:r>
        <w:rPr>
          <w:rFonts w:ascii="Open Sans" w:eastAsia="Open Sans" w:hAnsi="Open Sans" w:cs="Open Sans"/>
          <w:b/>
          <w:sz w:val="22"/>
          <w:szCs w:val="22"/>
        </w:rPr>
        <w:t>Madrid (4,7%), Baleares (4,9%), Navarra (5,9%) y Cataluña (5,9%)</w:t>
      </w:r>
      <w:r>
        <w:rPr>
          <w:rFonts w:ascii="Open Sans" w:eastAsia="Open Sans" w:hAnsi="Open Sans" w:cs="Open Sans"/>
          <w:sz w:val="22"/>
          <w:szCs w:val="22"/>
        </w:rPr>
        <w:t xml:space="preserve"> son las comunidades autónomas que registran una menor diferencia entre el precio de venta de la vivienda sin garaje y el valor de la vivienda con garaje, situándose por debajo de la media española (7,1%). </w:t>
      </w:r>
    </w:p>
    <w:p w14:paraId="31434D3F" w14:textId="7DF7247A" w:rsidR="0048771E" w:rsidRDefault="0048771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D3F5E2D" w14:textId="77777777" w:rsidR="0048771E" w:rsidRDefault="0048771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AA1F299"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1E4C461" w14:textId="77777777" w:rsidR="000C02DE"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lastRenderedPageBreak/>
        <w:t>Las comunidades autónomas donde una plaza de garaje incrementa más el valor de un piso</w:t>
      </w:r>
    </w:p>
    <w:p w14:paraId="004E8D31" w14:textId="77777777" w:rsidR="000C02DE" w:rsidRDefault="000C02DE">
      <w:pPr>
        <w:spacing w:line="276" w:lineRule="auto"/>
        <w:ind w:right="-574"/>
        <w:jc w:val="both"/>
        <w:rPr>
          <w:rFonts w:ascii="Open Sans" w:eastAsia="Open Sans" w:hAnsi="Open Sans" w:cs="Open Sans"/>
          <w:b/>
          <w:color w:val="303AB2"/>
        </w:rPr>
      </w:pPr>
    </w:p>
    <w:tbl>
      <w:tblPr>
        <w:tblStyle w:val="ab"/>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2103"/>
        <w:gridCol w:w="2115"/>
        <w:gridCol w:w="2115"/>
      </w:tblGrid>
      <w:tr w:rsidR="000C02DE" w14:paraId="11D484F0" w14:textId="77777777">
        <w:trPr>
          <w:trHeight w:val="449"/>
        </w:trPr>
        <w:tc>
          <w:tcPr>
            <w:tcW w:w="2126" w:type="dxa"/>
            <w:shd w:val="clear" w:color="auto" w:fill="4472C4"/>
            <w:tcMar>
              <w:top w:w="100" w:type="dxa"/>
              <w:left w:w="100" w:type="dxa"/>
              <w:bottom w:w="100" w:type="dxa"/>
              <w:right w:w="100" w:type="dxa"/>
            </w:tcMar>
          </w:tcPr>
          <w:p w14:paraId="608B3D02" w14:textId="77777777" w:rsidR="000C02DE" w:rsidRDefault="00000000">
            <w:pPr>
              <w:widowControl w:val="0"/>
              <w:pBdr>
                <w:top w:val="nil"/>
                <w:left w:val="nil"/>
                <w:bottom w:val="nil"/>
                <w:right w:val="nil"/>
                <w:between w:val="nil"/>
              </w:pBdr>
              <w:jc w:val="center"/>
              <w:rPr>
                <w:rFonts w:ascii="Open Sans" w:eastAsia="Open Sans" w:hAnsi="Open Sans" w:cs="Open Sans"/>
                <w:b/>
                <w:color w:val="FFFFFF"/>
              </w:rPr>
            </w:pPr>
            <w:r>
              <w:rPr>
                <w:rFonts w:ascii="Open Sans" w:eastAsia="Open Sans" w:hAnsi="Open Sans" w:cs="Open Sans"/>
                <w:b/>
                <w:color w:val="FFFFFF"/>
                <w:sz w:val="22"/>
                <w:szCs w:val="22"/>
              </w:rPr>
              <w:t>Comunidad autónoma</w:t>
            </w:r>
          </w:p>
        </w:tc>
        <w:tc>
          <w:tcPr>
            <w:tcW w:w="2103" w:type="dxa"/>
            <w:shd w:val="clear" w:color="auto" w:fill="4472C4"/>
            <w:tcMar>
              <w:top w:w="100" w:type="dxa"/>
              <w:left w:w="100" w:type="dxa"/>
              <w:bottom w:w="100" w:type="dxa"/>
              <w:right w:w="100" w:type="dxa"/>
            </w:tcMar>
          </w:tcPr>
          <w:p w14:paraId="58B05602" w14:textId="77777777" w:rsidR="000C02DE" w:rsidRDefault="00000000">
            <w:pPr>
              <w:widowControl w:val="0"/>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Precio medio de compra de una vivienda sin garaje</w:t>
            </w:r>
          </w:p>
        </w:tc>
        <w:tc>
          <w:tcPr>
            <w:tcW w:w="2115" w:type="dxa"/>
            <w:shd w:val="clear" w:color="auto" w:fill="4472C4"/>
            <w:tcMar>
              <w:top w:w="100" w:type="dxa"/>
              <w:left w:w="100" w:type="dxa"/>
              <w:bottom w:w="100" w:type="dxa"/>
              <w:right w:w="100" w:type="dxa"/>
            </w:tcMar>
          </w:tcPr>
          <w:p w14:paraId="7FE0829C" w14:textId="77777777" w:rsidR="000C02DE" w:rsidRDefault="00000000">
            <w:pPr>
              <w:widowControl w:val="0"/>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Precio medio de compra de una vivienda con garaje</w:t>
            </w:r>
          </w:p>
        </w:tc>
        <w:tc>
          <w:tcPr>
            <w:tcW w:w="2115" w:type="dxa"/>
            <w:shd w:val="clear" w:color="auto" w:fill="4472C4"/>
            <w:tcMar>
              <w:top w:w="100" w:type="dxa"/>
              <w:left w:w="100" w:type="dxa"/>
              <w:bottom w:w="100" w:type="dxa"/>
              <w:right w:w="100" w:type="dxa"/>
            </w:tcMar>
          </w:tcPr>
          <w:p w14:paraId="62FF8C7C" w14:textId="77777777" w:rsidR="000C02DE" w:rsidRDefault="000C02DE">
            <w:pPr>
              <w:widowControl w:val="0"/>
              <w:pBdr>
                <w:top w:val="nil"/>
                <w:left w:val="nil"/>
                <w:bottom w:val="nil"/>
                <w:right w:val="nil"/>
                <w:between w:val="nil"/>
              </w:pBdr>
              <w:jc w:val="center"/>
              <w:rPr>
                <w:rFonts w:ascii="Open Sans" w:eastAsia="Open Sans" w:hAnsi="Open Sans" w:cs="Open Sans"/>
                <w:b/>
                <w:color w:val="FFFFFF"/>
                <w:sz w:val="22"/>
                <w:szCs w:val="22"/>
              </w:rPr>
            </w:pPr>
          </w:p>
          <w:p w14:paraId="00BD6DF5" w14:textId="77777777" w:rsidR="000C02DE" w:rsidRDefault="00000000">
            <w:pPr>
              <w:widowControl w:val="0"/>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Incremento</w:t>
            </w:r>
          </w:p>
          <w:p w14:paraId="7E2FFB9C" w14:textId="77777777" w:rsidR="000C02DE" w:rsidRDefault="00000000">
            <w:pPr>
              <w:widowControl w:val="0"/>
              <w:pBdr>
                <w:top w:val="nil"/>
                <w:left w:val="nil"/>
                <w:bottom w:val="nil"/>
                <w:right w:val="nil"/>
                <w:between w:val="nil"/>
              </w:pBd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t>
            </w:r>
          </w:p>
        </w:tc>
      </w:tr>
      <w:tr w:rsidR="000C02DE" w14:paraId="5C1DE53B" w14:textId="77777777">
        <w:tc>
          <w:tcPr>
            <w:tcW w:w="2126" w:type="dxa"/>
            <w:shd w:val="clear" w:color="auto" w:fill="4472C4"/>
            <w:tcMar>
              <w:top w:w="100" w:type="dxa"/>
              <w:left w:w="100" w:type="dxa"/>
              <w:bottom w:w="100" w:type="dxa"/>
              <w:right w:w="100" w:type="dxa"/>
            </w:tcMar>
          </w:tcPr>
          <w:p w14:paraId="20FCB48B" w14:textId="77777777" w:rsidR="000C02DE" w:rsidRDefault="00000000">
            <w:pPr>
              <w:widowControl w:val="0"/>
              <w:pBdr>
                <w:top w:val="nil"/>
                <w:left w:val="nil"/>
                <w:bottom w:val="nil"/>
                <w:right w:val="nil"/>
                <w:between w:val="nil"/>
              </w:pBdr>
              <w:rPr>
                <w:rFonts w:ascii="Open Sans" w:eastAsia="Open Sans" w:hAnsi="Open Sans" w:cs="Open Sans"/>
                <w:b/>
                <w:color w:val="FFFFFF"/>
                <w:sz w:val="22"/>
                <w:szCs w:val="22"/>
              </w:rPr>
            </w:pPr>
            <w:r>
              <w:rPr>
                <w:rFonts w:ascii="Open Sans" w:eastAsia="Open Sans" w:hAnsi="Open Sans" w:cs="Open Sans"/>
                <w:b/>
                <w:color w:val="FFFFFF"/>
                <w:sz w:val="22"/>
                <w:szCs w:val="22"/>
              </w:rPr>
              <w:t>Extremadura</w:t>
            </w:r>
          </w:p>
        </w:tc>
        <w:tc>
          <w:tcPr>
            <w:tcW w:w="2103" w:type="dxa"/>
            <w:shd w:val="clear" w:color="auto" w:fill="B4C6E7"/>
          </w:tcPr>
          <w:p w14:paraId="19A70BAB" w14:textId="77777777" w:rsidR="000C02DE" w:rsidRDefault="00000000" w:rsidP="00637BB5">
            <w:pP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96.321€</w:t>
            </w:r>
          </w:p>
        </w:tc>
        <w:tc>
          <w:tcPr>
            <w:tcW w:w="2115" w:type="dxa"/>
            <w:shd w:val="clear" w:color="auto" w:fill="B4C6E7"/>
          </w:tcPr>
          <w:p w14:paraId="38776A6D" w14:textId="77777777" w:rsidR="000C02DE" w:rsidRDefault="00000000" w:rsidP="00637BB5">
            <w:pP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107.686€</w:t>
            </w:r>
          </w:p>
        </w:tc>
        <w:tc>
          <w:tcPr>
            <w:tcW w:w="2115" w:type="dxa"/>
            <w:shd w:val="clear" w:color="auto" w:fill="B4C6E7"/>
          </w:tcPr>
          <w:p w14:paraId="583AA021" w14:textId="77777777" w:rsidR="000C02DE" w:rsidRDefault="00000000" w:rsidP="00637BB5">
            <w:pPr>
              <w:spacing w:line="276" w:lineRule="auto"/>
              <w:ind w:right="-574"/>
              <w:jc w:val="center"/>
              <w:rPr>
                <w:rFonts w:ascii="Open Sans" w:eastAsia="Open Sans" w:hAnsi="Open Sans" w:cs="Open Sans"/>
                <w:b/>
                <w:sz w:val="22"/>
                <w:szCs w:val="22"/>
              </w:rPr>
            </w:pPr>
            <w:r>
              <w:rPr>
                <w:rFonts w:ascii="Open Sans" w:eastAsia="Open Sans" w:hAnsi="Open Sans" w:cs="Open Sans"/>
                <w:b/>
                <w:sz w:val="22"/>
                <w:szCs w:val="22"/>
              </w:rPr>
              <w:t>11,8%</w:t>
            </w:r>
          </w:p>
        </w:tc>
      </w:tr>
      <w:tr w:rsidR="000C02DE" w14:paraId="5CA550AB" w14:textId="77777777">
        <w:tc>
          <w:tcPr>
            <w:tcW w:w="2126" w:type="dxa"/>
            <w:shd w:val="clear" w:color="auto" w:fill="4472C4"/>
            <w:tcMar>
              <w:top w:w="100" w:type="dxa"/>
              <w:left w:w="100" w:type="dxa"/>
              <w:bottom w:w="100" w:type="dxa"/>
              <w:right w:w="100" w:type="dxa"/>
            </w:tcMar>
          </w:tcPr>
          <w:p w14:paraId="01F00112" w14:textId="77777777" w:rsidR="000C02DE" w:rsidRDefault="00000000">
            <w:pPr>
              <w:widowControl w:val="0"/>
              <w:pBdr>
                <w:top w:val="nil"/>
                <w:left w:val="nil"/>
                <w:bottom w:val="nil"/>
                <w:right w:val="nil"/>
                <w:between w:val="nil"/>
              </w:pBdr>
              <w:rPr>
                <w:rFonts w:ascii="Open Sans" w:eastAsia="Open Sans" w:hAnsi="Open Sans" w:cs="Open Sans"/>
                <w:b/>
                <w:color w:val="FFFFFF"/>
                <w:sz w:val="22"/>
                <w:szCs w:val="22"/>
              </w:rPr>
            </w:pPr>
            <w:r>
              <w:rPr>
                <w:rFonts w:ascii="Open Sans" w:eastAsia="Open Sans" w:hAnsi="Open Sans" w:cs="Open Sans"/>
                <w:b/>
                <w:color w:val="FFFFFF"/>
                <w:sz w:val="22"/>
                <w:szCs w:val="22"/>
              </w:rPr>
              <w:t>Cantabria</w:t>
            </w:r>
          </w:p>
        </w:tc>
        <w:tc>
          <w:tcPr>
            <w:tcW w:w="2103" w:type="dxa"/>
            <w:shd w:val="clear" w:color="auto" w:fill="D9E2F3"/>
          </w:tcPr>
          <w:p w14:paraId="6F65D3F2"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143.441€</w:t>
            </w:r>
          </w:p>
        </w:tc>
        <w:tc>
          <w:tcPr>
            <w:tcW w:w="2115" w:type="dxa"/>
            <w:shd w:val="clear" w:color="auto" w:fill="D9E2F3"/>
          </w:tcPr>
          <w:p w14:paraId="3080E4E7"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159.683€</w:t>
            </w:r>
          </w:p>
        </w:tc>
        <w:tc>
          <w:tcPr>
            <w:tcW w:w="2115" w:type="dxa"/>
            <w:shd w:val="clear" w:color="auto" w:fill="D9E2F3"/>
          </w:tcPr>
          <w:p w14:paraId="5BDA3162"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b/>
                <w:sz w:val="22"/>
                <w:szCs w:val="22"/>
              </w:rPr>
            </w:pPr>
            <w:r>
              <w:rPr>
                <w:rFonts w:ascii="Open Sans" w:eastAsia="Open Sans" w:hAnsi="Open Sans" w:cs="Open Sans"/>
                <w:b/>
                <w:sz w:val="22"/>
                <w:szCs w:val="22"/>
              </w:rPr>
              <w:t>11,3%</w:t>
            </w:r>
          </w:p>
        </w:tc>
      </w:tr>
      <w:tr w:rsidR="000C02DE" w14:paraId="38F3D7D3" w14:textId="77777777">
        <w:tc>
          <w:tcPr>
            <w:tcW w:w="2126" w:type="dxa"/>
            <w:shd w:val="clear" w:color="auto" w:fill="4472C4"/>
            <w:tcMar>
              <w:top w:w="100" w:type="dxa"/>
              <w:left w:w="100" w:type="dxa"/>
              <w:bottom w:w="100" w:type="dxa"/>
              <w:right w:w="100" w:type="dxa"/>
            </w:tcMar>
          </w:tcPr>
          <w:p w14:paraId="4D14A8AE" w14:textId="77777777" w:rsidR="000C02DE" w:rsidRDefault="00000000">
            <w:pPr>
              <w:widowControl w:val="0"/>
              <w:pBdr>
                <w:top w:val="nil"/>
                <w:left w:val="nil"/>
                <w:bottom w:val="nil"/>
                <w:right w:val="nil"/>
                <w:between w:val="nil"/>
              </w:pBdr>
              <w:rPr>
                <w:rFonts w:ascii="Open Sans" w:eastAsia="Open Sans" w:hAnsi="Open Sans" w:cs="Open Sans"/>
                <w:b/>
                <w:color w:val="FFFFFF"/>
                <w:sz w:val="22"/>
                <w:szCs w:val="22"/>
              </w:rPr>
            </w:pPr>
            <w:r>
              <w:rPr>
                <w:rFonts w:ascii="Open Sans" w:eastAsia="Open Sans" w:hAnsi="Open Sans" w:cs="Open Sans"/>
                <w:b/>
                <w:color w:val="FFFFFF"/>
                <w:sz w:val="22"/>
                <w:szCs w:val="22"/>
              </w:rPr>
              <w:t>Asturias</w:t>
            </w:r>
          </w:p>
        </w:tc>
        <w:tc>
          <w:tcPr>
            <w:tcW w:w="2103" w:type="dxa"/>
            <w:shd w:val="clear" w:color="auto" w:fill="B4C6E7"/>
          </w:tcPr>
          <w:p w14:paraId="2C97FF04"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127.711€</w:t>
            </w:r>
          </w:p>
        </w:tc>
        <w:tc>
          <w:tcPr>
            <w:tcW w:w="2115" w:type="dxa"/>
            <w:shd w:val="clear" w:color="auto" w:fill="B4C6E7"/>
          </w:tcPr>
          <w:p w14:paraId="5E1F1431"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141.765€</w:t>
            </w:r>
          </w:p>
        </w:tc>
        <w:tc>
          <w:tcPr>
            <w:tcW w:w="2115" w:type="dxa"/>
            <w:shd w:val="clear" w:color="auto" w:fill="B4C6E7"/>
          </w:tcPr>
          <w:p w14:paraId="69569089"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b/>
                <w:sz w:val="22"/>
                <w:szCs w:val="22"/>
              </w:rPr>
            </w:pPr>
            <w:r>
              <w:rPr>
                <w:rFonts w:ascii="Open Sans" w:eastAsia="Open Sans" w:hAnsi="Open Sans" w:cs="Open Sans"/>
                <w:b/>
                <w:sz w:val="22"/>
                <w:szCs w:val="22"/>
              </w:rPr>
              <w:t>11%</w:t>
            </w:r>
          </w:p>
        </w:tc>
      </w:tr>
      <w:tr w:rsidR="000C02DE" w14:paraId="0B6DA69B" w14:textId="77777777">
        <w:tc>
          <w:tcPr>
            <w:tcW w:w="2126" w:type="dxa"/>
            <w:shd w:val="clear" w:color="auto" w:fill="4472C4"/>
            <w:tcMar>
              <w:top w:w="100" w:type="dxa"/>
              <w:left w:w="100" w:type="dxa"/>
              <w:bottom w:w="100" w:type="dxa"/>
              <w:right w:w="100" w:type="dxa"/>
            </w:tcMar>
          </w:tcPr>
          <w:p w14:paraId="7DAB7D62" w14:textId="77777777" w:rsidR="000C02DE" w:rsidRDefault="00000000">
            <w:pPr>
              <w:widowControl w:val="0"/>
              <w:pBdr>
                <w:top w:val="nil"/>
                <w:left w:val="nil"/>
                <w:bottom w:val="nil"/>
                <w:right w:val="nil"/>
                <w:between w:val="nil"/>
              </w:pBdr>
              <w:rPr>
                <w:rFonts w:ascii="Open Sans" w:eastAsia="Open Sans" w:hAnsi="Open Sans" w:cs="Open Sans"/>
                <w:b/>
                <w:color w:val="FFFFFF"/>
                <w:sz w:val="22"/>
                <w:szCs w:val="22"/>
              </w:rPr>
            </w:pPr>
            <w:r>
              <w:rPr>
                <w:rFonts w:ascii="Open Sans" w:eastAsia="Open Sans" w:hAnsi="Open Sans" w:cs="Open Sans"/>
                <w:b/>
                <w:color w:val="FFFFFF"/>
                <w:sz w:val="22"/>
                <w:szCs w:val="22"/>
              </w:rPr>
              <w:t>Castilla y León</w:t>
            </w:r>
          </w:p>
        </w:tc>
        <w:tc>
          <w:tcPr>
            <w:tcW w:w="2103" w:type="dxa"/>
            <w:shd w:val="clear" w:color="auto" w:fill="D9E2F3"/>
          </w:tcPr>
          <w:p w14:paraId="36F62099"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115.595€</w:t>
            </w:r>
          </w:p>
        </w:tc>
        <w:tc>
          <w:tcPr>
            <w:tcW w:w="2115" w:type="dxa"/>
            <w:shd w:val="clear" w:color="auto" w:fill="D9E2F3"/>
          </w:tcPr>
          <w:p w14:paraId="1B4D5B23"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127.044€</w:t>
            </w:r>
          </w:p>
        </w:tc>
        <w:tc>
          <w:tcPr>
            <w:tcW w:w="2115" w:type="dxa"/>
            <w:shd w:val="clear" w:color="auto" w:fill="D9E2F3"/>
          </w:tcPr>
          <w:p w14:paraId="01AE011F" w14:textId="77777777" w:rsidR="000C02DE" w:rsidRDefault="00000000" w:rsidP="00637BB5">
            <w:pPr>
              <w:spacing w:line="276" w:lineRule="auto"/>
              <w:ind w:right="-574"/>
              <w:jc w:val="center"/>
              <w:rPr>
                <w:rFonts w:ascii="Open Sans" w:eastAsia="Open Sans" w:hAnsi="Open Sans" w:cs="Open Sans"/>
                <w:b/>
                <w:sz w:val="22"/>
                <w:szCs w:val="22"/>
              </w:rPr>
            </w:pPr>
            <w:r>
              <w:rPr>
                <w:rFonts w:ascii="Open Sans" w:eastAsia="Open Sans" w:hAnsi="Open Sans" w:cs="Open Sans"/>
                <w:b/>
                <w:sz w:val="22"/>
                <w:szCs w:val="22"/>
              </w:rPr>
              <w:t>9,9%</w:t>
            </w:r>
          </w:p>
        </w:tc>
      </w:tr>
      <w:tr w:rsidR="000C02DE" w14:paraId="0A443616" w14:textId="77777777">
        <w:tc>
          <w:tcPr>
            <w:tcW w:w="2126" w:type="dxa"/>
            <w:shd w:val="clear" w:color="auto" w:fill="4472C4"/>
            <w:tcMar>
              <w:top w:w="100" w:type="dxa"/>
              <w:left w:w="100" w:type="dxa"/>
              <w:bottom w:w="100" w:type="dxa"/>
              <w:right w:w="100" w:type="dxa"/>
            </w:tcMar>
          </w:tcPr>
          <w:p w14:paraId="089D3F76" w14:textId="77777777" w:rsidR="000C02DE" w:rsidRDefault="00000000">
            <w:pPr>
              <w:widowControl w:val="0"/>
              <w:pBdr>
                <w:top w:val="nil"/>
                <w:left w:val="nil"/>
                <w:bottom w:val="nil"/>
                <w:right w:val="nil"/>
                <w:between w:val="nil"/>
              </w:pBdr>
              <w:rPr>
                <w:rFonts w:ascii="Open Sans" w:eastAsia="Open Sans" w:hAnsi="Open Sans" w:cs="Open Sans"/>
                <w:b/>
                <w:color w:val="FFFFFF"/>
                <w:sz w:val="22"/>
                <w:szCs w:val="22"/>
              </w:rPr>
            </w:pPr>
            <w:r>
              <w:rPr>
                <w:rFonts w:ascii="Open Sans" w:eastAsia="Open Sans" w:hAnsi="Open Sans" w:cs="Open Sans"/>
                <w:b/>
                <w:color w:val="FFFFFF"/>
                <w:sz w:val="22"/>
                <w:szCs w:val="22"/>
              </w:rPr>
              <w:t>Galicia</w:t>
            </w:r>
          </w:p>
        </w:tc>
        <w:tc>
          <w:tcPr>
            <w:tcW w:w="2103" w:type="dxa"/>
            <w:shd w:val="clear" w:color="auto" w:fill="B4C6E7"/>
          </w:tcPr>
          <w:p w14:paraId="1398505A"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134.091€</w:t>
            </w:r>
          </w:p>
        </w:tc>
        <w:tc>
          <w:tcPr>
            <w:tcW w:w="2115" w:type="dxa"/>
            <w:shd w:val="clear" w:color="auto" w:fill="B4C6E7"/>
          </w:tcPr>
          <w:p w14:paraId="554F43A5" w14:textId="77777777" w:rsidR="000C02DE" w:rsidRDefault="00000000" w:rsidP="00637BB5">
            <w:pPr>
              <w:pBdr>
                <w:top w:val="nil"/>
                <w:left w:val="nil"/>
                <w:bottom w:val="nil"/>
                <w:right w:val="nil"/>
                <w:between w:val="nil"/>
              </w:pBdr>
              <w:spacing w:line="276" w:lineRule="auto"/>
              <w:ind w:right="-574"/>
              <w:jc w:val="center"/>
              <w:rPr>
                <w:rFonts w:ascii="Open Sans" w:eastAsia="Open Sans" w:hAnsi="Open Sans" w:cs="Open Sans"/>
                <w:sz w:val="22"/>
                <w:szCs w:val="22"/>
              </w:rPr>
            </w:pPr>
            <w:r>
              <w:rPr>
                <w:rFonts w:ascii="Open Sans" w:eastAsia="Open Sans" w:hAnsi="Open Sans" w:cs="Open Sans"/>
                <w:sz w:val="22"/>
                <w:szCs w:val="22"/>
              </w:rPr>
              <w:t>147.356€</w:t>
            </w:r>
          </w:p>
        </w:tc>
        <w:tc>
          <w:tcPr>
            <w:tcW w:w="2115" w:type="dxa"/>
            <w:shd w:val="clear" w:color="auto" w:fill="B4C6E7"/>
          </w:tcPr>
          <w:p w14:paraId="5CE2F7AB" w14:textId="77777777" w:rsidR="000C02DE" w:rsidRDefault="00000000" w:rsidP="00637BB5">
            <w:pPr>
              <w:spacing w:line="276" w:lineRule="auto"/>
              <w:ind w:right="-574"/>
              <w:jc w:val="center"/>
              <w:rPr>
                <w:rFonts w:ascii="Open Sans" w:eastAsia="Open Sans" w:hAnsi="Open Sans" w:cs="Open Sans"/>
                <w:b/>
                <w:sz w:val="22"/>
                <w:szCs w:val="22"/>
              </w:rPr>
            </w:pPr>
            <w:r>
              <w:rPr>
                <w:rFonts w:ascii="Open Sans" w:eastAsia="Open Sans" w:hAnsi="Open Sans" w:cs="Open Sans"/>
                <w:b/>
                <w:sz w:val="22"/>
                <w:szCs w:val="22"/>
              </w:rPr>
              <w:t>9,9%</w:t>
            </w:r>
          </w:p>
        </w:tc>
      </w:tr>
    </w:tbl>
    <w:p w14:paraId="75DBB119" w14:textId="77777777" w:rsidR="000C02DE" w:rsidRDefault="000C02DE">
      <w:pPr>
        <w:spacing w:line="276" w:lineRule="auto"/>
        <w:ind w:right="-574"/>
        <w:jc w:val="both"/>
        <w:rPr>
          <w:rFonts w:ascii="Open Sans" w:eastAsia="Open Sans" w:hAnsi="Open Sans" w:cs="Open Sans"/>
          <w:b/>
          <w:color w:val="303AB2"/>
        </w:rPr>
      </w:pPr>
    </w:p>
    <w:p w14:paraId="0825F463" w14:textId="77777777" w:rsidR="000C02DE" w:rsidRDefault="00000000">
      <w:pPr>
        <w:pBdr>
          <w:top w:val="nil"/>
          <w:left w:val="nil"/>
          <w:bottom w:val="nil"/>
          <w:right w:val="nil"/>
          <w:between w:val="nil"/>
        </w:pBdr>
        <w:spacing w:line="276" w:lineRule="auto"/>
        <w:ind w:right="-574"/>
        <w:jc w:val="both"/>
        <w:rPr>
          <w:rFonts w:ascii="National" w:eastAsia="National" w:hAnsi="National" w:cs="National"/>
          <w:b/>
          <w:color w:val="303AB2"/>
          <w:sz w:val="52"/>
          <w:szCs w:val="52"/>
        </w:rPr>
      </w:pPr>
      <w:r>
        <w:rPr>
          <w:rFonts w:ascii="Open Sans" w:eastAsia="Open Sans" w:hAnsi="Open Sans" w:cs="Open Sans"/>
          <w:b/>
          <w:sz w:val="22"/>
          <w:szCs w:val="22"/>
        </w:rPr>
        <w:t>En el caso de Extremadura, una plaza de garaje incrementa el valor de un piso un 11,8%,</w:t>
      </w:r>
      <w:r>
        <w:rPr>
          <w:rFonts w:ascii="Open Sans" w:eastAsia="Open Sans" w:hAnsi="Open Sans" w:cs="Open Sans"/>
          <w:sz w:val="22"/>
          <w:szCs w:val="22"/>
        </w:rPr>
        <w:t xml:space="preserve"> posicionándose como la comunidad autónoma que experimenta un mayor incremento. Así, mientras que el precio medio de un piso en Extremadura se sitúa en los 96.321 euros, este alcanza los 107.686 euros en el caso de contar con una plaza de garaje particular.</w:t>
      </w:r>
    </w:p>
    <w:p w14:paraId="331D2773"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7F2413" w14:textId="77777777" w:rsidR="000C02D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Extremadura le sigue </w:t>
      </w:r>
      <w:r>
        <w:rPr>
          <w:rFonts w:ascii="Open Sans" w:eastAsia="Open Sans" w:hAnsi="Open Sans" w:cs="Open Sans"/>
          <w:b/>
          <w:sz w:val="22"/>
          <w:szCs w:val="22"/>
        </w:rPr>
        <w:t>Cantabria</w:t>
      </w:r>
      <w:r>
        <w:rPr>
          <w:rFonts w:ascii="Open Sans" w:eastAsia="Open Sans" w:hAnsi="Open Sans" w:cs="Open Sans"/>
          <w:sz w:val="22"/>
          <w:szCs w:val="22"/>
        </w:rPr>
        <w:t xml:space="preserve">, </w:t>
      </w:r>
      <w:r>
        <w:rPr>
          <w:rFonts w:ascii="Open Sans" w:eastAsia="Open Sans" w:hAnsi="Open Sans" w:cs="Open Sans"/>
          <w:b/>
          <w:sz w:val="22"/>
          <w:szCs w:val="22"/>
        </w:rPr>
        <w:t>con un incremento del 11,3%,</w:t>
      </w:r>
      <w:r>
        <w:rPr>
          <w:rFonts w:ascii="Open Sans" w:eastAsia="Open Sans" w:hAnsi="Open Sans" w:cs="Open Sans"/>
          <w:sz w:val="22"/>
          <w:szCs w:val="22"/>
        </w:rPr>
        <w:t xml:space="preserve"> que pasa de un precio medio de la vivienda de 143.441 euros a los 159.683 euros en caso de contar con garaje. </w:t>
      </w:r>
      <w:r>
        <w:rPr>
          <w:rFonts w:ascii="Open Sans" w:eastAsia="Open Sans" w:hAnsi="Open Sans" w:cs="Open Sans"/>
          <w:b/>
          <w:sz w:val="22"/>
          <w:szCs w:val="22"/>
        </w:rPr>
        <w:t>Asturias</w:t>
      </w:r>
      <w:r>
        <w:rPr>
          <w:rFonts w:ascii="Open Sans" w:eastAsia="Open Sans" w:hAnsi="Open Sans" w:cs="Open Sans"/>
          <w:sz w:val="22"/>
          <w:szCs w:val="22"/>
        </w:rPr>
        <w:t xml:space="preserve">, por su parte, </w:t>
      </w:r>
      <w:r>
        <w:rPr>
          <w:rFonts w:ascii="Open Sans" w:eastAsia="Open Sans" w:hAnsi="Open Sans" w:cs="Open Sans"/>
          <w:b/>
          <w:sz w:val="22"/>
          <w:szCs w:val="22"/>
        </w:rPr>
        <w:t>refleja un incremento del 11% entre el precio de una vivienda sin y con plaza de garaje</w:t>
      </w:r>
      <w:r>
        <w:rPr>
          <w:rFonts w:ascii="Open Sans" w:eastAsia="Open Sans" w:hAnsi="Open Sans" w:cs="Open Sans"/>
          <w:sz w:val="22"/>
          <w:szCs w:val="22"/>
        </w:rPr>
        <w:t xml:space="preserve">, aumentando de los 127.711 a los 141.765 euros. </w:t>
      </w:r>
    </w:p>
    <w:p w14:paraId="28979058"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9895696" w14:textId="77777777" w:rsidR="000C02DE"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tanto en </w:t>
      </w:r>
      <w:r>
        <w:rPr>
          <w:rFonts w:ascii="Open Sans" w:eastAsia="Open Sans" w:hAnsi="Open Sans" w:cs="Open Sans"/>
          <w:b/>
          <w:sz w:val="22"/>
          <w:szCs w:val="22"/>
        </w:rPr>
        <w:t>Castilla y León como en Galicia, una plaza de garaje incrementa el precio de la vivienda un 9,9%.</w:t>
      </w:r>
      <w:r>
        <w:rPr>
          <w:rFonts w:ascii="Open Sans" w:eastAsia="Open Sans" w:hAnsi="Open Sans" w:cs="Open Sans"/>
          <w:sz w:val="22"/>
          <w:szCs w:val="22"/>
        </w:rPr>
        <w:t xml:space="preserve"> En la comunidad de Castilla y León, el precio medio de un piso registra los 115.595 euros, mientras que si cuenta con una plaza de garaje particular alcanza los 127.000 euros. En el caso de Galicia, el precio medio de una vivienda aumenta de los 134.000 a los 147.356 euros al sumar una plaza de garaje particular. </w:t>
      </w:r>
    </w:p>
    <w:p w14:paraId="1250564B"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F0B2A14" w14:textId="26808A5D"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 xml:space="preserve">María Matos, </w:t>
      </w:r>
      <w:proofErr w:type="gramStart"/>
      <w:r>
        <w:rPr>
          <w:rFonts w:ascii="Open Sans" w:eastAsia="Open Sans" w:hAnsi="Open Sans" w:cs="Open Sans"/>
          <w:b/>
          <w:sz w:val="22"/>
          <w:szCs w:val="22"/>
        </w:rPr>
        <w:t>Directora</w:t>
      </w:r>
      <w:proofErr w:type="gramEnd"/>
      <w:r>
        <w:rPr>
          <w:rFonts w:ascii="Open Sans" w:eastAsia="Open Sans" w:hAnsi="Open Sans" w:cs="Open Sans"/>
          <w:b/>
          <w:sz w:val="22"/>
          <w:szCs w:val="22"/>
        </w:rPr>
        <w:t xml:space="preserve"> de Estudios de </w:t>
      </w:r>
      <w:hyperlink r:id="rId10" w:history="1">
        <w:r w:rsidRPr="0048771E">
          <w:rPr>
            <w:rStyle w:val="Hipervnculo"/>
            <w:rFonts w:ascii="Open Sans" w:eastAsia="Open Sans" w:hAnsi="Open Sans" w:cs="Open Sans"/>
            <w:b/>
            <w:sz w:val="22"/>
            <w:szCs w:val="22"/>
          </w:rPr>
          <w:t>Fotocasa</w:t>
        </w:r>
      </w:hyperlink>
      <w:r>
        <w:rPr>
          <w:rFonts w:ascii="Open Sans" w:eastAsia="Open Sans" w:hAnsi="Open Sans" w:cs="Open Sans"/>
          <w:sz w:val="22"/>
          <w:szCs w:val="22"/>
        </w:rPr>
        <w:t xml:space="preserve">, destaca: “En los últimos años, el segmento de los garajes ha experimentado una elevada demanda, por lo que contar con una plaza de garaje ha revalorizado los pisos. Asimismo, la rentabilidad de los garajes ha </w:t>
      </w:r>
      <w:r>
        <w:rPr>
          <w:rFonts w:ascii="Open Sans" w:eastAsia="Open Sans" w:hAnsi="Open Sans" w:cs="Open Sans"/>
          <w:sz w:val="22"/>
          <w:szCs w:val="22"/>
        </w:rPr>
        <w:lastRenderedPageBreak/>
        <w:t>demostrado ser mayor que la de otros productos financieros e, incluso, que la de la vivienda. De hecho, mientras que la vivienda cerró el 2022 con una rentabilidad del 6,5%, la de los garajes alcanzó el 7,5%”.</w:t>
      </w:r>
    </w:p>
    <w:p w14:paraId="5A5A08E5" w14:textId="77777777" w:rsidR="000C02DE" w:rsidRDefault="000C02DE">
      <w:pPr>
        <w:spacing w:line="276" w:lineRule="auto"/>
        <w:ind w:right="-574"/>
        <w:jc w:val="both"/>
        <w:rPr>
          <w:rFonts w:ascii="Open Sans" w:eastAsia="Open Sans" w:hAnsi="Open Sans" w:cs="Open Sans"/>
          <w:sz w:val="22"/>
          <w:szCs w:val="22"/>
        </w:rPr>
      </w:pPr>
    </w:p>
    <w:p w14:paraId="4B142BE8" w14:textId="77777777" w:rsidR="000C02DE" w:rsidRDefault="00000000">
      <w:pPr>
        <w:spacing w:line="276" w:lineRule="auto"/>
        <w:ind w:right="-574"/>
        <w:jc w:val="both"/>
        <w:rPr>
          <w:rFonts w:ascii="Open Sans" w:eastAsia="Open Sans" w:hAnsi="Open Sans" w:cs="Open Sans"/>
          <w:sz w:val="22"/>
          <w:szCs w:val="22"/>
          <w:highlight w:val="yellow"/>
        </w:rPr>
      </w:pPr>
      <w:r>
        <w:rPr>
          <w:rFonts w:ascii="Open Sans" w:eastAsia="Open Sans" w:hAnsi="Open Sans" w:cs="Open Sans"/>
          <w:sz w:val="22"/>
          <w:szCs w:val="22"/>
        </w:rPr>
        <w:t>Y añade: “El mercado de los garajes goza de un gran dinamismo y una fuerte rotación, contando con dos tipos de demandantes: aquellos que demandan una plaza de garaje en el lugar en el que viven y aquellos que reclaman un garaje porque trabajan por la zona”.</w:t>
      </w:r>
    </w:p>
    <w:p w14:paraId="5FE540A4" w14:textId="77777777" w:rsidR="000C02DE" w:rsidRDefault="000C02DE">
      <w:pPr>
        <w:spacing w:line="276" w:lineRule="auto"/>
        <w:ind w:right="-574"/>
        <w:jc w:val="both"/>
        <w:rPr>
          <w:rFonts w:ascii="Open Sans" w:eastAsia="Open Sans" w:hAnsi="Open Sans" w:cs="Open Sans"/>
          <w:sz w:val="22"/>
          <w:szCs w:val="22"/>
          <w:highlight w:val="yellow"/>
        </w:rPr>
      </w:pPr>
    </w:p>
    <w:p w14:paraId="78EDB9DA" w14:textId="77777777" w:rsidR="000C02DE"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Las comunidades autónomas donde una plaza de garaje incrementa menos el valor de un piso</w:t>
      </w:r>
    </w:p>
    <w:p w14:paraId="52FFDE13" w14:textId="77777777" w:rsidR="000C02DE" w:rsidRDefault="000C02DE">
      <w:pPr>
        <w:spacing w:line="276" w:lineRule="auto"/>
        <w:ind w:right="-574"/>
        <w:jc w:val="both"/>
        <w:rPr>
          <w:rFonts w:ascii="Open Sans" w:eastAsia="Open Sans" w:hAnsi="Open Sans" w:cs="Open Sans"/>
          <w:b/>
          <w:color w:val="303AB2"/>
        </w:rPr>
      </w:pPr>
    </w:p>
    <w:tbl>
      <w:tblPr>
        <w:tblStyle w:val="ac"/>
        <w:tblW w:w="84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2103"/>
        <w:gridCol w:w="2115"/>
        <w:gridCol w:w="2115"/>
      </w:tblGrid>
      <w:tr w:rsidR="000C02DE" w14:paraId="7723F835" w14:textId="77777777" w:rsidTr="0048771E">
        <w:trPr>
          <w:trHeight w:val="449"/>
          <w:jc w:val="center"/>
        </w:trPr>
        <w:tc>
          <w:tcPr>
            <w:tcW w:w="2126" w:type="dxa"/>
            <w:shd w:val="clear" w:color="auto" w:fill="4472C4"/>
            <w:tcMar>
              <w:top w:w="100" w:type="dxa"/>
              <w:left w:w="100" w:type="dxa"/>
              <w:bottom w:w="100" w:type="dxa"/>
              <w:right w:w="100" w:type="dxa"/>
            </w:tcMar>
          </w:tcPr>
          <w:p w14:paraId="3CF75EBC" w14:textId="77777777" w:rsidR="000C02DE" w:rsidRDefault="00000000">
            <w:pPr>
              <w:widowControl w:val="0"/>
              <w:jc w:val="center"/>
              <w:rPr>
                <w:rFonts w:ascii="Open Sans" w:eastAsia="Open Sans" w:hAnsi="Open Sans" w:cs="Open Sans"/>
                <w:b/>
                <w:color w:val="FFFFFF"/>
              </w:rPr>
            </w:pPr>
            <w:r>
              <w:rPr>
                <w:rFonts w:ascii="Open Sans" w:eastAsia="Open Sans" w:hAnsi="Open Sans" w:cs="Open Sans"/>
                <w:b/>
                <w:color w:val="FFFFFF"/>
                <w:sz w:val="22"/>
                <w:szCs w:val="22"/>
              </w:rPr>
              <w:t>Comunidad autónoma</w:t>
            </w:r>
          </w:p>
        </w:tc>
        <w:tc>
          <w:tcPr>
            <w:tcW w:w="2103" w:type="dxa"/>
            <w:shd w:val="clear" w:color="auto" w:fill="4472C4"/>
            <w:tcMar>
              <w:top w:w="100" w:type="dxa"/>
              <w:left w:w="100" w:type="dxa"/>
              <w:bottom w:w="100" w:type="dxa"/>
              <w:right w:w="100" w:type="dxa"/>
            </w:tcMar>
          </w:tcPr>
          <w:p w14:paraId="78FA3859" w14:textId="77777777" w:rsidR="000C02DE" w:rsidRDefault="00000000">
            <w:pPr>
              <w:widowControl w:val="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Precio medio de compra de una vivienda sin garaje</w:t>
            </w:r>
          </w:p>
        </w:tc>
        <w:tc>
          <w:tcPr>
            <w:tcW w:w="2115" w:type="dxa"/>
            <w:shd w:val="clear" w:color="auto" w:fill="4472C4"/>
            <w:tcMar>
              <w:top w:w="100" w:type="dxa"/>
              <w:left w:w="100" w:type="dxa"/>
              <w:bottom w:w="100" w:type="dxa"/>
              <w:right w:w="100" w:type="dxa"/>
            </w:tcMar>
          </w:tcPr>
          <w:p w14:paraId="3250974F" w14:textId="77777777" w:rsidR="000C02DE" w:rsidRDefault="00000000">
            <w:pPr>
              <w:widowControl w:val="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Precio medio de compra de una de la vivienda con garaje</w:t>
            </w:r>
          </w:p>
        </w:tc>
        <w:tc>
          <w:tcPr>
            <w:tcW w:w="2115" w:type="dxa"/>
            <w:shd w:val="clear" w:color="auto" w:fill="4472C4"/>
            <w:tcMar>
              <w:top w:w="100" w:type="dxa"/>
              <w:left w:w="100" w:type="dxa"/>
              <w:bottom w:w="100" w:type="dxa"/>
              <w:right w:w="100" w:type="dxa"/>
            </w:tcMar>
          </w:tcPr>
          <w:p w14:paraId="58C9779B" w14:textId="77777777" w:rsidR="000C02DE" w:rsidRDefault="000C02DE">
            <w:pPr>
              <w:widowControl w:val="0"/>
              <w:jc w:val="center"/>
              <w:rPr>
                <w:rFonts w:ascii="Open Sans" w:eastAsia="Open Sans" w:hAnsi="Open Sans" w:cs="Open Sans"/>
                <w:b/>
                <w:color w:val="FFFFFF"/>
                <w:sz w:val="22"/>
                <w:szCs w:val="22"/>
              </w:rPr>
            </w:pPr>
          </w:p>
          <w:p w14:paraId="43FE6135" w14:textId="77777777" w:rsidR="000C02DE" w:rsidRDefault="00000000">
            <w:pPr>
              <w:widowControl w:val="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Incremento</w:t>
            </w:r>
          </w:p>
          <w:p w14:paraId="10E3F750" w14:textId="77777777" w:rsidR="000C02DE" w:rsidRDefault="00000000">
            <w:pPr>
              <w:widowControl w:val="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w:t>
            </w:r>
          </w:p>
          <w:p w14:paraId="14936F5D" w14:textId="77777777" w:rsidR="000C02DE" w:rsidRDefault="000C02DE">
            <w:pPr>
              <w:widowControl w:val="0"/>
              <w:jc w:val="center"/>
              <w:rPr>
                <w:rFonts w:ascii="Open Sans" w:eastAsia="Open Sans" w:hAnsi="Open Sans" w:cs="Open Sans"/>
                <w:b/>
                <w:color w:val="FFFFFF"/>
                <w:sz w:val="22"/>
                <w:szCs w:val="22"/>
              </w:rPr>
            </w:pPr>
          </w:p>
        </w:tc>
      </w:tr>
      <w:tr w:rsidR="000C02DE" w14:paraId="516CF099" w14:textId="77777777" w:rsidTr="0048771E">
        <w:trPr>
          <w:jc w:val="center"/>
        </w:trPr>
        <w:tc>
          <w:tcPr>
            <w:tcW w:w="2126" w:type="dxa"/>
            <w:shd w:val="clear" w:color="auto" w:fill="4472C4"/>
            <w:tcMar>
              <w:top w:w="100" w:type="dxa"/>
              <w:left w:w="100" w:type="dxa"/>
              <w:bottom w:w="100" w:type="dxa"/>
              <w:right w:w="100" w:type="dxa"/>
            </w:tcMar>
          </w:tcPr>
          <w:p w14:paraId="39F5F6A6" w14:textId="77777777" w:rsidR="000C02DE" w:rsidRDefault="00000000">
            <w:pPr>
              <w:widowControl w:val="0"/>
              <w:rPr>
                <w:rFonts w:ascii="Open Sans" w:eastAsia="Open Sans" w:hAnsi="Open Sans" w:cs="Open Sans"/>
                <w:b/>
                <w:color w:val="FFFFFF"/>
                <w:sz w:val="22"/>
                <w:szCs w:val="22"/>
              </w:rPr>
            </w:pPr>
            <w:r>
              <w:rPr>
                <w:rFonts w:ascii="Open Sans" w:eastAsia="Open Sans" w:hAnsi="Open Sans" w:cs="Open Sans"/>
                <w:b/>
                <w:color w:val="FFFFFF"/>
                <w:sz w:val="22"/>
                <w:szCs w:val="22"/>
              </w:rPr>
              <w:t>Madrid</w:t>
            </w:r>
          </w:p>
        </w:tc>
        <w:tc>
          <w:tcPr>
            <w:tcW w:w="2103" w:type="dxa"/>
            <w:shd w:val="clear" w:color="auto" w:fill="B4C6E7"/>
          </w:tcPr>
          <w:p w14:paraId="2C041FA3"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270.565€</w:t>
            </w:r>
          </w:p>
        </w:tc>
        <w:tc>
          <w:tcPr>
            <w:tcW w:w="2115" w:type="dxa"/>
            <w:shd w:val="clear" w:color="auto" w:fill="B4C6E7"/>
          </w:tcPr>
          <w:p w14:paraId="353E882F"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283.247€</w:t>
            </w:r>
          </w:p>
        </w:tc>
        <w:tc>
          <w:tcPr>
            <w:tcW w:w="2115" w:type="dxa"/>
            <w:shd w:val="clear" w:color="auto" w:fill="B4C6E7"/>
          </w:tcPr>
          <w:p w14:paraId="3AFB2FFE"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b/>
                <w:sz w:val="22"/>
                <w:szCs w:val="22"/>
              </w:rPr>
              <w:t>4,7%</w:t>
            </w:r>
          </w:p>
        </w:tc>
      </w:tr>
      <w:tr w:rsidR="000C02DE" w14:paraId="7523EF79" w14:textId="77777777" w:rsidTr="0048771E">
        <w:trPr>
          <w:jc w:val="center"/>
        </w:trPr>
        <w:tc>
          <w:tcPr>
            <w:tcW w:w="2126" w:type="dxa"/>
            <w:shd w:val="clear" w:color="auto" w:fill="4472C4"/>
            <w:tcMar>
              <w:top w:w="100" w:type="dxa"/>
              <w:left w:w="100" w:type="dxa"/>
              <w:bottom w:w="100" w:type="dxa"/>
              <w:right w:w="100" w:type="dxa"/>
            </w:tcMar>
          </w:tcPr>
          <w:p w14:paraId="5B5708CE" w14:textId="77777777" w:rsidR="000C02DE" w:rsidRDefault="00000000">
            <w:pPr>
              <w:widowControl w:val="0"/>
              <w:rPr>
                <w:rFonts w:ascii="Open Sans" w:eastAsia="Open Sans" w:hAnsi="Open Sans" w:cs="Open Sans"/>
                <w:b/>
                <w:color w:val="FFFFFF"/>
                <w:sz w:val="22"/>
                <w:szCs w:val="22"/>
              </w:rPr>
            </w:pPr>
            <w:r>
              <w:rPr>
                <w:rFonts w:ascii="Open Sans" w:eastAsia="Open Sans" w:hAnsi="Open Sans" w:cs="Open Sans"/>
                <w:b/>
                <w:color w:val="FFFFFF"/>
                <w:sz w:val="22"/>
                <w:szCs w:val="22"/>
              </w:rPr>
              <w:t>Baleares</w:t>
            </w:r>
          </w:p>
        </w:tc>
        <w:tc>
          <w:tcPr>
            <w:tcW w:w="2103" w:type="dxa"/>
            <w:shd w:val="clear" w:color="auto" w:fill="D9E2F3"/>
          </w:tcPr>
          <w:p w14:paraId="34F99DE7"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263.194€</w:t>
            </w:r>
          </w:p>
        </w:tc>
        <w:tc>
          <w:tcPr>
            <w:tcW w:w="2115" w:type="dxa"/>
            <w:shd w:val="clear" w:color="auto" w:fill="D9E2F3"/>
          </w:tcPr>
          <w:p w14:paraId="672B834D"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276.020€</w:t>
            </w:r>
          </w:p>
        </w:tc>
        <w:tc>
          <w:tcPr>
            <w:tcW w:w="2115" w:type="dxa"/>
            <w:shd w:val="clear" w:color="auto" w:fill="D9E2F3"/>
          </w:tcPr>
          <w:p w14:paraId="0B591FC1"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b/>
                <w:sz w:val="22"/>
                <w:szCs w:val="22"/>
              </w:rPr>
              <w:t>4,9%</w:t>
            </w:r>
          </w:p>
        </w:tc>
      </w:tr>
      <w:tr w:rsidR="000C02DE" w14:paraId="1D319D01" w14:textId="77777777" w:rsidTr="0048771E">
        <w:trPr>
          <w:jc w:val="center"/>
        </w:trPr>
        <w:tc>
          <w:tcPr>
            <w:tcW w:w="2126" w:type="dxa"/>
            <w:shd w:val="clear" w:color="auto" w:fill="4472C4"/>
            <w:tcMar>
              <w:top w:w="100" w:type="dxa"/>
              <w:left w:w="100" w:type="dxa"/>
              <w:bottom w:w="100" w:type="dxa"/>
              <w:right w:w="100" w:type="dxa"/>
            </w:tcMar>
          </w:tcPr>
          <w:p w14:paraId="7EA6F648" w14:textId="77777777" w:rsidR="000C02DE" w:rsidRDefault="00000000">
            <w:pPr>
              <w:widowControl w:val="0"/>
              <w:rPr>
                <w:rFonts w:ascii="Open Sans" w:eastAsia="Open Sans" w:hAnsi="Open Sans" w:cs="Open Sans"/>
                <w:b/>
                <w:color w:val="FFFFFF"/>
                <w:sz w:val="22"/>
                <w:szCs w:val="22"/>
              </w:rPr>
            </w:pPr>
            <w:r>
              <w:rPr>
                <w:rFonts w:ascii="Open Sans" w:eastAsia="Open Sans" w:hAnsi="Open Sans" w:cs="Open Sans"/>
                <w:b/>
                <w:color w:val="FFFFFF"/>
                <w:sz w:val="22"/>
                <w:szCs w:val="22"/>
              </w:rPr>
              <w:t>Navarra</w:t>
            </w:r>
          </w:p>
        </w:tc>
        <w:tc>
          <w:tcPr>
            <w:tcW w:w="2103" w:type="dxa"/>
            <w:shd w:val="clear" w:color="auto" w:fill="B4C6E7"/>
          </w:tcPr>
          <w:p w14:paraId="664315C6"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150.424€</w:t>
            </w:r>
          </w:p>
        </w:tc>
        <w:tc>
          <w:tcPr>
            <w:tcW w:w="2115" w:type="dxa"/>
            <w:shd w:val="clear" w:color="auto" w:fill="B4C6E7"/>
          </w:tcPr>
          <w:p w14:paraId="36A7433E"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159.330€</w:t>
            </w:r>
          </w:p>
        </w:tc>
        <w:tc>
          <w:tcPr>
            <w:tcW w:w="2115" w:type="dxa"/>
            <w:shd w:val="clear" w:color="auto" w:fill="B4C6E7"/>
          </w:tcPr>
          <w:p w14:paraId="49CB7418"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b/>
                <w:sz w:val="22"/>
                <w:szCs w:val="22"/>
              </w:rPr>
              <w:t>5,9%</w:t>
            </w:r>
          </w:p>
        </w:tc>
      </w:tr>
      <w:tr w:rsidR="000C02DE" w14:paraId="4561D558" w14:textId="77777777" w:rsidTr="0048771E">
        <w:trPr>
          <w:jc w:val="center"/>
        </w:trPr>
        <w:tc>
          <w:tcPr>
            <w:tcW w:w="2126" w:type="dxa"/>
            <w:shd w:val="clear" w:color="auto" w:fill="4472C4"/>
            <w:tcMar>
              <w:top w:w="100" w:type="dxa"/>
              <w:left w:w="100" w:type="dxa"/>
              <w:bottom w:w="100" w:type="dxa"/>
              <w:right w:w="100" w:type="dxa"/>
            </w:tcMar>
          </w:tcPr>
          <w:p w14:paraId="1360F281" w14:textId="77777777" w:rsidR="000C02DE" w:rsidRDefault="00000000">
            <w:pPr>
              <w:widowControl w:val="0"/>
              <w:rPr>
                <w:rFonts w:ascii="Open Sans" w:eastAsia="Open Sans" w:hAnsi="Open Sans" w:cs="Open Sans"/>
                <w:b/>
                <w:color w:val="FFFFFF"/>
                <w:sz w:val="22"/>
                <w:szCs w:val="22"/>
              </w:rPr>
            </w:pPr>
            <w:r>
              <w:rPr>
                <w:rFonts w:ascii="Open Sans" w:eastAsia="Open Sans" w:hAnsi="Open Sans" w:cs="Open Sans"/>
                <w:b/>
                <w:color w:val="FFFFFF"/>
                <w:sz w:val="22"/>
                <w:szCs w:val="22"/>
              </w:rPr>
              <w:t>Cataluña</w:t>
            </w:r>
          </w:p>
        </w:tc>
        <w:tc>
          <w:tcPr>
            <w:tcW w:w="2103" w:type="dxa"/>
            <w:shd w:val="clear" w:color="auto" w:fill="D9E2F3"/>
          </w:tcPr>
          <w:p w14:paraId="0943E8C0"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211.450€</w:t>
            </w:r>
          </w:p>
        </w:tc>
        <w:tc>
          <w:tcPr>
            <w:tcW w:w="2115" w:type="dxa"/>
            <w:shd w:val="clear" w:color="auto" w:fill="D9E2F3"/>
          </w:tcPr>
          <w:p w14:paraId="0D44D5D6"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224.014€</w:t>
            </w:r>
          </w:p>
        </w:tc>
        <w:tc>
          <w:tcPr>
            <w:tcW w:w="2115" w:type="dxa"/>
            <w:shd w:val="clear" w:color="auto" w:fill="D9E2F3"/>
          </w:tcPr>
          <w:p w14:paraId="24CC1C2E"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b/>
                <w:sz w:val="22"/>
                <w:szCs w:val="22"/>
              </w:rPr>
              <w:t>5,9%</w:t>
            </w:r>
          </w:p>
        </w:tc>
      </w:tr>
      <w:tr w:rsidR="000C02DE" w14:paraId="310E8EF7" w14:textId="77777777" w:rsidTr="0048771E">
        <w:trPr>
          <w:jc w:val="center"/>
        </w:trPr>
        <w:tc>
          <w:tcPr>
            <w:tcW w:w="2126" w:type="dxa"/>
            <w:shd w:val="clear" w:color="auto" w:fill="4472C4"/>
            <w:tcMar>
              <w:top w:w="100" w:type="dxa"/>
              <w:left w:w="100" w:type="dxa"/>
              <w:bottom w:w="100" w:type="dxa"/>
              <w:right w:w="100" w:type="dxa"/>
            </w:tcMar>
          </w:tcPr>
          <w:p w14:paraId="5542797E" w14:textId="77777777" w:rsidR="000C02DE" w:rsidRDefault="00000000">
            <w:pPr>
              <w:widowControl w:val="0"/>
              <w:rPr>
                <w:rFonts w:ascii="Open Sans" w:eastAsia="Open Sans" w:hAnsi="Open Sans" w:cs="Open Sans"/>
                <w:b/>
                <w:color w:val="FFFFFF"/>
                <w:sz w:val="22"/>
                <w:szCs w:val="22"/>
              </w:rPr>
            </w:pPr>
            <w:r>
              <w:rPr>
                <w:rFonts w:ascii="Open Sans" w:eastAsia="Open Sans" w:hAnsi="Open Sans" w:cs="Open Sans"/>
                <w:b/>
                <w:color w:val="FFFFFF"/>
                <w:sz w:val="22"/>
                <w:szCs w:val="22"/>
              </w:rPr>
              <w:t>Comunidad Valenciana</w:t>
            </w:r>
          </w:p>
        </w:tc>
        <w:tc>
          <w:tcPr>
            <w:tcW w:w="2103" w:type="dxa"/>
            <w:shd w:val="clear" w:color="auto" w:fill="B4C6E7"/>
          </w:tcPr>
          <w:p w14:paraId="723BBF85"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126.017€</w:t>
            </w:r>
          </w:p>
        </w:tc>
        <w:tc>
          <w:tcPr>
            <w:tcW w:w="2115" w:type="dxa"/>
            <w:shd w:val="clear" w:color="auto" w:fill="B4C6E7"/>
          </w:tcPr>
          <w:p w14:paraId="792F4EF8"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135.352€</w:t>
            </w:r>
          </w:p>
        </w:tc>
        <w:tc>
          <w:tcPr>
            <w:tcW w:w="2115" w:type="dxa"/>
            <w:shd w:val="clear" w:color="auto" w:fill="B4C6E7"/>
          </w:tcPr>
          <w:p w14:paraId="26F57176"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b/>
                <w:sz w:val="22"/>
                <w:szCs w:val="22"/>
              </w:rPr>
              <w:t>7,4%</w:t>
            </w:r>
          </w:p>
        </w:tc>
      </w:tr>
    </w:tbl>
    <w:p w14:paraId="168F5E11" w14:textId="77777777" w:rsidR="000C02DE" w:rsidRDefault="000C02DE">
      <w:pPr>
        <w:spacing w:line="276" w:lineRule="auto"/>
        <w:ind w:right="-574"/>
        <w:jc w:val="both"/>
        <w:rPr>
          <w:rFonts w:ascii="Open Sans" w:eastAsia="Open Sans" w:hAnsi="Open Sans" w:cs="Open Sans"/>
          <w:b/>
          <w:color w:val="303AB2"/>
        </w:rPr>
      </w:pPr>
    </w:p>
    <w:p w14:paraId="15187ED5"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A pesar de ser las comunidades autónomas con los precios de vivienda más elevados, </w:t>
      </w:r>
      <w:r>
        <w:rPr>
          <w:rFonts w:ascii="Open Sans" w:eastAsia="Open Sans" w:hAnsi="Open Sans" w:cs="Open Sans"/>
          <w:b/>
          <w:sz w:val="22"/>
          <w:szCs w:val="22"/>
        </w:rPr>
        <w:t>Madrid y Baleares son las comunidades autónomas que registran una menor diferencia entre el precio de la vivienda sin garaje y la vivienda con garaje.</w:t>
      </w:r>
    </w:p>
    <w:p w14:paraId="67C65DE2" w14:textId="77777777" w:rsidR="000C02DE" w:rsidRDefault="000C02DE">
      <w:pPr>
        <w:spacing w:line="276" w:lineRule="auto"/>
        <w:ind w:right="-574"/>
        <w:jc w:val="both"/>
        <w:rPr>
          <w:rFonts w:ascii="Open Sans" w:eastAsia="Open Sans" w:hAnsi="Open Sans" w:cs="Open Sans"/>
          <w:sz w:val="22"/>
          <w:szCs w:val="22"/>
        </w:rPr>
      </w:pPr>
    </w:p>
    <w:p w14:paraId="400CA342" w14:textId="77777777" w:rsidR="000C02D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En este sentido,</w:t>
      </w:r>
      <w:r>
        <w:rPr>
          <w:rFonts w:ascii="Open Sans" w:eastAsia="Open Sans" w:hAnsi="Open Sans" w:cs="Open Sans"/>
          <w:b/>
          <w:sz w:val="22"/>
          <w:szCs w:val="22"/>
        </w:rPr>
        <w:t xml:space="preserve"> Madrid es la comunidad autónoma que registra la menor subida, con un incremento del 4,7%</w:t>
      </w:r>
      <w:r>
        <w:rPr>
          <w:rFonts w:ascii="Open Sans" w:eastAsia="Open Sans" w:hAnsi="Open Sans" w:cs="Open Sans"/>
          <w:sz w:val="22"/>
          <w:szCs w:val="22"/>
        </w:rPr>
        <w:t xml:space="preserve">, entre un piso sin garaje y una vivienda con, pasando de los 270.565 a los 283.247 euros. </w:t>
      </w:r>
      <w:r>
        <w:rPr>
          <w:rFonts w:ascii="Open Sans" w:eastAsia="Open Sans" w:hAnsi="Open Sans" w:cs="Open Sans"/>
          <w:b/>
          <w:sz w:val="22"/>
          <w:szCs w:val="22"/>
        </w:rPr>
        <w:t>En el caso de Baleares</w:t>
      </w:r>
      <w:r>
        <w:rPr>
          <w:rFonts w:ascii="Open Sans" w:eastAsia="Open Sans" w:hAnsi="Open Sans" w:cs="Open Sans"/>
          <w:sz w:val="22"/>
          <w:szCs w:val="22"/>
        </w:rPr>
        <w:t>, las islas cuentan con un precio medio de la vivienda de 263.194 euros, valor que crece hasta los 276.020 euros en el caso de que el inmueble cuente con una plaza de garaje, lo que supone</w:t>
      </w:r>
      <w:r>
        <w:rPr>
          <w:rFonts w:ascii="Open Sans" w:eastAsia="Open Sans" w:hAnsi="Open Sans" w:cs="Open Sans"/>
          <w:b/>
          <w:sz w:val="22"/>
          <w:szCs w:val="22"/>
        </w:rPr>
        <w:t xml:space="preserve"> un incremento de casi el 5% en el precio medio de la vivienda.</w:t>
      </w:r>
    </w:p>
    <w:p w14:paraId="3FDFF3FE" w14:textId="77777777" w:rsidR="000C02DE" w:rsidRDefault="000C02DE">
      <w:pPr>
        <w:spacing w:line="276" w:lineRule="auto"/>
        <w:ind w:right="-574"/>
        <w:jc w:val="both"/>
        <w:rPr>
          <w:rFonts w:ascii="Open Sans" w:eastAsia="Open Sans" w:hAnsi="Open Sans" w:cs="Open Sans"/>
          <w:sz w:val="22"/>
          <w:szCs w:val="22"/>
        </w:rPr>
      </w:pPr>
    </w:p>
    <w:p w14:paraId="0DA02906"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A estas comunidades les siguen </w:t>
      </w:r>
      <w:r>
        <w:rPr>
          <w:rFonts w:ascii="Open Sans" w:eastAsia="Open Sans" w:hAnsi="Open Sans" w:cs="Open Sans"/>
          <w:b/>
          <w:sz w:val="22"/>
          <w:szCs w:val="22"/>
        </w:rPr>
        <w:t>Navarra, que refleja un incremento del 5,9%,</w:t>
      </w:r>
      <w:r>
        <w:rPr>
          <w:rFonts w:ascii="Open Sans" w:eastAsia="Open Sans" w:hAnsi="Open Sans" w:cs="Open Sans"/>
          <w:sz w:val="22"/>
          <w:szCs w:val="22"/>
        </w:rPr>
        <w:t xml:space="preserve"> pasando de los 150.424 a los 159.330 euros al añadir una plaza de garaje; </w:t>
      </w:r>
      <w:r>
        <w:rPr>
          <w:rFonts w:ascii="Open Sans" w:eastAsia="Open Sans" w:hAnsi="Open Sans" w:cs="Open Sans"/>
          <w:b/>
          <w:sz w:val="22"/>
          <w:szCs w:val="22"/>
        </w:rPr>
        <w:t>Cataluña, con una subida del 5,9%</w:t>
      </w:r>
      <w:r>
        <w:rPr>
          <w:rFonts w:ascii="Open Sans" w:eastAsia="Open Sans" w:hAnsi="Open Sans" w:cs="Open Sans"/>
          <w:sz w:val="22"/>
          <w:szCs w:val="22"/>
        </w:rPr>
        <w:t xml:space="preserve">, lo que representa pasar de los 211.450 a los 221.014 euros si la vivienda cuenta con garaje; y la </w:t>
      </w:r>
      <w:r>
        <w:rPr>
          <w:rFonts w:ascii="Open Sans" w:eastAsia="Open Sans" w:hAnsi="Open Sans" w:cs="Open Sans"/>
          <w:b/>
          <w:sz w:val="22"/>
          <w:szCs w:val="22"/>
        </w:rPr>
        <w:t xml:space="preserve">Comunidad Valenciana, que experimenta una subida del 7,4% entre un piso sin y con garaje, </w:t>
      </w:r>
      <w:r>
        <w:rPr>
          <w:rFonts w:ascii="Open Sans" w:eastAsia="Open Sans" w:hAnsi="Open Sans" w:cs="Open Sans"/>
          <w:sz w:val="22"/>
          <w:szCs w:val="22"/>
        </w:rPr>
        <w:t>aumentando de 126.017 a 135.352 euros.</w:t>
      </w:r>
    </w:p>
    <w:p w14:paraId="5452852C"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7CCBD973" w14:textId="77777777" w:rsidR="000C02DE" w:rsidRDefault="000C02DE">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33620345" w14:textId="77777777" w:rsidR="000C02DE"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Las comunidades autónomas que se sitúan por encima del incremento medio en España entre una vivienda sin y con garaje</w:t>
      </w:r>
    </w:p>
    <w:p w14:paraId="52243685" w14:textId="77777777" w:rsidR="000C02DE" w:rsidRDefault="000C02DE">
      <w:pPr>
        <w:spacing w:line="276" w:lineRule="auto"/>
        <w:ind w:right="-574"/>
        <w:jc w:val="both"/>
        <w:rPr>
          <w:rFonts w:ascii="Open Sans" w:eastAsia="Open Sans" w:hAnsi="Open Sans" w:cs="Open Sans"/>
          <w:b/>
          <w:color w:val="303AB2"/>
          <w:highlight w:val="yellow"/>
        </w:rPr>
      </w:pPr>
    </w:p>
    <w:p w14:paraId="524C7EF5"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otro lado, las comunidades autónomas que presentan un incremento por encima de la media en España (7,1%) entre una vivienda sin y con garaje son </w:t>
      </w:r>
      <w:r>
        <w:rPr>
          <w:rFonts w:ascii="Open Sans" w:eastAsia="Open Sans" w:hAnsi="Open Sans" w:cs="Open Sans"/>
          <w:b/>
          <w:sz w:val="22"/>
          <w:szCs w:val="22"/>
        </w:rPr>
        <w:t>las Islas Canarias (7,4%), la Región de Murcia (7,5%); Andalucía (7,7%); Aragón (8%); La Rioja (8,3%); Castilla-La Mancha (8,7%) y, por último, el País Vasco (8,8%)</w:t>
      </w:r>
      <w:r>
        <w:rPr>
          <w:rFonts w:ascii="Open Sans" w:eastAsia="Open Sans" w:hAnsi="Open Sans" w:cs="Open Sans"/>
          <w:sz w:val="22"/>
          <w:szCs w:val="22"/>
        </w:rPr>
        <w:t xml:space="preserve">. </w:t>
      </w:r>
    </w:p>
    <w:p w14:paraId="5BAF5365" w14:textId="77777777" w:rsidR="000C02DE" w:rsidRDefault="000C02DE">
      <w:pPr>
        <w:spacing w:line="276" w:lineRule="auto"/>
        <w:ind w:right="-574"/>
        <w:jc w:val="both"/>
        <w:rPr>
          <w:rFonts w:ascii="Open Sans" w:eastAsia="Open Sans" w:hAnsi="Open Sans" w:cs="Open Sans"/>
          <w:sz w:val="22"/>
          <w:szCs w:val="22"/>
        </w:rPr>
      </w:pPr>
    </w:p>
    <w:p w14:paraId="701F3416" w14:textId="77777777" w:rsidR="000C02D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este sentido, </w:t>
      </w:r>
      <w:r>
        <w:rPr>
          <w:rFonts w:ascii="Open Sans" w:eastAsia="Open Sans" w:hAnsi="Open Sans" w:cs="Open Sans"/>
          <w:b/>
          <w:sz w:val="22"/>
          <w:szCs w:val="22"/>
        </w:rPr>
        <w:t>País Vasco se sitúa como la comunidad autónoma con un precio medio del garaje más alto, alcanzando los 20.526 euros</w:t>
      </w:r>
      <w:r>
        <w:rPr>
          <w:rFonts w:ascii="Open Sans" w:eastAsia="Open Sans" w:hAnsi="Open Sans" w:cs="Open Sans"/>
          <w:sz w:val="22"/>
          <w:szCs w:val="22"/>
        </w:rPr>
        <w:t>. Le siguen Cantabria (16.242 euros), Asturias (14.054 euros) y Galicia (13.265 euros), mientras que la media española se sitúa en los 11.619 euros.</w:t>
      </w:r>
    </w:p>
    <w:p w14:paraId="781E2D7E" w14:textId="77777777" w:rsidR="000C02DE" w:rsidRDefault="000C02DE">
      <w:pPr>
        <w:spacing w:line="276" w:lineRule="auto"/>
        <w:ind w:right="-433"/>
        <w:rPr>
          <w:rFonts w:ascii="Open Sans" w:eastAsia="Open Sans" w:hAnsi="Open Sans" w:cs="Open Sans"/>
          <w:b/>
          <w:sz w:val="22"/>
          <w:szCs w:val="22"/>
        </w:rPr>
      </w:pPr>
    </w:p>
    <w:p w14:paraId="38C44491" w14:textId="77777777" w:rsidR="000C02DE"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Sobre Fotocasa</w:t>
      </w:r>
    </w:p>
    <w:p w14:paraId="5C874A03" w14:textId="77777777" w:rsidR="000C02DE"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D2F3F0A" w14:textId="77777777" w:rsidR="000C02DE" w:rsidRDefault="00000000">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8923654" w14:textId="77777777" w:rsidR="000C02DE"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C3B0A3D" w14:textId="77777777" w:rsidR="000C02DE" w:rsidRDefault="00000000">
      <w:pPr>
        <w:spacing w:line="276" w:lineRule="auto"/>
        <w:ind w:right="-433"/>
        <w:rPr>
          <w:rFonts w:ascii="Open Sans" w:eastAsia="Open Sans" w:hAnsi="Open Sans" w:cs="Open Sans"/>
          <w:color w:val="000000"/>
          <w:sz w:val="22"/>
          <w:szCs w:val="22"/>
        </w:rPr>
      </w:pPr>
      <w:hyperlink r:id="rId1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DA4C006" w14:textId="77777777" w:rsidR="0048771E" w:rsidRDefault="0048771E">
      <w:pPr>
        <w:pBdr>
          <w:top w:val="nil"/>
          <w:left w:val="nil"/>
          <w:bottom w:val="nil"/>
          <w:right w:val="nil"/>
          <w:between w:val="nil"/>
        </w:pBdr>
        <w:spacing w:line="276" w:lineRule="auto"/>
        <w:ind w:right="-433"/>
        <w:jc w:val="right"/>
        <w:rPr>
          <w:rFonts w:ascii="Open Sans" w:eastAsia="Open Sans" w:hAnsi="Open Sans" w:cs="Open Sans"/>
          <w:b/>
          <w:color w:val="303AB2"/>
        </w:rPr>
      </w:pPr>
    </w:p>
    <w:p w14:paraId="762A9D92" w14:textId="77777777" w:rsidR="0048771E" w:rsidRDefault="0048771E">
      <w:pPr>
        <w:pBdr>
          <w:top w:val="nil"/>
          <w:left w:val="nil"/>
          <w:bottom w:val="nil"/>
          <w:right w:val="nil"/>
          <w:between w:val="nil"/>
        </w:pBdr>
        <w:spacing w:line="276" w:lineRule="auto"/>
        <w:ind w:right="-433"/>
        <w:jc w:val="right"/>
        <w:rPr>
          <w:rFonts w:ascii="Open Sans" w:eastAsia="Open Sans" w:hAnsi="Open Sans" w:cs="Open Sans"/>
          <w:b/>
          <w:color w:val="303AB2"/>
        </w:rPr>
      </w:pPr>
    </w:p>
    <w:p w14:paraId="0471FF1B" w14:textId="77777777" w:rsidR="0048771E" w:rsidRDefault="0048771E">
      <w:pPr>
        <w:pBdr>
          <w:top w:val="nil"/>
          <w:left w:val="nil"/>
          <w:bottom w:val="nil"/>
          <w:right w:val="nil"/>
          <w:between w:val="nil"/>
        </w:pBdr>
        <w:spacing w:line="276" w:lineRule="auto"/>
        <w:ind w:right="-433"/>
        <w:jc w:val="right"/>
        <w:rPr>
          <w:rFonts w:ascii="Open Sans" w:eastAsia="Open Sans" w:hAnsi="Open Sans" w:cs="Open Sans"/>
          <w:b/>
          <w:color w:val="303AB2"/>
        </w:rPr>
      </w:pPr>
    </w:p>
    <w:p w14:paraId="500471D8" w14:textId="5BEBE9B7" w:rsidR="000C02DE" w:rsidRDefault="00000000">
      <w:pPr>
        <w:pBdr>
          <w:top w:val="nil"/>
          <w:left w:val="nil"/>
          <w:bottom w:val="nil"/>
          <w:right w:val="nil"/>
          <w:between w:val="nil"/>
        </w:pBdr>
        <w:spacing w:line="276" w:lineRule="auto"/>
        <w:ind w:right="-433"/>
        <w:jc w:val="right"/>
        <w:rPr>
          <w:rFonts w:ascii="Open Sans" w:eastAsia="Open Sans" w:hAnsi="Open Sans" w:cs="Open Sans"/>
          <w:b/>
          <w:color w:val="303AB2"/>
        </w:rPr>
      </w:pPr>
      <w:r>
        <w:rPr>
          <w:rFonts w:ascii="Open Sans" w:eastAsia="Open Sans" w:hAnsi="Open Sans" w:cs="Open Sans"/>
          <w:b/>
          <w:color w:val="303AB2"/>
        </w:rPr>
        <w:lastRenderedPageBreak/>
        <w:t xml:space="preserve">Sobre </w:t>
      </w:r>
      <w:proofErr w:type="spellStart"/>
      <w:r>
        <w:rPr>
          <w:rFonts w:ascii="Open Sans" w:eastAsia="Open Sans" w:hAnsi="Open Sans" w:cs="Open Sans"/>
          <w:b/>
          <w:color w:val="303AB2"/>
        </w:rPr>
        <w:t>Adevinta</w:t>
      </w:r>
      <w:proofErr w:type="spellEnd"/>
      <w:r>
        <w:rPr>
          <w:rFonts w:ascii="Open Sans" w:eastAsia="Open Sans" w:hAnsi="Open Sans" w:cs="Open Sans"/>
          <w:b/>
          <w:color w:val="303AB2"/>
        </w:rPr>
        <w:t xml:space="preserve"> </w:t>
      </w:r>
      <w:proofErr w:type="spellStart"/>
      <w:r>
        <w:rPr>
          <w:rFonts w:ascii="Open Sans" w:eastAsia="Open Sans" w:hAnsi="Open Sans" w:cs="Open Sans"/>
          <w:b/>
          <w:color w:val="303AB2"/>
        </w:rPr>
        <w:t>Spain</w:t>
      </w:r>
      <w:proofErr w:type="spellEnd"/>
    </w:p>
    <w:p w14:paraId="55904156" w14:textId="77777777" w:rsidR="000C02DE" w:rsidRDefault="00000000">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A27603A" w14:textId="77777777" w:rsidR="000C02DE"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3A35EB1" w14:textId="77777777" w:rsidR="000C02DE" w:rsidRDefault="00000000">
      <w:pPr>
        <w:spacing w:after="16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5D74B365" w14:textId="77777777" w:rsidR="000C02DE"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611316B6" w14:textId="77777777" w:rsidR="000C02DE" w:rsidRDefault="000C02DE">
      <w:pPr>
        <w:shd w:val="clear" w:color="auto" w:fill="FFFFFF"/>
        <w:spacing w:before="280" w:after="280" w:line="276" w:lineRule="auto"/>
        <w:ind w:right="-433"/>
        <w:jc w:val="both"/>
        <w:rPr>
          <w:rFonts w:ascii="Open Sans" w:eastAsia="Open Sans" w:hAnsi="Open Sans" w:cs="Open Sans"/>
          <w:color w:val="000000"/>
          <w:sz w:val="22"/>
          <w:szCs w:val="22"/>
        </w:rPr>
      </w:pPr>
    </w:p>
    <w:p w14:paraId="345B28F9" w14:textId="77777777" w:rsidR="000C02DE" w:rsidRDefault="00000000">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283F9EAB" w14:textId="77777777" w:rsidR="000C02DE"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2BB6C12B" w14:textId="77777777" w:rsidR="000C02DE" w:rsidRDefault="00000000">
      <w:pPr>
        <w:shd w:val="clear" w:color="auto" w:fill="FFFFFF"/>
        <w:spacing w:line="276" w:lineRule="auto"/>
        <w:ind w:right="-433"/>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1">
        <w:r>
          <w:rPr>
            <w:rFonts w:ascii="Open Sans" w:eastAsia="Open Sans" w:hAnsi="Open Sans" w:cs="Open Sans"/>
            <w:color w:val="0000FF"/>
            <w:sz w:val="22"/>
            <w:szCs w:val="22"/>
            <w:u w:val="single"/>
          </w:rPr>
          <w:t>comunicacion@fotocasa.es</w:t>
        </w:r>
      </w:hyperlink>
    </w:p>
    <w:p w14:paraId="1D1D4732" w14:textId="77777777" w:rsidR="000C02DE" w:rsidRDefault="00000000">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074101F7" w14:textId="77777777" w:rsidR="000C02DE" w:rsidRDefault="00000000">
      <w:pPr>
        <w:shd w:val="clear" w:color="auto" w:fill="FFFFFF"/>
        <w:ind w:right="-433"/>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3F50811" w14:textId="77777777" w:rsidR="000C02DE"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A435BE0" w14:textId="77777777" w:rsidR="000C02DE" w:rsidRDefault="00000000">
      <w:pPr>
        <w:shd w:val="clear" w:color="auto" w:fill="FFFFFF"/>
        <w:ind w:right="-433"/>
        <w:rPr>
          <w:rFonts w:ascii="Open Sans" w:eastAsia="Open Sans" w:hAnsi="Open Sans" w:cs="Open Sans"/>
          <w:b/>
          <w:color w:val="000000"/>
          <w:sz w:val="22"/>
          <w:szCs w:val="22"/>
        </w:rPr>
      </w:pPr>
      <w:hyperlink r:id="rId22">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5288934" w14:textId="77777777" w:rsidR="000C02DE"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F2447C9" w14:textId="77777777" w:rsidR="000C02DE" w:rsidRDefault="000C02DE">
      <w:pPr>
        <w:shd w:val="clear" w:color="auto" w:fill="FFFFFF"/>
        <w:ind w:right="-433"/>
        <w:rPr>
          <w:rFonts w:ascii="Open Sans" w:eastAsia="Open Sans" w:hAnsi="Open Sans" w:cs="Open Sans"/>
          <w:color w:val="000000"/>
          <w:sz w:val="22"/>
          <w:szCs w:val="22"/>
        </w:rPr>
      </w:pPr>
    </w:p>
    <w:p w14:paraId="3DE2D731" w14:textId="77777777" w:rsidR="000C02DE"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42663F3A" w14:textId="77777777" w:rsidR="000C02DE" w:rsidRDefault="00000000">
      <w:pPr>
        <w:shd w:val="clear" w:color="auto" w:fill="FFFFFF"/>
        <w:ind w:right="-433"/>
        <w:rPr>
          <w:rFonts w:ascii="Open Sans" w:eastAsia="Open Sans" w:hAnsi="Open Sans" w:cs="Open Sans"/>
          <w:b/>
          <w:color w:val="000000"/>
          <w:sz w:val="22"/>
          <w:szCs w:val="22"/>
        </w:rPr>
      </w:pPr>
      <w:hyperlink r:id="rId23">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7947866" w14:textId="77777777" w:rsidR="000C02DE"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5DBC336" w14:textId="77777777" w:rsidR="000C02DE" w:rsidRDefault="000C02DE">
      <w:pPr>
        <w:shd w:val="clear" w:color="auto" w:fill="FFFFFF"/>
        <w:ind w:right="-433"/>
        <w:rPr>
          <w:rFonts w:ascii="Open Sans" w:eastAsia="Open Sans" w:hAnsi="Open Sans" w:cs="Open Sans"/>
          <w:sz w:val="22"/>
          <w:szCs w:val="22"/>
        </w:rPr>
      </w:pPr>
    </w:p>
    <w:p w14:paraId="1ADCC683" w14:textId="77777777" w:rsidR="000C02DE" w:rsidRDefault="00000000">
      <w:pPr>
        <w:pBdr>
          <w:top w:val="nil"/>
          <w:left w:val="nil"/>
          <w:bottom w:val="nil"/>
          <w:right w:val="nil"/>
          <w:between w:val="nil"/>
        </w:pBdr>
        <w:shd w:val="clear" w:color="auto" w:fill="FFFFFF"/>
        <w:ind w:right="-433"/>
        <w:rPr>
          <w:rFonts w:ascii="Open Sans" w:eastAsia="Open Sans" w:hAnsi="Open Sans" w:cs="Open Sans"/>
          <w:b/>
          <w:sz w:val="22"/>
          <w:szCs w:val="22"/>
        </w:rPr>
      </w:pPr>
      <w:r>
        <w:rPr>
          <w:rFonts w:ascii="Open Sans" w:eastAsia="Open Sans" w:hAnsi="Open Sans" w:cs="Open Sans"/>
          <w:b/>
          <w:sz w:val="22"/>
          <w:szCs w:val="22"/>
        </w:rPr>
        <w:t>Laia Jiménez</w:t>
      </w:r>
    </w:p>
    <w:p w14:paraId="22B8458A" w14:textId="77777777" w:rsidR="000C02DE" w:rsidRPr="0048771E" w:rsidRDefault="00000000">
      <w:pPr>
        <w:shd w:val="clear" w:color="auto" w:fill="FFFFFF"/>
        <w:ind w:right="-433"/>
        <w:rPr>
          <w:rFonts w:ascii="Open Sans" w:eastAsia="Open Sans" w:hAnsi="Open Sans" w:cs="Open Sans"/>
          <w:color w:val="0000FF"/>
          <w:sz w:val="22"/>
          <w:szCs w:val="22"/>
          <w:u w:val="single"/>
        </w:rPr>
      </w:pPr>
      <w:hyperlink r:id="rId24">
        <w:r w:rsidRPr="0048771E">
          <w:rPr>
            <w:rFonts w:ascii="Open Sans" w:eastAsia="Open Sans" w:hAnsi="Open Sans" w:cs="Open Sans"/>
            <w:color w:val="0000FF"/>
            <w:sz w:val="22"/>
            <w:szCs w:val="22"/>
            <w:u w:val="single"/>
          </w:rPr>
          <w:t>ljimenezh@llorenteycuenca.com</w:t>
        </w:r>
      </w:hyperlink>
      <w:r w:rsidRPr="0048771E">
        <w:rPr>
          <w:rFonts w:ascii="Open Sans" w:eastAsia="Open Sans" w:hAnsi="Open Sans" w:cs="Open Sans"/>
          <w:color w:val="0000FF"/>
          <w:sz w:val="22"/>
          <w:szCs w:val="22"/>
          <w:u w:val="single"/>
        </w:rPr>
        <w:t xml:space="preserve"> </w:t>
      </w:r>
    </w:p>
    <w:p w14:paraId="12509095" w14:textId="77777777" w:rsidR="000C02DE" w:rsidRDefault="00000000">
      <w:pPr>
        <w:shd w:val="clear" w:color="auto" w:fill="FFFFFF"/>
        <w:ind w:right="-433"/>
        <w:rPr>
          <w:rFonts w:ascii="Open Sans" w:eastAsia="Open Sans" w:hAnsi="Open Sans" w:cs="Open Sans"/>
          <w:sz w:val="22"/>
          <w:szCs w:val="22"/>
        </w:rPr>
      </w:pPr>
      <w:r>
        <w:rPr>
          <w:rFonts w:ascii="Open Sans" w:eastAsia="Open Sans" w:hAnsi="Open Sans" w:cs="Open Sans"/>
          <w:sz w:val="22"/>
          <w:szCs w:val="22"/>
        </w:rPr>
        <w:t>680 52 72 80</w:t>
      </w:r>
    </w:p>
    <w:sectPr w:rsidR="000C02DE">
      <w:headerReference w:type="default" r:id="rId25"/>
      <w:footerReference w:type="default" r:id="rId2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2B47" w14:textId="77777777" w:rsidR="00FA5B56" w:rsidRDefault="00FA5B56">
      <w:r>
        <w:separator/>
      </w:r>
    </w:p>
  </w:endnote>
  <w:endnote w:type="continuationSeparator" w:id="0">
    <w:p w14:paraId="1CE6EC5C" w14:textId="77777777" w:rsidR="00FA5B56" w:rsidRDefault="00FA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13FC" w14:textId="77777777" w:rsidR="000C02D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EA3AF58" wp14:editId="088A7D31">
          <wp:simplePos x="0" y="0"/>
          <wp:positionH relativeFrom="column">
            <wp:posOffset>-1068059</wp:posOffset>
          </wp:positionH>
          <wp:positionV relativeFrom="paragraph">
            <wp:posOffset>174608</wp:posOffset>
          </wp:positionV>
          <wp:extent cx="7670550" cy="451315"/>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BD01" w14:textId="77777777" w:rsidR="00FA5B56" w:rsidRDefault="00FA5B56">
      <w:r>
        <w:separator/>
      </w:r>
    </w:p>
  </w:footnote>
  <w:footnote w:type="continuationSeparator" w:id="0">
    <w:p w14:paraId="10142C19" w14:textId="77777777" w:rsidR="00FA5B56" w:rsidRDefault="00FA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2041" w14:textId="77777777" w:rsidR="000C02D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6096067" wp14:editId="20C41D45">
          <wp:simplePos x="0" y="0"/>
          <wp:positionH relativeFrom="column">
            <wp:posOffset>-1121123</wp:posOffset>
          </wp:positionH>
          <wp:positionV relativeFrom="paragraph">
            <wp:posOffset>225177</wp:posOffset>
          </wp:positionV>
          <wp:extent cx="7581265" cy="1019175"/>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3F42013" w14:textId="77777777" w:rsidR="000C02DE" w:rsidRDefault="000C02DE">
    <w:pPr>
      <w:pBdr>
        <w:top w:val="nil"/>
        <w:left w:val="nil"/>
        <w:bottom w:val="nil"/>
        <w:right w:val="nil"/>
        <w:between w:val="nil"/>
      </w:pBdr>
      <w:tabs>
        <w:tab w:val="center" w:pos="4252"/>
        <w:tab w:val="right" w:pos="8504"/>
      </w:tabs>
      <w:rPr>
        <w:color w:val="000000"/>
      </w:rPr>
    </w:pPr>
  </w:p>
  <w:p w14:paraId="077F572A" w14:textId="77777777" w:rsidR="000C02DE" w:rsidRDefault="000C02DE">
    <w:pPr>
      <w:pBdr>
        <w:top w:val="nil"/>
        <w:left w:val="nil"/>
        <w:bottom w:val="nil"/>
        <w:right w:val="nil"/>
        <w:between w:val="nil"/>
      </w:pBdr>
      <w:tabs>
        <w:tab w:val="center" w:pos="4252"/>
        <w:tab w:val="right" w:pos="8504"/>
      </w:tabs>
      <w:rPr>
        <w:color w:val="000000"/>
      </w:rPr>
    </w:pPr>
  </w:p>
  <w:p w14:paraId="3B3FAD11" w14:textId="77777777" w:rsidR="000C02DE" w:rsidRDefault="000C02DE">
    <w:pPr>
      <w:pBdr>
        <w:top w:val="nil"/>
        <w:left w:val="nil"/>
        <w:bottom w:val="nil"/>
        <w:right w:val="nil"/>
        <w:between w:val="nil"/>
      </w:pBdr>
      <w:tabs>
        <w:tab w:val="center" w:pos="4252"/>
        <w:tab w:val="right" w:pos="8504"/>
      </w:tabs>
      <w:rPr>
        <w:color w:val="000000"/>
      </w:rPr>
    </w:pPr>
  </w:p>
  <w:p w14:paraId="14DF319B" w14:textId="77777777" w:rsidR="000C02DE" w:rsidRDefault="000C02DE">
    <w:pPr>
      <w:pBdr>
        <w:top w:val="nil"/>
        <w:left w:val="nil"/>
        <w:bottom w:val="nil"/>
        <w:right w:val="nil"/>
        <w:between w:val="nil"/>
      </w:pBdr>
      <w:tabs>
        <w:tab w:val="center" w:pos="4252"/>
        <w:tab w:val="right" w:pos="8504"/>
      </w:tabs>
      <w:rPr>
        <w:color w:val="000000"/>
      </w:rPr>
    </w:pPr>
  </w:p>
  <w:p w14:paraId="517EC546" w14:textId="77777777" w:rsidR="000C02DE" w:rsidRDefault="000C02DE">
    <w:pPr>
      <w:pBdr>
        <w:top w:val="nil"/>
        <w:left w:val="nil"/>
        <w:bottom w:val="nil"/>
        <w:right w:val="nil"/>
        <w:between w:val="nil"/>
      </w:pBdr>
      <w:tabs>
        <w:tab w:val="center" w:pos="4252"/>
        <w:tab w:val="right" w:pos="8504"/>
      </w:tabs>
      <w:rPr>
        <w:color w:val="000000"/>
      </w:rPr>
    </w:pPr>
  </w:p>
  <w:p w14:paraId="0762F097" w14:textId="77777777" w:rsidR="000C02DE" w:rsidRDefault="000C02DE">
    <w:pPr>
      <w:pBdr>
        <w:top w:val="nil"/>
        <w:left w:val="nil"/>
        <w:bottom w:val="nil"/>
        <w:right w:val="nil"/>
        <w:between w:val="nil"/>
      </w:pBdr>
      <w:tabs>
        <w:tab w:val="center" w:pos="4252"/>
        <w:tab w:val="right" w:pos="8504"/>
      </w:tabs>
      <w:rPr>
        <w:color w:val="000000"/>
      </w:rPr>
    </w:pPr>
  </w:p>
  <w:p w14:paraId="79B48261" w14:textId="77777777" w:rsidR="000C02DE" w:rsidRDefault="000C02DE">
    <w:pPr>
      <w:pBdr>
        <w:top w:val="nil"/>
        <w:left w:val="nil"/>
        <w:bottom w:val="nil"/>
        <w:right w:val="nil"/>
        <w:between w:val="nil"/>
      </w:pBdr>
      <w:tabs>
        <w:tab w:val="center" w:pos="4252"/>
        <w:tab w:val="right" w:pos="8504"/>
      </w:tabs>
      <w:rPr>
        <w:color w:val="000000"/>
      </w:rPr>
    </w:pPr>
  </w:p>
  <w:p w14:paraId="1CFAC5EA" w14:textId="77777777" w:rsidR="000C02DE" w:rsidRDefault="000C02D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5406"/>
    <w:multiLevelType w:val="multilevel"/>
    <w:tmpl w:val="45460DC4"/>
    <w:lvl w:ilvl="0">
      <w:start w:val="1"/>
      <w:numFmt w:val="bullet"/>
      <w:lvlText w:val="●"/>
      <w:lvlJc w:val="left"/>
      <w:pPr>
        <w:ind w:left="720" w:hanging="360"/>
      </w:pPr>
      <w:rPr>
        <w:rFonts w:ascii="Noto Sans Symbols" w:eastAsia="Noto Sans Symbols" w:hAnsi="Noto Sans Symbols" w:cs="Noto Sans Symbols"/>
        <w:color w:val="0070C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05438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DE"/>
    <w:rsid w:val="000C02DE"/>
    <w:rsid w:val="0048771E"/>
    <w:rsid w:val="00637BB5"/>
    <w:rsid w:val="00EF7B84"/>
    <w:rsid w:val="00F278AE"/>
    <w:rsid w:val="00FA5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08B"/>
  <w15:docId w15:val="{D66748B6-766B-4261-A3E9-53CAEF27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6"/>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6"/>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5"/>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5"/>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4"/>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4"/>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3"/>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3"/>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es/quienes-somos/" TargetMode="External"/><Relationship Id="rId18" Type="http://schemas.openxmlformats.org/officeDocument/2006/relationships/hyperlink" Target="https://motos.coche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prensa.fotocasa.es/ibai-llanos-y-fotocasa-premian-las-mejores-notas-de-la-selectividad-con-un-fotocasoplon/" TargetMode="External"/><Relationship Id="rId17" Type="http://schemas.openxmlformats.org/officeDocument/2006/relationships/hyperlink" Target="https://www.coches.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yperlink" Target="mailto:ljimenezh@llorenteycuenca.com" TargetMode="Externa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hyperlink" Target="mailto:piglesias@llorenteycuenca.com" TargetMode="External"/><Relationship Id="rId28"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es/" TargetMode="External"/><Relationship Id="rId22" Type="http://schemas.openxmlformats.org/officeDocument/2006/relationships/hyperlink" Target="mailto:emerino@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Qq6UP2jjDdU3TnL9Cra3ZS0xQ==">AMUW2mXvFxaJR0KotW6PXmTigb6d4Z6xqw+libk57dt91sRVGJAN1qe8viNUqoQYAuAyfPix+1741UWlOSycoEkV9wmsjfAS92yAXZBmx8P5dwwW5MNC4zKdk4zV+Z5jySjbvNq/dAc0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1436</Words>
  <Characters>7904</Characters>
  <Application>Microsoft Office Word</Application>
  <DocSecurity>0</DocSecurity>
  <Lines>65</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2023-01-31T09:46:00Z</dcterms:created>
  <dcterms:modified xsi:type="dcterms:W3CDTF">2023-02-06T14:47:00Z</dcterms:modified>
</cp:coreProperties>
</file>