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5DFC" w14:textId="77777777" w:rsidR="00685EA3" w:rsidRDefault="00000000">
      <w:pPr>
        <w:spacing w:line="240" w:lineRule="auto"/>
        <w:rPr>
          <w:rFonts w:ascii="Calibri" w:eastAsia="Calibri" w:hAnsi="Calibri" w:cs="Calibri"/>
          <w:sz w:val="24"/>
          <w:szCs w:val="24"/>
        </w:rPr>
      </w:pPr>
      <w:r>
        <w:rPr>
          <w:noProof/>
        </w:rPr>
        <w:drawing>
          <wp:anchor distT="0" distB="0" distL="0" distR="0" simplePos="0" relativeHeight="251658240" behindDoc="0" locked="0" layoutInCell="1" hidden="0" allowOverlap="1" wp14:anchorId="49D39394" wp14:editId="54D15FC5">
            <wp:simplePos x="0" y="0"/>
            <wp:positionH relativeFrom="column">
              <wp:posOffset>-1056048</wp:posOffset>
            </wp:positionH>
            <wp:positionV relativeFrom="paragraph">
              <wp:posOffset>-346317</wp:posOffset>
            </wp:positionV>
            <wp:extent cx="7711147" cy="1037167"/>
            <wp:effectExtent l="0" t="0" r="0" b="0"/>
            <wp:wrapSquare wrapText="bothSides" distT="0" distB="0" distL="0" distR="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711147" cy="1037167"/>
                    </a:xfrm>
                    <a:prstGeom prst="rect">
                      <a:avLst/>
                    </a:prstGeom>
                    <a:ln/>
                  </pic:spPr>
                </pic:pic>
              </a:graphicData>
            </a:graphic>
          </wp:anchor>
        </w:drawing>
      </w:r>
    </w:p>
    <w:p w14:paraId="5BB730F6" w14:textId="77777777" w:rsidR="00685EA3" w:rsidRDefault="00685EA3">
      <w:pPr>
        <w:spacing w:line="240" w:lineRule="auto"/>
        <w:jc w:val="right"/>
        <w:rPr>
          <w:rFonts w:ascii="National" w:eastAsia="National" w:hAnsi="National" w:cs="National"/>
          <w:color w:val="303AB2"/>
          <w:sz w:val="36"/>
          <w:szCs w:val="36"/>
        </w:rPr>
      </w:pPr>
    </w:p>
    <w:p w14:paraId="1DDE31D9" w14:textId="77777777" w:rsidR="00685EA3" w:rsidRDefault="00000000">
      <w:pPr>
        <w:shd w:val="clear" w:color="auto" w:fill="FFFFFF"/>
        <w:spacing w:after="225"/>
        <w:ind w:left="708"/>
        <w:jc w:val="center"/>
        <w:rPr>
          <w:rFonts w:ascii="Open Sans" w:eastAsia="Open Sans" w:hAnsi="Open Sans" w:cs="Open Sans"/>
          <w:sz w:val="21"/>
          <w:szCs w:val="21"/>
        </w:rPr>
      </w:pPr>
      <w:r>
        <w:rPr>
          <w:rFonts w:ascii="National" w:eastAsia="National" w:hAnsi="National" w:cs="National"/>
          <w:b/>
          <w:color w:val="303AB2"/>
          <w:sz w:val="50"/>
          <w:szCs w:val="50"/>
        </w:rPr>
        <w:t>“Por cada punto de incremento del Euríbor, la hipoteca se encarece 1.000 euros al año”</w:t>
      </w:r>
    </w:p>
    <w:p w14:paraId="702B1B8F" w14:textId="77777777" w:rsidR="00685EA3" w:rsidRDefault="00000000">
      <w:pPr>
        <w:numPr>
          <w:ilvl w:val="0"/>
          <w:numId w:val="1"/>
        </w:numPr>
        <w:shd w:val="clear" w:color="auto" w:fill="FFFFFF"/>
        <w:spacing w:before="280" w:after="280" w:line="240" w:lineRule="auto"/>
        <w:jc w:val="both"/>
        <w:rPr>
          <w:rFonts w:ascii="Open Sans" w:eastAsia="Open Sans" w:hAnsi="Open Sans" w:cs="Open Sans"/>
          <w:b/>
          <w:sz w:val="20"/>
          <w:szCs w:val="20"/>
        </w:rPr>
      </w:pPr>
      <w:r>
        <w:rPr>
          <w:rFonts w:ascii="Open Sans" w:eastAsia="Open Sans" w:hAnsi="Open Sans" w:cs="Open Sans"/>
          <w:sz w:val="21"/>
          <w:szCs w:val="21"/>
        </w:rPr>
        <w:t>Las variables que se actualicen en marzo tendrán que afrontar un gasto de entre 270 y 650 euros más al mes, lo que supone de 3.300 a 7.700 euros a mayores al año</w:t>
      </w:r>
    </w:p>
    <w:p w14:paraId="40CD32F6" w14:textId="77777777" w:rsidR="00685EA3" w:rsidRDefault="00000000">
      <w:pPr>
        <w:numPr>
          <w:ilvl w:val="0"/>
          <w:numId w:val="1"/>
        </w:numPr>
        <w:shd w:val="clear" w:color="auto" w:fill="FFFFFF"/>
        <w:spacing w:before="280" w:after="280" w:line="240" w:lineRule="auto"/>
        <w:jc w:val="both"/>
        <w:rPr>
          <w:rFonts w:ascii="Open Sans" w:eastAsia="Open Sans" w:hAnsi="Open Sans" w:cs="Open Sans"/>
          <w:b/>
          <w:sz w:val="20"/>
          <w:szCs w:val="20"/>
        </w:rPr>
      </w:pPr>
      <w:r>
        <w:rPr>
          <w:rFonts w:ascii="Open Sans" w:eastAsia="Open Sans" w:hAnsi="Open Sans" w:cs="Open Sans"/>
          <w:sz w:val="21"/>
          <w:szCs w:val="21"/>
        </w:rPr>
        <w:t>La cuota mensual de una hipoteca con tasa variable revisada en marzo de 2023 se ha incrementado un 55% con respecto al año anterior</w:t>
      </w:r>
    </w:p>
    <w:p w14:paraId="1B28E481" w14:textId="77777777" w:rsidR="00685EA3" w:rsidRDefault="00000000">
      <w:pPr>
        <w:numPr>
          <w:ilvl w:val="0"/>
          <w:numId w:val="1"/>
        </w:numPr>
        <w:shd w:val="clear" w:color="auto" w:fill="FFFFFF"/>
        <w:spacing w:before="280" w:after="280" w:line="240" w:lineRule="auto"/>
        <w:jc w:val="both"/>
        <w:rPr>
          <w:rFonts w:ascii="Open Sans" w:eastAsia="Open Sans" w:hAnsi="Open Sans" w:cs="Open Sans"/>
          <w:sz w:val="21"/>
          <w:szCs w:val="21"/>
        </w:rPr>
      </w:pPr>
      <w:r>
        <w:rPr>
          <w:rFonts w:ascii="Open Sans" w:eastAsia="Open Sans" w:hAnsi="Open Sans" w:cs="Open Sans"/>
          <w:sz w:val="21"/>
          <w:szCs w:val="21"/>
        </w:rPr>
        <w:t>Si el Euríbor alcanza el 4,0%, el incremento de la cuota hipotecaria podría llegar al encarecerse un 48%, entre 260 y 610 euros más mensualmente</w:t>
      </w:r>
    </w:p>
    <w:p w14:paraId="0AD2FA3D" w14:textId="15D7AFDA" w:rsidR="00685EA3" w:rsidRDefault="00000000">
      <w:pPr>
        <w:shd w:val="clear" w:color="auto" w:fill="FFFFFF"/>
        <w:spacing w:after="225"/>
        <w:jc w:val="both"/>
        <w:rPr>
          <w:rFonts w:ascii="Open Sans" w:eastAsia="Open Sans" w:hAnsi="Open Sans" w:cs="Open Sans"/>
          <w:sz w:val="18"/>
          <w:szCs w:val="18"/>
        </w:rPr>
      </w:pPr>
      <w:r>
        <w:rPr>
          <w:rFonts w:ascii="Open Sans" w:eastAsia="Open Sans" w:hAnsi="Open Sans" w:cs="Open Sans"/>
          <w:b/>
          <w:color w:val="303AB2"/>
        </w:rPr>
        <w:t>Madrid, 16 de marzo de 2022</w:t>
      </w:r>
    </w:p>
    <w:p w14:paraId="5AD6B3AD" w14:textId="77777777" w:rsidR="00685EA3"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El Banco Central Europeo ya ha realizado cinco subidas de tipos de interés en los últimos ocho meses. La última, de 50 puntos básicos, conforma el ciclo más agresivo de la historia de la institución monetaria hasta situar los tipos en el 3,5% y manda un mensaje de estabilidad tras lo sucedido los últimos días y el fantasma de una nueva crisis financiera. Es la escalada más abrupta en la historia del banco, que tiene un impacto directo en el consumo de los ciudadanos y muy particularmente en los préstamos hipotecarios al ocasionar la mayor alza del Euríbor en toda su historia.</w:t>
      </w:r>
    </w:p>
    <w:p w14:paraId="79B7D28E" w14:textId="77777777" w:rsidR="00685EA3"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En esta etapa los ciudadanos con hipotecas variables en revisión tendrán que afrontar un gasto de entre 270 y 650 euros más al mes, lo que supone de 3.300 a 7.700 euros a mayores al año. Se evidencia un incremento del 55% interanual, según la estimación del análisis “</w:t>
      </w:r>
      <w:r>
        <w:rPr>
          <w:rFonts w:ascii="Open Sans" w:eastAsia="Open Sans" w:hAnsi="Open Sans" w:cs="Open Sans"/>
          <w:b/>
          <w:i/>
          <w:sz w:val="21"/>
          <w:szCs w:val="21"/>
        </w:rPr>
        <w:t>Impacto de la subida de tipos en el mercado de la vivienda</w:t>
      </w:r>
      <w:r>
        <w:rPr>
          <w:rFonts w:ascii="Open Sans" w:eastAsia="Open Sans" w:hAnsi="Open Sans" w:cs="Open Sans"/>
          <w:sz w:val="21"/>
          <w:szCs w:val="21"/>
        </w:rPr>
        <w:t xml:space="preserve">” realizado por </w:t>
      </w:r>
      <w:hyperlink r:id="rId9">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 xml:space="preserve">. </w:t>
      </w:r>
    </w:p>
    <w:p w14:paraId="1C158235" w14:textId="77777777" w:rsidR="00685EA3"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El impacto más inmediato está siendo en los créditos hipotecarios a tipo variable, ya que el 70,5% del volumen vivo hipotecario está referenciado al Euríbor y este índice lleva en positivo desde el mes de abril de 2022, acercándose cada vez más al 4% en su tasa mensual, sin tener en cuenta la volatilidad de los últimos tres días. Tras esta subida de marzo los ciudadanos a quienes les toque revisión este mes o en adelante verán como su cuota se ha incrementado </w:t>
      </w:r>
      <w:r>
        <w:rPr>
          <w:rFonts w:ascii="Open Sans" w:eastAsia="Open Sans" w:hAnsi="Open Sans" w:cs="Open Sans"/>
          <w:sz w:val="21"/>
          <w:szCs w:val="21"/>
        </w:rPr>
        <w:lastRenderedPageBreak/>
        <w:t xml:space="preserve">con respecto al año pasado, y también con respecto a hace 6 años -desde febrero de 2006, cuando el Euríbor se encontraba en negativo-. </w:t>
      </w:r>
    </w:p>
    <w:p w14:paraId="0030DF09" w14:textId="77777777" w:rsidR="00685EA3" w:rsidRDefault="00000000">
      <w:pPr>
        <w:shd w:val="clear" w:color="auto" w:fill="FFFFFF"/>
        <w:spacing w:before="280" w:after="280"/>
        <w:jc w:val="center"/>
        <w:rPr>
          <w:rFonts w:ascii="Open Sans" w:eastAsia="Open Sans" w:hAnsi="Open Sans" w:cs="Open Sans"/>
          <w:color w:val="303AB2"/>
          <w:sz w:val="21"/>
          <w:szCs w:val="21"/>
        </w:rPr>
      </w:pPr>
      <w:r>
        <w:rPr>
          <w:rFonts w:ascii="Open Sans" w:eastAsia="Open Sans" w:hAnsi="Open Sans" w:cs="Open Sans"/>
          <w:color w:val="303AB2"/>
          <w:sz w:val="21"/>
          <w:szCs w:val="21"/>
        </w:rPr>
        <w:t>Comparativa valor Euríbor marzo 2022 (-0,237%) con marzo 2023 (3,662%) *</w:t>
      </w:r>
    </w:p>
    <w:tbl>
      <w:tblPr>
        <w:tblStyle w:val="af3"/>
        <w:tblW w:w="9495" w:type="dxa"/>
        <w:tblInd w:w="-61" w:type="dxa"/>
        <w:tblLayout w:type="fixed"/>
        <w:tblLook w:val="0400" w:firstRow="0" w:lastRow="0" w:firstColumn="0" w:lastColumn="0" w:noHBand="0" w:noVBand="1"/>
      </w:tblPr>
      <w:tblGrid>
        <w:gridCol w:w="1890"/>
        <w:gridCol w:w="1365"/>
        <w:gridCol w:w="1335"/>
        <w:gridCol w:w="1335"/>
        <w:gridCol w:w="1995"/>
        <w:gridCol w:w="1575"/>
      </w:tblGrid>
      <w:tr w:rsidR="00685EA3" w14:paraId="5343A82A" w14:textId="77777777">
        <w:trPr>
          <w:trHeight w:val="1124"/>
        </w:trPr>
        <w:tc>
          <w:tcPr>
            <w:tcW w:w="1890" w:type="dxa"/>
            <w:tcBorders>
              <w:top w:val="single" w:sz="8" w:space="0" w:color="2E74B5"/>
              <w:left w:val="nil"/>
              <w:bottom w:val="nil"/>
              <w:right w:val="single" w:sz="8" w:space="0" w:color="2E74B5"/>
            </w:tcBorders>
            <w:shd w:val="clear" w:color="auto" w:fill="9CC2E5"/>
            <w:vAlign w:val="center"/>
          </w:tcPr>
          <w:p w14:paraId="6DE8FD16"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Hipoteca sobre vivienda al 1.0% de interés variable</w:t>
            </w:r>
          </w:p>
        </w:tc>
        <w:tc>
          <w:tcPr>
            <w:tcW w:w="1365" w:type="dxa"/>
            <w:tcBorders>
              <w:top w:val="single" w:sz="8" w:space="0" w:color="2E74B5"/>
              <w:left w:val="nil"/>
              <w:bottom w:val="nil"/>
              <w:right w:val="single" w:sz="8" w:space="0" w:color="2E74B5"/>
            </w:tcBorders>
            <w:shd w:val="clear" w:color="auto" w:fill="9CC2E5"/>
            <w:vAlign w:val="center"/>
          </w:tcPr>
          <w:p w14:paraId="1E422444"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Interés 2023: Euríbor + diferencial</w:t>
            </w:r>
          </w:p>
        </w:tc>
        <w:tc>
          <w:tcPr>
            <w:tcW w:w="1335" w:type="dxa"/>
            <w:tcBorders>
              <w:top w:val="single" w:sz="8" w:space="0" w:color="2E74B5"/>
              <w:left w:val="nil"/>
              <w:bottom w:val="nil"/>
              <w:right w:val="single" w:sz="8" w:space="0" w:color="2E74B5"/>
            </w:tcBorders>
            <w:shd w:val="clear" w:color="auto" w:fill="9CC2E5"/>
            <w:vAlign w:val="center"/>
          </w:tcPr>
          <w:p w14:paraId="6A75FC86"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Cuota</w:t>
            </w:r>
          </w:p>
          <w:p w14:paraId="4B6586E2"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 xml:space="preserve"> mensual marzo 2022</w:t>
            </w:r>
          </w:p>
        </w:tc>
        <w:tc>
          <w:tcPr>
            <w:tcW w:w="1335" w:type="dxa"/>
            <w:tcBorders>
              <w:top w:val="single" w:sz="8" w:space="0" w:color="2E74B5"/>
              <w:left w:val="nil"/>
              <w:bottom w:val="nil"/>
              <w:right w:val="single" w:sz="8" w:space="0" w:color="2E74B5"/>
            </w:tcBorders>
            <w:shd w:val="clear" w:color="auto" w:fill="9CC2E5"/>
            <w:vAlign w:val="center"/>
          </w:tcPr>
          <w:p w14:paraId="10F45CA7"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Cuota mensual marzo 2023</w:t>
            </w:r>
          </w:p>
        </w:tc>
        <w:tc>
          <w:tcPr>
            <w:tcW w:w="1995" w:type="dxa"/>
            <w:tcBorders>
              <w:top w:val="single" w:sz="8" w:space="0" w:color="2E74B5"/>
              <w:left w:val="nil"/>
              <w:bottom w:val="nil"/>
              <w:right w:val="single" w:sz="8" w:space="0" w:color="2E74B5"/>
            </w:tcBorders>
            <w:shd w:val="clear" w:color="auto" w:fill="9CC2E5"/>
            <w:vAlign w:val="center"/>
          </w:tcPr>
          <w:p w14:paraId="09933043"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Valor de incremento cuota mensual</w:t>
            </w:r>
          </w:p>
        </w:tc>
        <w:tc>
          <w:tcPr>
            <w:tcW w:w="1575" w:type="dxa"/>
            <w:tcBorders>
              <w:top w:val="single" w:sz="8" w:space="0" w:color="2E74B5"/>
              <w:left w:val="nil"/>
              <w:bottom w:val="nil"/>
              <w:right w:val="single" w:sz="8" w:space="0" w:color="2E74B5"/>
            </w:tcBorders>
            <w:shd w:val="clear" w:color="auto" w:fill="9CC2E5"/>
            <w:vAlign w:val="center"/>
          </w:tcPr>
          <w:p w14:paraId="6EAF39A7"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Valor de incremento cuota anual</w:t>
            </w:r>
          </w:p>
        </w:tc>
      </w:tr>
      <w:tr w:rsidR="00685EA3" w14:paraId="222A1121" w14:textId="77777777">
        <w:trPr>
          <w:trHeight w:val="229"/>
        </w:trPr>
        <w:tc>
          <w:tcPr>
            <w:tcW w:w="1890" w:type="dxa"/>
            <w:tcBorders>
              <w:top w:val="single" w:sz="8" w:space="0" w:color="2E74B5"/>
              <w:left w:val="nil"/>
              <w:bottom w:val="single" w:sz="8" w:space="0" w:color="2E74B5"/>
              <w:right w:val="single" w:sz="8" w:space="0" w:color="2E74B5"/>
            </w:tcBorders>
            <w:shd w:val="clear" w:color="auto" w:fill="auto"/>
          </w:tcPr>
          <w:p w14:paraId="65972DB2"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150.000 €</w:t>
            </w:r>
          </w:p>
        </w:tc>
        <w:tc>
          <w:tcPr>
            <w:tcW w:w="1365" w:type="dxa"/>
            <w:tcBorders>
              <w:top w:val="single" w:sz="8" w:space="0" w:color="2E74B5"/>
              <w:left w:val="nil"/>
              <w:bottom w:val="single" w:sz="8" w:space="0" w:color="2E74B5"/>
              <w:right w:val="single" w:sz="8" w:space="0" w:color="2E74B5"/>
            </w:tcBorders>
            <w:shd w:val="clear" w:color="auto" w:fill="auto"/>
          </w:tcPr>
          <w:p w14:paraId="73C0E8B7"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4,662%</w:t>
            </w:r>
          </w:p>
        </w:tc>
        <w:tc>
          <w:tcPr>
            <w:tcW w:w="1335" w:type="dxa"/>
            <w:tcBorders>
              <w:top w:val="single" w:sz="8" w:space="0" w:color="2E74B5"/>
              <w:left w:val="nil"/>
              <w:bottom w:val="single" w:sz="8" w:space="0" w:color="2E74B5"/>
              <w:right w:val="single" w:sz="8" w:space="0" w:color="2E74B5"/>
            </w:tcBorders>
            <w:shd w:val="clear" w:color="auto" w:fill="auto"/>
          </w:tcPr>
          <w:p w14:paraId="4AACB9A1"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499 €</w:t>
            </w:r>
          </w:p>
        </w:tc>
        <w:tc>
          <w:tcPr>
            <w:tcW w:w="1335" w:type="dxa"/>
            <w:tcBorders>
              <w:top w:val="single" w:sz="8" w:space="0" w:color="2E74B5"/>
              <w:left w:val="nil"/>
              <w:bottom w:val="single" w:sz="8" w:space="0" w:color="2E74B5"/>
              <w:right w:val="single" w:sz="8" w:space="0" w:color="2E74B5"/>
            </w:tcBorders>
            <w:shd w:val="clear" w:color="auto" w:fill="auto"/>
          </w:tcPr>
          <w:p w14:paraId="5F5A26C9"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775 €</w:t>
            </w:r>
          </w:p>
        </w:tc>
        <w:tc>
          <w:tcPr>
            <w:tcW w:w="1995" w:type="dxa"/>
            <w:tcBorders>
              <w:top w:val="single" w:sz="8" w:space="0" w:color="2E74B5"/>
              <w:left w:val="nil"/>
              <w:bottom w:val="single" w:sz="8" w:space="0" w:color="2E74B5"/>
              <w:right w:val="single" w:sz="8" w:space="0" w:color="2E74B5"/>
            </w:tcBorders>
            <w:shd w:val="clear" w:color="auto" w:fill="auto"/>
          </w:tcPr>
          <w:p w14:paraId="208EC9EF"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+276 €/ +55%</w:t>
            </w:r>
          </w:p>
        </w:tc>
        <w:tc>
          <w:tcPr>
            <w:tcW w:w="1575" w:type="dxa"/>
            <w:tcBorders>
              <w:top w:val="single" w:sz="8" w:space="0" w:color="2E74B5"/>
              <w:left w:val="nil"/>
              <w:bottom w:val="single" w:sz="8" w:space="0" w:color="2E74B5"/>
              <w:right w:val="single" w:sz="8" w:space="0" w:color="2E74B5"/>
            </w:tcBorders>
            <w:shd w:val="clear" w:color="auto" w:fill="auto"/>
          </w:tcPr>
          <w:p w14:paraId="20E5924B"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3.312 €</w:t>
            </w:r>
          </w:p>
        </w:tc>
      </w:tr>
      <w:tr w:rsidR="00685EA3" w14:paraId="211CA160" w14:textId="77777777">
        <w:trPr>
          <w:trHeight w:val="300"/>
        </w:trPr>
        <w:tc>
          <w:tcPr>
            <w:tcW w:w="1890" w:type="dxa"/>
            <w:tcBorders>
              <w:top w:val="single" w:sz="8" w:space="0" w:color="2E74B5"/>
              <w:left w:val="nil"/>
              <w:bottom w:val="single" w:sz="8" w:space="0" w:color="2E74B5"/>
              <w:right w:val="single" w:sz="8" w:space="0" w:color="2E74B5"/>
            </w:tcBorders>
            <w:shd w:val="clear" w:color="auto" w:fill="auto"/>
          </w:tcPr>
          <w:p w14:paraId="42DFD636"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200.000 €</w:t>
            </w:r>
          </w:p>
        </w:tc>
        <w:tc>
          <w:tcPr>
            <w:tcW w:w="1365" w:type="dxa"/>
            <w:tcBorders>
              <w:top w:val="single" w:sz="8" w:space="0" w:color="2E74B5"/>
              <w:left w:val="nil"/>
              <w:bottom w:val="single" w:sz="8" w:space="0" w:color="2E74B5"/>
              <w:right w:val="single" w:sz="8" w:space="0" w:color="2E74B5"/>
            </w:tcBorders>
            <w:shd w:val="clear" w:color="auto" w:fill="auto"/>
          </w:tcPr>
          <w:p w14:paraId="2029AA70"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4,662%</w:t>
            </w:r>
          </w:p>
        </w:tc>
        <w:tc>
          <w:tcPr>
            <w:tcW w:w="1335" w:type="dxa"/>
            <w:tcBorders>
              <w:top w:val="single" w:sz="8" w:space="0" w:color="2E74B5"/>
              <w:left w:val="nil"/>
              <w:bottom w:val="single" w:sz="8" w:space="0" w:color="2E74B5"/>
              <w:right w:val="single" w:sz="8" w:space="0" w:color="2E74B5"/>
            </w:tcBorders>
            <w:shd w:val="clear" w:color="auto" w:fill="auto"/>
          </w:tcPr>
          <w:p w14:paraId="797C55D6"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665 €</w:t>
            </w:r>
          </w:p>
        </w:tc>
        <w:tc>
          <w:tcPr>
            <w:tcW w:w="1335" w:type="dxa"/>
            <w:tcBorders>
              <w:top w:val="single" w:sz="8" w:space="0" w:color="2E74B5"/>
              <w:left w:val="nil"/>
              <w:bottom w:val="single" w:sz="8" w:space="0" w:color="2E74B5"/>
              <w:right w:val="single" w:sz="8" w:space="0" w:color="2E74B5"/>
            </w:tcBorders>
            <w:shd w:val="clear" w:color="auto" w:fill="auto"/>
          </w:tcPr>
          <w:p w14:paraId="31F5FA10"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1.033 €</w:t>
            </w:r>
          </w:p>
        </w:tc>
        <w:tc>
          <w:tcPr>
            <w:tcW w:w="1995" w:type="dxa"/>
            <w:tcBorders>
              <w:top w:val="single" w:sz="8" w:space="0" w:color="2E74B5"/>
              <w:left w:val="nil"/>
              <w:bottom w:val="single" w:sz="8" w:space="0" w:color="2E74B5"/>
              <w:right w:val="single" w:sz="8" w:space="0" w:color="2E74B5"/>
            </w:tcBorders>
            <w:shd w:val="clear" w:color="auto" w:fill="auto"/>
          </w:tcPr>
          <w:p w14:paraId="44871373"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+368 € / +55%</w:t>
            </w:r>
          </w:p>
        </w:tc>
        <w:tc>
          <w:tcPr>
            <w:tcW w:w="1575" w:type="dxa"/>
            <w:tcBorders>
              <w:top w:val="single" w:sz="8" w:space="0" w:color="2E74B5"/>
              <w:left w:val="nil"/>
              <w:bottom w:val="single" w:sz="8" w:space="0" w:color="2E74B5"/>
              <w:right w:val="single" w:sz="8" w:space="0" w:color="2E74B5"/>
            </w:tcBorders>
            <w:shd w:val="clear" w:color="auto" w:fill="auto"/>
          </w:tcPr>
          <w:p w14:paraId="0D02023D"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4.416 €</w:t>
            </w:r>
          </w:p>
        </w:tc>
      </w:tr>
      <w:tr w:rsidR="00685EA3" w14:paraId="619546A0" w14:textId="77777777">
        <w:trPr>
          <w:trHeight w:val="229"/>
        </w:trPr>
        <w:tc>
          <w:tcPr>
            <w:tcW w:w="1890" w:type="dxa"/>
            <w:tcBorders>
              <w:top w:val="single" w:sz="8" w:space="0" w:color="2E74B5"/>
              <w:left w:val="nil"/>
              <w:bottom w:val="single" w:sz="8" w:space="0" w:color="2E74B5"/>
              <w:right w:val="single" w:sz="8" w:space="0" w:color="2E74B5"/>
            </w:tcBorders>
            <w:shd w:val="clear" w:color="auto" w:fill="auto"/>
          </w:tcPr>
          <w:p w14:paraId="626790BA"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250.000 €</w:t>
            </w:r>
          </w:p>
        </w:tc>
        <w:tc>
          <w:tcPr>
            <w:tcW w:w="1365" w:type="dxa"/>
            <w:tcBorders>
              <w:top w:val="single" w:sz="8" w:space="0" w:color="2E74B5"/>
              <w:left w:val="nil"/>
              <w:bottom w:val="single" w:sz="8" w:space="0" w:color="2E74B5"/>
              <w:right w:val="single" w:sz="8" w:space="0" w:color="2E74B5"/>
            </w:tcBorders>
            <w:shd w:val="clear" w:color="auto" w:fill="auto"/>
          </w:tcPr>
          <w:p w14:paraId="3A2819E5"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4,662%</w:t>
            </w:r>
          </w:p>
        </w:tc>
        <w:tc>
          <w:tcPr>
            <w:tcW w:w="1335" w:type="dxa"/>
            <w:tcBorders>
              <w:top w:val="single" w:sz="8" w:space="0" w:color="2E74B5"/>
              <w:left w:val="nil"/>
              <w:bottom w:val="single" w:sz="8" w:space="0" w:color="2E74B5"/>
              <w:right w:val="single" w:sz="8" w:space="0" w:color="2E74B5"/>
            </w:tcBorders>
            <w:shd w:val="clear" w:color="auto" w:fill="auto"/>
          </w:tcPr>
          <w:p w14:paraId="2F76365E"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831 €</w:t>
            </w:r>
          </w:p>
        </w:tc>
        <w:tc>
          <w:tcPr>
            <w:tcW w:w="1335" w:type="dxa"/>
            <w:tcBorders>
              <w:top w:val="single" w:sz="8" w:space="0" w:color="2E74B5"/>
              <w:left w:val="nil"/>
              <w:bottom w:val="single" w:sz="8" w:space="0" w:color="2E74B5"/>
              <w:right w:val="single" w:sz="8" w:space="0" w:color="2E74B5"/>
            </w:tcBorders>
            <w:shd w:val="clear" w:color="auto" w:fill="auto"/>
          </w:tcPr>
          <w:p w14:paraId="65107542"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1.291 €</w:t>
            </w:r>
          </w:p>
        </w:tc>
        <w:tc>
          <w:tcPr>
            <w:tcW w:w="1995" w:type="dxa"/>
            <w:tcBorders>
              <w:top w:val="single" w:sz="8" w:space="0" w:color="2E74B5"/>
              <w:left w:val="nil"/>
              <w:bottom w:val="single" w:sz="8" w:space="0" w:color="2E74B5"/>
              <w:right w:val="single" w:sz="8" w:space="0" w:color="2E74B5"/>
            </w:tcBorders>
            <w:shd w:val="clear" w:color="auto" w:fill="auto"/>
          </w:tcPr>
          <w:p w14:paraId="436F5F42"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 xml:space="preserve">+460 € / +55% </w:t>
            </w:r>
          </w:p>
        </w:tc>
        <w:tc>
          <w:tcPr>
            <w:tcW w:w="1575" w:type="dxa"/>
            <w:tcBorders>
              <w:top w:val="single" w:sz="8" w:space="0" w:color="2E74B5"/>
              <w:left w:val="nil"/>
              <w:bottom w:val="single" w:sz="8" w:space="0" w:color="2E74B5"/>
              <w:right w:val="single" w:sz="8" w:space="0" w:color="2E74B5"/>
            </w:tcBorders>
            <w:shd w:val="clear" w:color="auto" w:fill="auto"/>
          </w:tcPr>
          <w:p w14:paraId="22A6519A"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5.520 €</w:t>
            </w:r>
          </w:p>
        </w:tc>
      </w:tr>
      <w:tr w:rsidR="00685EA3" w14:paraId="1051475B" w14:textId="77777777">
        <w:trPr>
          <w:trHeight w:val="229"/>
        </w:trPr>
        <w:tc>
          <w:tcPr>
            <w:tcW w:w="1890" w:type="dxa"/>
            <w:tcBorders>
              <w:top w:val="single" w:sz="8" w:space="0" w:color="2E74B5"/>
              <w:left w:val="nil"/>
              <w:bottom w:val="single" w:sz="8" w:space="0" w:color="2E74B5"/>
              <w:right w:val="single" w:sz="8" w:space="0" w:color="2E74B5"/>
            </w:tcBorders>
            <w:shd w:val="clear" w:color="auto" w:fill="auto"/>
          </w:tcPr>
          <w:p w14:paraId="36C3657B"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300.000 €</w:t>
            </w:r>
          </w:p>
        </w:tc>
        <w:tc>
          <w:tcPr>
            <w:tcW w:w="1365" w:type="dxa"/>
            <w:tcBorders>
              <w:top w:val="single" w:sz="8" w:space="0" w:color="2E74B5"/>
              <w:left w:val="nil"/>
              <w:bottom w:val="single" w:sz="8" w:space="0" w:color="2E74B5"/>
              <w:right w:val="single" w:sz="8" w:space="0" w:color="2E74B5"/>
            </w:tcBorders>
            <w:shd w:val="clear" w:color="auto" w:fill="auto"/>
          </w:tcPr>
          <w:p w14:paraId="0118F51B"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4,662%</w:t>
            </w:r>
          </w:p>
        </w:tc>
        <w:tc>
          <w:tcPr>
            <w:tcW w:w="1335" w:type="dxa"/>
            <w:tcBorders>
              <w:top w:val="single" w:sz="8" w:space="0" w:color="2E74B5"/>
              <w:left w:val="nil"/>
              <w:bottom w:val="single" w:sz="8" w:space="0" w:color="2E74B5"/>
              <w:right w:val="single" w:sz="8" w:space="0" w:color="2E74B5"/>
            </w:tcBorders>
            <w:shd w:val="clear" w:color="auto" w:fill="auto"/>
          </w:tcPr>
          <w:p w14:paraId="357FC2FC"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998 €</w:t>
            </w:r>
          </w:p>
        </w:tc>
        <w:tc>
          <w:tcPr>
            <w:tcW w:w="1335" w:type="dxa"/>
            <w:tcBorders>
              <w:top w:val="single" w:sz="8" w:space="0" w:color="2E74B5"/>
              <w:left w:val="nil"/>
              <w:bottom w:val="single" w:sz="8" w:space="0" w:color="2E74B5"/>
              <w:right w:val="single" w:sz="8" w:space="0" w:color="2E74B5"/>
            </w:tcBorders>
            <w:shd w:val="clear" w:color="auto" w:fill="auto"/>
          </w:tcPr>
          <w:p w14:paraId="0167FD8A"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1.549€</w:t>
            </w:r>
          </w:p>
        </w:tc>
        <w:tc>
          <w:tcPr>
            <w:tcW w:w="1995" w:type="dxa"/>
            <w:tcBorders>
              <w:top w:val="single" w:sz="8" w:space="0" w:color="2E74B5"/>
              <w:left w:val="nil"/>
              <w:bottom w:val="single" w:sz="8" w:space="0" w:color="2E74B5"/>
              <w:right w:val="single" w:sz="8" w:space="0" w:color="2E74B5"/>
            </w:tcBorders>
            <w:shd w:val="clear" w:color="auto" w:fill="auto"/>
          </w:tcPr>
          <w:p w14:paraId="0D765AB9"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+551 € / +55%</w:t>
            </w:r>
          </w:p>
        </w:tc>
        <w:tc>
          <w:tcPr>
            <w:tcW w:w="1575" w:type="dxa"/>
            <w:tcBorders>
              <w:top w:val="single" w:sz="8" w:space="0" w:color="2E74B5"/>
              <w:left w:val="nil"/>
              <w:bottom w:val="single" w:sz="8" w:space="0" w:color="2E74B5"/>
              <w:right w:val="single" w:sz="8" w:space="0" w:color="2E74B5"/>
            </w:tcBorders>
            <w:shd w:val="clear" w:color="auto" w:fill="auto"/>
          </w:tcPr>
          <w:p w14:paraId="1083188B"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6.612 €</w:t>
            </w:r>
          </w:p>
        </w:tc>
      </w:tr>
      <w:tr w:rsidR="00685EA3" w14:paraId="42604CC2" w14:textId="77777777">
        <w:trPr>
          <w:trHeight w:val="229"/>
        </w:trPr>
        <w:tc>
          <w:tcPr>
            <w:tcW w:w="1890" w:type="dxa"/>
            <w:tcBorders>
              <w:top w:val="single" w:sz="8" w:space="0" w:color="2E74B5"/>
              <w:left w:val="nil"/>
              <w:bottom w:val="single" w:sz="8" w:space="0" w:color="2E74B5"/>
              <w:right w:val="single" w:sz="8" w:space="0" w:color="2E74B5"/>
            </w:tcBorders>
            <w:shd w:val="clear" w:color="auto" w:fill="auto"/>
          </w:tcPr>
          <w:p w14:paraId="192B2865"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350.000 €</w:t>
            </w:r>
          </w:p>
        </w:tc>
        <w:tc>
          <w:tcPr>
            <w:tcW w:w="1365" w:type="dxa"/>
            <w:tcBorders>
              <w:top w:val="single" w:sz="8" w:space="0" w:color="2E74B5"/>
              <w:left w:val="nil"/>
              <w:bottom w:val="single" w:sz="8" w:space="0" w:color="2E74B5"/>
              <w:right w:val="single" w:sz="8" w:space="0" w:color="2E74B5"/>
            </w:tcBorders>
            <w:shd w:val="clear" w:color="auto" w:fill="auto"/>
          </w:tcPr>
          <w:p w14:paraId="27B95A9C"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4,662%</w:t>
            </w:r>
          </w:p>
        </w:tc>
        <w:tc>
          <w:tcPr>
            <w:tcW w:w="1335" w:type="dxa"/>
            <w:tcBorders>
              <w:top w:val="single" w:sz="8" w:space="0" w:color="2E74B5"/>
              <w:left w:val="nil"/>
              <w:bottom w:val="single" w:sz="8" w:space="0" w:color="2E74B5"/>
              <w:right w:val="single" w:sz="8" w:space="0" w:color="2E74B5"/>
            </w:tcBorders>
            <w:shd w:val="clear" w:color="auto" w:fill="auto"/>
          </w:tcPr>
          <w:p w14:paraId="0CD5DF70"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1.164 €</w:t>
            </w:r>
          </w:p>
        </w:tc>
        <w:tc>
          <w:tcPr>
            <w:tcW w:w="1335" w:type="dxa"/>
            <w:tcBorders>
              <w:top w:val="single" w:sz="8" w:space="0" w:color="2E74B5"/>
              <w:left w:val="nil"/>
              <w:bottom w:val="single" w:sz="8" w:space="0" w:color="2E74B5"/>
              <w:right w:val="single" w:sz="8" w:space="0" w:color="2E74B5"/>
            </w:tcBorders>
            <w:shd w:val="clear" w:color="auto" w:fill="auto"/>
          </w:tcPr>
          <w:p w14:paraId="03E995D5"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1.807 €</w:t>
            </w:r>
          </w:p>
        </w:tc>
        <w:tc>
          <w:tcPr>
            <w:tcW w:w="1995" w:type="dxa"/>
            <w:tcBorders>
              <w:top w:val="single" w:sz="8" w:space="0" w:color="2E74B5"/>
              <w:left w:val="nil"/>
              <w:bottom w:val="single" w:sz="8" w:space="0" w:color="2E74B5"/>
              <w:right w:val="single" w:sz="8" w:space="0" w:color="2E74B5"/>
            </w:tcBorders>
            <w:shd w:val="clear" w:color="auto" w:fill="auto"/>
          </w:tcPr>
          <w:p w14:paraId="3325C8CF"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+643 € / +55%</w:t>
            </w:r>
          </w:p>
        </w:tc>
        <w:tc>
          <w:tcPr>
            <w:tcW w:w="1575" w:type="dxa"/>
            <w:tcBorders>
              <w:top w:val="single" w:sz="8" w:space="0" w:color="2E74B5"/>
              <w:left w:val="nil"/>
              <w:bottom w:val="single" w:sz="8" w:space="0" w:color="2E74B5"/>
              <w:right w:val="single" w:sz="8" w:space="0" w:color="2E74B5"/>
            </w:tcBorders>
            <w:shd w:val="clear" w:color="auto" w:fill="auto"/>
          </w:tcPr>
          <w:p w14:paraId="4B9586C7"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7.716€</w:t>
            </w:r>
          </w:p>
        </w:tc>
      </w:tr>
    </w:tbl>
    <w:p w14:paraId="036D8326" w14:textId="77777777" w:rsidR="00685EA3" w:rsidRDefault="00000000">
      <w:pPr>
        <w:shd w:val="clear" w:color="auto" w:fill="FFFFFF"/>
        <w:spacing w:before="280" w:after="280"/>
        <w:jc w:val="both"/>
        <w:rPr>
          <w:rFonts w:ascii="Open Sans" w:eastAsia="Open Sans" w:hAnsi="Open Sans" w:cs="Open Sans"/>
          <w:i/>
          <w:color w:val="303AB2"/>
          <w:sz w:val="19"/>
          <w:szCs w:val="19"/>
        </w:rPr>
      </w:pPr>
      <w:r>
        <w:rPr>
          <w:rFonts w:ascii="Open Sans" w:eastAsia="Open Sans" w:hAnsi="Open Sans" w:cs="Open Sans"/>
          <w:color w:val="303AB2"/>
          <w:sz w:val="21"/>
          <w:szCs w:val="21"/>
        </w:rPr>
        <w:t>*</w:t>
      </w:r>
      <w:r>
        <w:rPr>
          <w:rFonts w:ascii="Open Sans" w:eastAsia="Open Sans" w:hAnsi="Open Sans" w:cs="Open Sans"/>
          <w:i/>
          <w:color w:val="303AB2"/>
          <w:sz w:val="19"/>
          <w:szCs w:val="19"/>
        </w:rPr>
        <w:t>Para la realización de esta estimación aproximada se ha supuesto una hipoteca a tipo variable con un interés compuesto por la suma de un diferencial del 1% + Euríbor. La duración del préstamo es de 30 años. El análisis se estima con la firma del crédito hipotecario en marzo de 2022, pero hay que recordar que las</w:t>
      </w:r>
      <w:r>
        <w:rPr>
          <w:rFonts w:ascii="Open Sans" w:eastAsia="Open Sans" w:hAnsi="Open Sans" w:cs="Open Sans"/>
          <w:i/>
          <w:sz w:val="19"/>
          <w:szCs w:val="19"/>
        </w:rPr>
        <w:t xml:space="preserve"> </w:t>
      </w:r>
      <w:r>
        <w:rPr>
          <w:rFonts w:ascii="Open Sans" w:eastAsia="Open Sans" w:hAnsi="Open Sans" w:cs="Open Sans"/>
          <w:i/>
          <w:color w:val="303AB2"/>
          <w:sz w:val="19"/>
          <w:szCs w:val="19"/>
        </w:rPr>
        <w:t>entidades financieras aplican el cálculo utilizando el dato del último día hábil de dos meses antes de la revisión, -que en este caso sería el de enero de 2023-. El dato de marzo de 2023 utilizado para la comparativa es el registrado el día 15 de este mes.</w:t>
      </w:r>
    </w:p>
    <w:p w14:paraId="1B4D0606" w14:textId="77777777" w:rsidR="00685EA3" w:rsidRDefault="00000000">
      <w:pPr>
        <w:shd w:val="clear" w:color="auto" w:fill="FFFFFF"/>
        <w:spacing w:before="280" w:after="280"/>
        <w:jc w:val="both"/>
        <w:rPr>
          <w:rFonts w:ascii="Open Sans" w:eastAsia="Open Sans" w:hAnsi="Open Sans" w:cs="Open Sans"/>
          <w:color w:val="303AB2"/>
          <w:sz w:val="19"/>
          <w:szCs w:val="19"/>
        </w:rPr>
      </w:pPr>
      <w:r>
        <w:rPr>
          <w:rFonts w:ascii="Open Sans" w:eastAsia="Open Sans" w:hAnsi="Open Sans" w:cs="Open Sans"/>
          <w:b/>
          <w:color w:val="303AB2"/>
          <w:sz w:val="21"/>
          <w:szCs w:val="21"/>
        </w:rPr>
        <w:t>Previsión del Euríbor en el 4% durante 2023</w:t>
      </w:r>
    </w:p>
    <w:p w14:paraId="74ECD703" w14:textId="77777777" w:rsidR="00685EA3"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La progresiva subida de tipos está condicionando la evolución del Euríbor, haciendo que crezca a velocidades nunca vistas. El índice de referencia ya acumula más de un año al alza, y 12 meses en terreno positivo. Además, superando todas las previsiones, se aproxima al 4% en el primer trimestre de 2023. A continuación, se realiza una estimación del incremento de la cuota mensual de una hipoteca variable, donde se revela que el porcentaje de incremento interanual sería del 48%, si el Euríbor alcanzase el 4% durante este año. Esta situación supondría un desembolso a mayores, para los hipotecados, de entre 260 y 610 euros mensuales, lo que implica un incremento de entre 3.100 a 7.300 euros más al año.</w:t>
      </w:r>
    </w:p>
    <w:p w14:paraId="3D018F31" w14:textId="77777777" w:rsidR="00685EA3" w:rsidRDefault="00000000">
      <w:pPr>
        <w:shd w:val="clear" w:color="auto" w:fill="FFFFFF"/>
        <w:spacing w:before="280" w:after="280"/>
        <w:jc w:val="center"/>
        <w:rPr>
          <w:rFonts w:ascii="Open Sans" w:eastAsia="Open Sans" w:hAnsi="Open Sans" w:cs="Open Sans"/>
          <w:color w:val="303AB2"/>
          <w:sz w:val="21"/>
          <w:szCs w:val="21"/>
        </w:rPr>
      </w:pPr>
      <w:r>
        <w:rPr>
          <w:rFonts w:ascii="Open Sans" w:eastAsia="Open Sans" w:hAnsi="Open Sans" w:cs="Open Sans"/>
          <w:color w:val="303AB2"/>
          <w:sz w:val="21"/>
          <w:szCs w:val="21"/>
        </w:rPr>
        <w:t>Simulación Euríbor junio (0,852%) con previsión de cierre junio 2023 (4,000%)</w:t>
      </w:r>
    </w:p>
    <w:tbl>
      <w:tblPr>
        <w:tblStyle w:val="af4"/>
        <w:tblW w:w="9450" w:type="dxa"/>
        <w:tblInd w:w="-61" w:type="dxa"/>
        <w:tblLayout w:type="fixed"/>
        <w:tblLook w:val="0400" w:firstRow="0" w:lastRow="0" w:firstColumn="0" w:lastColumn="0" w:noHBand="0" w:noVBand="1"/>
      </w:tblPr>
      <w:tblGrid>
        <w:gridCol w:w="1905"/>
        <w:gridCol w:w="1530"/>
        <w:gridCol w:w="1410"/>
        <w:gridCol w:w="1545"/>
        <w:gridCol w:w="1530"/>
        <w:gridCol w:w="1530"/>
      </w:tblGrid>
      <w:tr w:rsidR="00685EA3" w14:paraId="0B8C8888" w14:textId="77777777">
        <w:trPr>
          <w:trHeight w:val="1124"/>
        </w:trPr>
        <w:tc>
          <w:tcPr>
            <w:tcW w:w="1905" w:type="dxa"/>
            <w:tcBorders>
              <w:top w:val="single" w:sz="8" w:space="0" w:color="2E74B5"/>
              <w:left w:val="nil"/>
              <w:bottom w:val="nil"/>
              <w:right w:val="single" w:sz="8" w:space="0" w:color="2E74B5"/>
            </w:tcBorders>
            <w:shd w:val="clear" w:color="auto" w:fill="9CC2E5"/>
            <w:vAlign w:val="center"/>
          </w:tcPr>
          <w:p w14:paraId="7FDF2370"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Hipoteca sobre vivienda al 1.0% de interés variable</w:t>
            </w:r>
          </w:p>
        </w:tc>
        <w:tc>
          <w:tcPr>
            <w:tcW w:w="1530" w:type="dxa"/>
            <w:tcBorders>
              <w:top w:val="single" w:sz="8" w:space="0" w:color="2E74B5"/>
              <w:left w:val="nil"/>
              <w:bottom w:val="nil"/>
              <w:right w:val="single" w:sz="8" w:space="0" w:color="2E74B5"/>
            </w:tcBorders>
            <w:shd w:val="clear" w:color="auto" w:fill="9CC2E5"/>
            <w:vAlign w:val="center"/>
          </w:tcPr>
          <w:p w14:paraId="2E5F7B52"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Interés 2023: Euríbor + diferencial</w:t>
            </w:r>
          </w:p>
        </w:tc>
        <w:tc>
          <w:tcPr>
            <w:tcW w:w="1410" w:type="dxa"/>
            <w:tcBorders>
              <w:top w:val="single" w:sz="8" w:space="0" w:color="2E74B5"/>
              <w:left w:val="nil"/>
              <w:bottom w:val="nil"/>
              <w:right w:val="single" w:sz="8" w:space="0" w:color="2E74B5"/>
            </w:tcBorders>
            <w:shd w:val="clear" w:color="auto" w:fill="9CC2E5"/>
            <w:vAlign w:val="center"/>
          </w:tcPr>
          <w:p w14:paraId="200AC78A"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Cuota mensual septiembre 2022</w:t>
            </w:r>
          </w:p>
        </w:tc>
        <w:tc>
          <w:tcPr>
            <w:tcW w:w="1545" w:type="dxa"/>
            <w:tcBorders>
              <w:top w:val="single" w:sz="8" w:space="0" w:color="2E74B5"/>
              <w:left w:val="nil"/>
              <w:bottom w:val="nil"/>
              <w:right w:val="single" w:sz="8" w:space="0" w:color="2E74B5"/>
            </w:tcBorders>
            <w:shd w:val="clear" w:color="auto" w:fill="9CC2E5"/>
            <w:vAlign w:val="center"/>
          </w:tcPr>
          <w:p w14:paraId="5895CF4D"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Cuota mensual septiembre 2023</w:t>
            </w:r>
          </w:p>
        </w:tc>
        <w:tc>
          <w:tcPr>
            <w:tcW w:w="1530" w:type="dxa"/>
            <w:tcBorders>
              <w:top w:val="single" w:sz="8" w:space="0" w:color="2E74B5"/>
              <w:left w:val="nil"/>
              <w:bottom w:val="nil"/>
              <w:right w:val="single" w:sz="8" w:space="0" w:color="2E74B5"/>
            </w:tcBorders>
            <w:shd w:val="clear" w:color="auto" w:fill="9CC2E5"/>
            <w:vAlign w:val="center"/>
          </w:tcPr>
          <w:p w14:paraId="063E9278"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Valor de incremento cuota mensual</w:t>
            </w:r>
          </w:p>
        </w:tc>
        <w:tc>
          <w:tcPr>
            <w:tcW w:w="1530" w:type="dxa"/>
            <w:tcBorders>
              <w:top w:val="single" w:sz="8" w:space="0" w:color="2E74B5"/>
              <w:left w:val="nil"/>
              <w:bottom w:val="nil"/>
              <w:right w:val="single" w:sz="8" w:space="0" w:color="2E74B5"/>
            </w:tcBorders>
            <w:shd w:val="clear" w:color="auto" w:fill="9CC2E5"/>
            <w:vAlign w:val="center"/>
          </w:tcPr>
          <w:p w14:paraId="2985C2BD"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Valor de incremento cuota anual</w:t>
            </w:r>
          </w:p>
        </w:tc>
      </w:tr>
      <w:tr w:rsidR="00685EA3" w14:paraId="2B5D24AB" w14:textId="77777777">
        <w:trPr>
          <w:trHeight w:val="229"/>
        </w:trPr>
        <w:tc>
          <w:tcPr>
            <w:tcW w:w="1905" w:type="dxa"/>
            <w:tcBorders>
              <w:top w:val="single" w:sz="8" w:space="0" w:color="2E74B5"/>
              <w:left w:val="nil"/>
              <w:bottom w:val="single" w:sz="8" w:space="0" w:color="2E74B5"/>
              <w:right w:val="single" w:sz="8" w:space="0" w:color="2E74B5"/>
            </w:tcBorders>
            <w:shd w:val="clear" w:color="auto" w:fill="auto"/>
          </w:tcPr>
          <w:p w14:paraId="295E81E7"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150.000 €</w:t>
            </w:r>
          </w:p>
        </w:tc>
        <w:tc>
          <w:tcPr>
            <w:tcW w:w="1530" w:type="dxa"/>
            <w:tcBorders>
              <w:top w:val="single" w:sz="8" w:space="0" w:color="2E74B5"/>
              <w:left w:val="nil"/>
              <w:bottom w:val="single" w:sz="8" w:space="0" w:color="2E74B5"/>
              <w:right w:val="single" w:sz="8" w:space="0" w:color="2E74B5"/>
            </w:tcBorders>
            <w:shd w:val="clear" w:color="auto" w:fill="auto"/>
          </w:tcPr>
          <w:p w14:paraId="29AA531C"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5.000%</w:t>
            </w:r>
          </w:p>
        </w:tc>
        <w:tc>
          <w:tcPr>
            <w:tcW w:w="1410" w:type="dxa"/>
            <w:tcBorders>
              <w:top w:val="single" w:sz="8" w:space="0" w:color="2E74B5"/>
              <w:left w:val="nil"/>
              <w:bottom w:val="single" w:sz="8" w:space="0" w:color="2E74B5"/>
              <w:right w:val="single" w:sz="8" w:space="0" w:color="2E74B5"/>
            </w:tcBorders>
            <w:shd w:val="clear" w:color="auto" w:fill="auto"/>
          </w:tcPr>
          <w:p w14:paraId="06432AFF"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543 €</w:t>
            </w:r>
          </w:p>
        </w:tc>
        <w:tc>
          <w:tcPr>
            <w:tcW w:w="1545" w:type="dxa"/>
            <w:tcBorders>
              <w:top w:val="single" w:sz="8" w:space="0" w:color="2E74B5"/>
              <w:left w:val="nil"/>
              <w:bottom w:val="single" w:sz="8" w:space="0" w:color="2E74B5"/>
              <w:right w:val="single" w:sz="8" w:space="0" w:color="2E74B5"/>
            </w:tcBorders>
            <w:shd w:val="clear" w:color="auto" w:fill="auto"/>
          </w:tcPr>
          <w:p w14:paraId="59D53999"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805 €</w:t>
            </w:r>
          </w:p>
        </w:tc>
        <w:tc>
          <w:tcPr>
            <w:tcW w:w="1530" w:type="dxa"/>
            <w:tcBorders>
              <w:top w:val="single" w:sz="8" w:space="0" w:color="2E74B5"/>
              <w:left w:val="nil"/>
              <w:bottom w:val="single" w:sz="8" w:space="0" w:color="2E74B5"/>
              <w:right w:val="single" w:sz="8" w:space="0" w:color="2E74B5"/>
            </w:tcBorders>
            <w:shd w:val="clear" w:color="auto" w:fill="auto"/>
          </w:tcPr>
          <w:p w14:paraId="640F8EED"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262 €</w:t>
            </w:r>
          </w:p>
        </w:tc>
        <w:tc>
          <w:tcPr>
            <w:tcW w:w="1530" w:type="dxa"/>
            <w:tcBorders>
              <w:top w:val="single" w:sz="8" w:space="0" w:color="2E74B5"/>
              <w:left w:val="nil"/>
              <w:bottom w:val="single" w:sz="8" w:space="0" w:color="2E74B5"/>
              <w:right w:val="single" w:sz="8" w:space="0" w:color="2E74B5"/>
            </w:tcBorders>
            <w:shd w:val="clear" w:color="auto" w:fill="auto"/>
          </w:tcPr>
          <w:p w14:paraId="43EB0CF6"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3.144 €</w:t>
            </w:r>
          </w:p>
        </w:tc>
      </w:tr>
      <w:tr w:rsidR="00685EA3" w14:paraId="0A475EB6" w14:textId="77777777">
        <w:trPr>
          <w:trHeight w:val="300"/>
        </w:trPr>
        <w:tc>
          <w:tcPr>
            <w:tcW w:w="1905" w:type="dxa"/>
            <w:tcBorders>
              <w:top w:val="single" w:sz="8" w:space="0" w:color="2E74B5"/>
              <w:left w:val="nil"/>
              <w:bottom w:val="single" w:sz="8" w:space="0" w:color="2E74B5"/>
              <w:right w:val="single" w:sz="8" w:space="0" w:color="2E74B5"/>
            </w:tcBorders>
            <w:shd w:val="clear" w:color="auto" w:fill="auto"/>
          </w:tcPr>
          <w:p w14:paraId="2F546BCB"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200.000 €</w:t>
            </w:r>
          </w:p>
        </w:tc>
        <w:tc>
          <w:tcPr>
            <w:tcW w:w="1530" w:type="dxa"/>
            <w:tcBorders>
              <w:top w:val="single" w:sz="8" w:space="0" w:color="2E74B5"/>
              <w:left w:val="nil"/>
              <w:bottom w:val="single" w:sz="8" w:space="0" w:color="2E74B5"/>
              <w:right w:val="single" w:sz="8" w:space="0" w:color="2E74B5"/>
            </w:tcBorders>
            <w:shd w:val="clear" w:color="auto" w:fill="auto"/>
          </w:tcPr>
          <w:p w14:paraId="54B82303"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5.000%</w:t>
            </w:r>
          </w:p>
        </w:tc>
        <w:tc>
          <w:tcPr>
            <w:tcW w:w="1410" w:type="dxa"/>
            <w:tcBorders>
              <w:top w:val="single" w:sz="8" w:space="0" w:color="2E74B5"/>
              <w:left w:val="nil"/>
              <w:bottom w:val="single" w:sz="8" w:space="0" w:color="2E74B5"/>
              <w:right w:val="single" w:sz="8" w:space="0" w:color="2E74B5"/>
            </w:tcBorders>
            <w:shd w:val="clear" w:color="auto" w:fill="auto"/>
          </w:tcPr>
          <w:p w14:paraId="372402E1"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725 €</w:t>
            </w:r>
          </w:p>
        </w:tc>
        <w:tc>
          <w:tcPr>
            <w:tcW w:w="1545" w:type="dxa"/>
            <w:tcBorders>
              <w:top w:val="single" w:sz="8" w:space="0" w:color="2E74B5"/>
              <w:left w:val="nil"/>
              <w:bottom w:val="single" w:sz="8" w:space="0" w:color="2E74B5"/>
              <w:right w:val="single" w:sz="8" w:space="0" w:color="2E74B5"/>
            </w:tcBorders>
            <w:shd w:val="clear" w:color="auto" w:fill="auto"/>
          </w:tcPr>
          <w:p w14:paraId="7B8F54F1"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1.074 €</w:t>
            </w:r>
          </w:p>
        </w:tc>
        <w:tc>
          <w:tcPr>
            <w:tcW w:w="1530" w:type="dxa"/>
            <w:tcBorders>
              <w:top w:val="single" w:sz="8" w:space="0" w:color="2E74B5"/>
              <w:left w:val="nil"/>
              <w:bottom w:val="single" w:sz="8" w:space="0" w:color="2E74B5"/>
              <w:right w:val="single" w:sz="8" w:space="0" w:color="2E74B5"/>
            </w:tcBorders>
            <w:shd w:val="clear" w:color="auto" w:fill="auto"/>
          </w:tcPr>
          <w:p w14:paraId="44BA8E46"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349 €</w:t>
            </w:r>
          </w:p>
        </w:tc>
        <w:tc>
          <w:tcPr>
            <w:tcW w:w="1530" w:type="dxa"/>
            <w:tcBorders>
              <w:top w:val="single" w:sz="8" w:space="0" w:color="2E74B5"/>
              <w:left w:val="nil"/>
              <w:bottom w:val="single" w:sz="8" w:space="0" w:color="2E74B5"/>
              <w:right w:val="single" w:sz="8" w:space="0" w:color="2E74B5"/>
            </w:tcBorders>
            <w:shd w:val="clear" w:color="auto" w:fill="auto"/>
          </w:tcPr>
          <w:p w14:paraId="43F0DC7C"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4.188 €</w:t>
            </w:r>
          </w:p>
        </w:tc>
      </w:tr>
      <w:tr w:rsidR="00685EA3" w14:paraId="5402F5E3" w14:textId="77777777">
        <w:trPr>
          <w:trHeight w:val="229"/>
        </w:trPr>
        <w:tc>
          <w:tcPr>
            <w:tcW w:w="1905" w:type="dxa"/>
            <w:tcBorders>
              <w:top w:val="single" w:sz="8" w:space="0" w:color="2E74B5"/>
              <w:left w:val="nil"/>
              <w:bottom w:val="single" w:sz="8" w:space="0" w:color="2E74B5"/>
              <w:right w:val="single" w:sz="8" w:space="0" w:color="2E74B5"/>
            </w:tcBorders>
            <w:shd w:val="clear" w:color="auto" w:fill="auto"/>
          </w:tcPr>
          <w:p w14:paraId="6F09218A"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250.000 €</w:t>
            </w:r>
          </w:p>
        </w:tc>
        <w:tc>
          <w:tcPr>
            <w:tcW w:w="1530" w:type="dxa"/>
            <w:tcBorders>
              <w:top w:val="single" w:sz="8" w:space="0" w:color="2E74B5"/>
              <w:left w:val="nil"/>
              <w:bottom w:val="single" w:sz="8" w:space="0" w:color="2E74B5"/>
              <w:right w:val="single" w:sz="8" w:space="0" w:color="2E74B5"/>
            </w:tcBorders>
            <w:shd w:val="clear" w:color="auto" w:fill="auto"/>
          </w:tcPr>
          <w:p w14:paraId="4C589887"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5.000%</w:t>
            </w:r>
          </w:p>
        </w:tc>
        <w:tc>
          <w:tcPr>
            <w:tcW w:w="1410" w:type="dxa"/>
            <w:tcBorders>
              <w:top w:val="single" w:sz="8" w:space="0" w:color="2E74B5"/>
              <w:left w:val="nil"/>
              <w:bottom w:val="single" w:sz="8" w:space="0" w:color="2E74B5"/>
              <w:right w:val="single" w:sz="8" w:space="0" w:color="2E74B5"/>
            </w:tcBorders>
            <w:shd w:val="clear" w:color="auto" w:fill="auto"/>
          </w:tcPr>
          <w:p w14:paraId="7DE0545F"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 xml:space="preserve">906€ </w:t>
            </w:r>
          </w:p>
        </w:tc>
        <w:tc>
          <w:tcPr>
            <w:tcW w:w="1545" w:type="dxa"/>
            <w:tcBorders>
              <w:top w:val="single" w:sz="8" w:space="0" w:color="2E74B5"/>
              <w:left w:val="nil"/>
              <w:bottom w:val="single" w:sz="8" w:space="0" w:color="2E74B5"/>
              <w:right w:val="single" w:sz="8" w:space="0" w:color="2E74B5"/>
            </w:tcBorders>
            <w:shd w:val="clear" w:color="auto" w:fill="auto"/>
          </w:tcPr>
          <w:p w14:paraId="2211BED8"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1.342 €</w:t>
            </w:r>
          </w:p>
        </w:tc>
        <w:tc>
          <w:tcPr>
            <w:tcW w:w="1530" w:type="dxa"/>
            <w:tcBorders>
              <w:top w:val="single" w:sz="8" w:space="0" w:color="2E74B5"/>
              <w:left w:val="nil"/>
              <w:bottom w:val="single" w:sz="8" w:space="0" w:color="2E74B5"/>
              <w:right w:val="single" w:sz="8" w:space="0" w:color="2E74B5"/>
            </w:tcBorders>
            <w:shd w:val="clear" w:color="auto" w:fill="auto"/>
          </w:tcPr>
          <w:p w14:paraId="1DD3218A"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436 €</w:t>
            </w:r>
          </w:p>
        </w:tc>
        <w:tc>
          <w:tcPr>
            <w:tcW w:w="1530" w:type="dxa"/>
            <w:tcBorders>
              <w:top w:val="single" w:sz="8" w:space="0" w:color="2E74B5"/>
              <w:left w:val="nil"/>
              <w:bottom w:val="single" w:sz="8" w:space="0" w:color="2E74B5"/>
              <w:right w:val="single" w:sz="8" w:space="0" w:color="2E74B5"/>
            </w:tcBorders>
            <w:shd w:val="clear" w:color="auto" w:fill="auto"/>
          </w:tcPr>
          <w:p w14:paraId="47BA6008"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5.232 €</w:t>
            </w:r>
          </w:p>
        </w:tc>
      </w:tr>
      <w:tr w:rsidR="00685EA3" w14:paraId="4F7E3C74" w14:textId="77777777">
        <w:trPr>
          <w:trHeight w:val="229"/>
        </w:trPr>
        <w:tc>
          <w:tcPr>
            <w:tcW w:w="1905" w:type="dxa"/>
            <w:tcBorders>
              <w:top w:val="single" w:sz="8" w:space="0" w:color="2E74B5"/>
              <w:left w:val="nil"/>
              <w:bottom w:val="single" w:sz="8" w:space="0" w:color="2E74B5"/>
              <w:right w:val="single" w:sz="8" w:space="0" w:color="2E74B5"/>
            </w:tcBorders>
            <w:shd w:val="clear" w:color="auto" w:fill="auto"/>
          </w:tcPr>
          <w:p w14:paraId="109FDD49"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300.000 €</w:t>
            </w:r>
          </w:p>
        </w:tc>
        <w:tc>
          <w:tcPr>
            <w:tcW w:w="1530" w:type="dxa"/>
            <w:tcBorders>
              <w:top w:val="single" w:sz="8" w:space="0" w:color="2E74B5"/>
              <w:left w:val="nil"/>
              <w:bottom w:val="single" w:sz="8" w:space="0" w:color="2E74B5"/>
              <w:right w:val="single" w:sz="8" w:space="0" w:color="2E74B5"/>
            </w:tcBorders>
            <w:shd w:val="clear" w:color="auto" w:fill="auto"/>
          </w:tcPr>
          <w:p w14:paraId="5FF8E87F"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5.000%</w:t>
            </w:r>
          </w:p>
        </w:tc>
        <w:tc>
          <w:tcPr>
            <w:tcW w:w="1410" w:type="dxa"/>
            <w:tcBorders>
              <w:top w:val="single" w:sz="8" w:space="0" w:color="2E74B5"/>
              <w:left w:val="nil"/>
              <w:bottom w:val="single" w:sz="8" w:space="0" w:color="2E74B5"/>
              <w:right w:val="single" w:sz="8" w:space="0" w:color="2E74B5"/>
            </w:tcBorders>
            <w:shd w:val="clear" w:color="auto" w:fill="auto"/>
          </w:tcPr>
          <w:p w14:paraId="6AFC4C11"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1.087 €</w:t>
            </w:r>
          </w:p>
        </w:tc>
        <w:tc>
          <w:tcPr>
            <w:tcW w:w="1545" w:type="dxa"/>
            <w:tcBorders>
              <w:top w:val="single" w:sz="8" w:space="0" w:color="2E74B5"/>
              <w:left w:val="nil"/>
              <w:bottom w:val="single" w:sz="8" w:space="0" w:color="2E74B5"/>
              <w:right w:val="single" w:sz="8" w:space="0" w:color="2E74B5"/>
            </w:tcBorders>
            <w:shd w:val="clear" w:color="auto" w:fill="auto"/>
          </w:tcPr>
          <w:p w14:paraId="6BFF12A6"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1.610 €</w:t>
            </w:r>
          </w:p>
        </w:tc>
        <w:tc>
          <w:tcPr>
            <w:tcW w:w="1530" w:type="dxa"/>
            <w:tcBorders>
              <w:top w:val="single" w:sz="8" w:space="0" w:color="2E74B5"/>
              <w:left w:val="nil"/>
              <w:bottom w:val="single" w:sz="8" w:space="0" w:color="2E74B5"/>
              <w:right w:val="single" w:sz="8" w:space="0" w:color="2E74B5"/>
            </w:tcBorders>
            <w:shd w:val="clear" w:color="auto" w:fill="auto"/>
          </w:tcPr>
          <w:p w14:paraId="337B487E"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523 €</w:t>
            </w:r>
          </w:p>
        </w:tc>
        <w:tc>
          <w:tcPr>
            <w:tcW w:w="1530" w:type="dxa"/>
            <w:tcBorders>
              <w:top w:val="single" w:sz="8" w:space="0" w:color="2E74B5"/>
              <w:left w:val="nil"/>
              <w:bottom w:val="single" w:sz="8" w:space="0" w:color="2E74B5"/>
              <w:right w:val="single" w:sz="8" w:space="0" w:color="2E74B5"/>
            </w:tcBorders>
            <w:shd w:val="clear" w:color="auto" w:fill="auto"/>
          </w:tcPr>
          <w:p w14:paraId="1B98C9B1"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6.276 €</w:t>
            </w:r>
          </w:p>
        </w:tc>
      </w:tr>
      <w:tr w:rsidR="00685EA3" w14:paraId="0044CC1E" w14:textId="77777777">
        <w:trPr>
          <w:trHeight w:val="229"/>
        </w:trPr>
        <w:tc>
          <w:tcPr>
            <w:tcW w:w="1905" w:type="dxa"/>
            <w:tcBorders>
              <w:top w:val="single" w:sz="8" w:space="0" w:color="2E74B5"/>
              <w:left w:val="nil"/>
              <w:bottom w:val="single" w:sz="8" w:space="0" w:color="2E74B5"/>
              <w:right w:val="single" w:sz="8" w:space="0" w:color="2E74B5"/>
            </w:tcBorders>
            <w:shd w:val="clear" w:color="auto" w:fill="auto"/>
          </w:tcPr>
          <w:p w14:paraId="38E20DFA"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350.000 €</w:t>
            </w:r>
          </w:p>
        </w:tc>
        <w:tc>
          <w:tcPr>
            <w:tcW w:w="1530" w:type="dxa"/>
            <w:tcBorders>
              <w:top w:val="single" w:sz="8" w:space="0" w:color="2E74B5"/>
              <w:left w:val="nil"/>
              <w:bottom w:val="single" w:sz="8" w:space="0" w:color="2E74B5"/>
              <w:right w:val="single" w:sz="8" w:space="0" w:color="2E74B5"/>
            </w:tcBorders>
            <w:shd w:val="clear" w:color="auto" w:fill="auto"/>
          </w:tcPr>
          <w:p w14:paraId="533EEF82"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5.000%</w:t>
            </w:r>
          </w:p>
        </w:tc>
        <w:tc>
          <w:tcPr>
            <w:tcW w:w="1410" w:type="dxa"/>
            <w:tcBorders>
              <w:top w:val="single" w:sz="8" w:space="0" w:color="2E74B5"/>
              <w:left w:val="nil"/>
              <w:bottom w:val="single" w:sz="8" w:space="0" w:color="2E74B5"/>
              <w:right w:val="single" w:sz="8" w:space="0" w:color="2E74B5"/>
            </w:tcBorders>
            <w:shd w:val="clear" w:color="auto" w:fill="auto"/>
          </w:tcPr>
          <w:p w14:paraId="30773734"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1.268 €</w:t>
            </w:r>
          </w:p>
        </w:tc>
        <w:tc>
          <w:tcPr>
            <w:tcW w:w="1545" w:type="dxa"/>
            <w:tcBorders>
              <w:top w:val="single" w:sz="8" w:space="0" w:color="2E74B5"/>
              <w:left w:val="nil"/>
              <w:bottom w:val="single" w:sz="8" w:space="0" w:color="2E74B5"/>
              <w:right w:val="single" w:sz="8" w:space="0" w:color="2E74B5"/>
            </w:tcBorders>
            <w:shd w:val="clear" w:color="auto" w:fill="auto"/>
          </w:tcPr>
          <w:p w14:paraId="688D8BB9"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1.879 €</w:t>
            </w:r>
          </w:p>
        </w:tc>
        <w:tc>
          <w:tcPr>
            <w:tcW w:w="1530" w:type="dxa"/>
            <w:tcBorders>
              <w:top w:val="single" w:sz="8" w:space="0" w:color="2E74B5"/>
              <w:left w:val="nil"/>
              <w:bottom w:val="single" w:sz="8" w:space="0" w:color="2E74B5"/>
              <w:right w:val="single" w:sz="8" w:space="0" w:color="2E74B5"/>
            </w:tcBorders>
            <w:shd w:val="clear" w:color="auto" w:fill="auto"/>
          </w:tcPr>
          <w:p w14:paraId="19361D23"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611 €</w:t>
            </w:r>
          </w:p>
        </w:tc>
        <w:tc>
          <w:tcPr>
            <w:tcW w:w="1530" w:type="dxa"/>
            <w:tcBorders>
              <w:top w:val="single" w:sz="8" w:space="0" w:color="2E74B5"/>
              <w:left w:val="nil"/>
              <w:bottom w:val="single" w:sz="8" w:space="0" w:color="2E74B5"/>
              <w:right w:val="single" w:sz="8" w:space="0" w:color="2E74B5"/>
            </w:tcBorders>
            <w:shd w:val="clear" w:color="auto" w:fill="auto"/>
          </w:tcPr>
          <w:p w14:paraId="4C0894E4"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7.332 €</w:t>
            </w:r>
          </w:p>
        </w:tc>
      </w:tr>
    </w:tbl>
    <w:p w14:paraId="6A5753D7" w14:textId="77777777" w:rsidR="00685EA3" w:rsidRDefault="00685EA3">
      <w:pPr>
        <w:shd w:val="clear" w:color="auto" w:fill="FFFFFF"/>
        <w:spacing w:before="280" w:after="280"/>
        <w:jc w:val="both"/>
        <w:rPr>
          <w:rFonts w:ascii="Open Sans" w:eastAsia="Open Sans" w:hAnsi="Open Sans" w:cs="Open Sans"/>
          <w:sz w:val="21"/>
          <w:szCs w:val="21"/>
        </w:rPr>
      </w:pPr>
    </w:p>
    <w:p w14:paraId="3338611C" w14:textId="77777777" w:rsidR="00685EA3"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lastRenderedPageBreak/>
        <w:t>Pero esta subida del precio también afecta a las hipotecas a tipo fijo. No a las ya concedidas, que estas no se alterarán, sino a las que están en proceso de negociación en estos momentos y a las futuras. El interés por comprar vivienda está en niveles muy intensos de demanda, por lo que los ciudadanos se encuentran continúan en contacto con las entidades financieras para solicitar financiación que le permita adquirir una vivienda. Esta casuística genera el resurgimiento de las hipotecas mixtas, en detrimento de las de tipo fijo.</w:t>
      </w:r>
    </w:p>
    <w:p w14:paraId="14F236A8" w14:textId="77777777" w:rsidR="00685EA3"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b/>
          <w:color w:val="303AB2"/>
          <w:sz w:val="21"/>
          <w:szCs w:val="21"/>
        </w:rPr>
        <w:t>El riesgo de la escalada del Euríbor</w:t>
      </w:r>
    </w:p>
    <w:p w14:paraId="2B278973" w14:textId="77777777" w:rsidR="00685EA3"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La gran mayoría de préstamos sobre vivienda están referenciados al Euríbor, pero la mayor vulnerabilidad solo se presentaría en las hipotecas variables firmadas en los últimos seis años, durante el periodo negativo del Euríbor. Estos créditos, que equivalen a un 16% del total de operaciones en España, son quienes realmente se encontrarían en riesgo ya que el encarecimiento de su cuota podría suponer más de un 50%. Hay que tener en cuenta que estas hipotecas apenas han amortizado capital, porque en el primer tramo es cuando se pagan los intereses bancarios. Para estas, son para quienes se establecen las medidas de alivio de la carga hipotecaria que el Gobierno ha firmado con las patronales bancarias con el fin de evitar aumentos en la tasa de morosidad de las entidades financieras. </w:t>
      </w:r>
    </w:p>
    <w:p w14:paraId="26D0C005" w14:textId="77777777" w:rsidR="00685EA3"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Este crecimiento del Euríbor marca un nuevo récord de velocidad, superando el incremento del año 2000 en el que el índice escaló del 3,301% al hasta el 5,219% en tan solo 8 meses. En la actualidad, el Euríbor ha pasado del -0,237% en marzo de 2022 a rozar el 4,000 en su tasa diaria en solo un año (sin tener en cuenta las caídas de los últimos días). A continuación se realiza un análisis que permite estimar cuánto se encarece la cuota mensual variable por cada 100 puntos básicos que aumenta el Euríbor.</w:t>
      </w:r>
    </w:p>
    <w:p w14:paraId="31633EFB" w14:textId="77777777" w:rsidR="00685EA3" w:rsidRDefault="00000000">
      <w:pPr>
        <w:shd w:val="clear" w:color="auto" w:fill="FFFFFF"/>
        <w:spacing w:before="280" w:after="280"/>
        <w:jc w:val="center"/>
        <w:rPr>
          <w:rFonts w:ascii="Open Sans" w:eastAsia="Open Sans" w:hAnsi="Open Sans" w:cs="Open Sans"/>
          <w:color w:val="303AB2"/>
          <w:sz w:val="21"/>
          <w:szCs w:val="21"/>
        </w:rPr>
      </w:pPr>
      <w:r>
        <w:rPr>
          <w:rFonts w:ascii="Open Sans" w:eastAsia="Open Sans" w:hAnsi="Open Sans" w:cs="Open Sans"/>
          <w:color w:val="303AB2"/>
          <w:sz w:val="21"/>
          <w:szCs w:val="21"/>
        </w:rPr>
        <w:t>Análisis de encarecimiento según el incremento del Euríbor por cada 100 puntos básicos</w:t>
      </w:r>
    </w:p>
    <w:tbl>
      <w:tblPr>
        <w:tblStyle w:val="af5"/>
        <w:tblW w:w="9315" w:type="dxa"/>
        <w:tblInd w:w="-61" w:type="dxa"/>
        <w:tblLayout w:type="fixed"/>
        <w:tblLook w:val="0400" w:firstRow="0" w:lastRow="0" w:firstColumn="0" w:lastColumn="0" w:noHBand="0" w:noVBand="1"/>
      </w:tblPr>
      <w:tblGrid>
        <w:gridCol w:w="2070"/>
        <w:gridCol w:w="2010"/>
        <w:gridCol w:w="1545"/>
        <w:gridCol w:w="1215"/>
        <w:gridCol w:w="2475"/>
      </w:tblGrid>
      <w:tr w:rsidR="00685EA3" w14:paraId="02CC12D2" w14:textId="77777777">
        <w:trPr>
          <w:trHeight w:val="1124"/>
        </w:trPr>
        <w:tc>
          <w:tcPr>
            <w:tcW w:w="2070" w:type="dxa"/>
            <w:tcBorders>
              <w:top w:val="single" w:sz="8" w:space="0" w:color="2E74B5"/>
              <w:left w:val="nil"/>
              <w:bottom w:val="nil"/>
              <w:right w:val="single" w:sz="8" w:space="0" w:color="2E74B5"/>
            </w:tcBorders>
            <w:shd w:val="clear" w:color="auto" w:fill="9CC2E5"/>
            <w:vAlign w:val="center"/>
          </w:tcPr>
          <w:p w14:paraId="477401BE"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Hipoteca sobre vivienda al 1.0% de interés variable</w:t>
            </w:r>
          </w:p>
        </w:tc>
        <w:tc>
          <w:tcPr>
            <w:tcW w:w="2010" w:type="dxa"/>
            <w:tcBorders>
              <w:top w:val="single" w:sz="8" w:space="0" w:color="2E74B5"/>
              <w:left w:val="nil"/>
              <w:bottom w:val="nil"/>
              <w:right w:val="single" w:sz="8" w:space="0" w:color="2E74B5"/>
            </w:tcBorders>
            <w:shd w:val="clear" w:color="auto" w:fill="9CC2E5"/>
            <w:vAlign w:val="center"/>
          </w:tcPr>
          <w:p w14:paraId="4873B8B4"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Euríbor estimado +1% diferencial</w:t>
            </w:r>
          </w:p>
        </w:tc>
        <w:tc>
          <w:tcPr>
            <w:tcW w:w="1545" w:type="dxa"/>
            <w:tcBorders>
              <w:top w:val="single" w:sz="8" w:space="0" w:color="2E74B5"/>
              <w:left w:val="nil"/>
              <w:bottom w:val="nil"/>
              <w:right w:val="single" w:sz="8" w:space="0" w:color="2E74B5"/>
            </w:tcBorders>
            <w:shd w:val="clear" w:color="auto" w:fill="9CC2E5"/>
            <w:vAlign w:val="center"/>
          </w:tcPr>
          <w:p w14:paraId="1A81B3B3"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Cuota mensual</w:t>
            </w:r>
          </w:p>
        </w:tc>
        <w:tc>
          <w:tcPr>
            <w:tcW w:w="1215" w:type="dxa"/>
            <w:tcBorders>
              <w:top w:val="single" w:sz="8" w:space="0" w:color="2E74B5"/>
              <w:left w:val="nil"/>
              <w:bottom w:val="nil"/>
              <w:right w:val="single" w:sz="8" w:space="0" w:color="2E74B5"/>
            </w:tcBorders>
            <w:shd w:val="clear" w:color="auto" w:fill="9CC2E5"/>
            <w:vAlign w:val="center"/>
          </w:tcPr>
          <w:p w14:paraId="7CD7997D"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Cuota anual</w:t>
            </w:r>
          </w:p>
        </w:tc>
        <w:tc>
          <w:tcPr>
            <w:tcW w:w="2475" w:type="dxa"/>
            <w:tcBorders>
              <w:top w:val="single" w:sz="8" w:space="0" w:color="2E74B5"/>
              <w:left w:val="nil"/>
              <w:bottom w:val="nil"/>
              <w:right w:val="single" w:sz="8" w:space="0" w:color="2E74B5"/>
            </w:tcBorders>
            <w:shd w:val="clear" w:color="auto" w:fill="9CC2E5"/>
            <w:vAlign w:val="center"/>
          </w:tcPr>
          <w:p w14:paraId="76284AD7"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Incremento de cuota según el crecimiento del Euríbor</w:t>
            </w:r>
          </w:p>
        </w:tc>
      </w:tr>
      <w:tr w:rsidR="00685EA3" w14:paraId="36791D87" w14:textId="77777777">
        <w:trPr>
          <w:trHeight w:val="229"/>
        </w:trPr>
        <w:tc>
          <w:tcPr>
            <w:tcW w:w="2070" w:type="dxa"/>
            <w:vMerge w:val="restart"/>
            <w:tcBorders>
              <w:top w:val="single" w:sz="8" w:space="0" w:color="2E74B5"/>
              <w:left w:val="nil"/>
              <w:bottom w:val="single" w:sz="8" w:space="0" w:color="2E74B5"/>
              <w:right w:val="single" w:sz="8" w:space="0" w:color="2E74B5"/>
            </w:tcBorders>
            <w:shd w:val="clear" w:color="auto" w:fill="auto"/>
          </w:tcPr>
          <w:p w14:paraId="69FAA760" w14:textId="77777777" w:rsidR="00685EA3" w:rsidRDefault="00685EA3">
            <w:pPr>
              <w:spacing w:line="240" w:lineRule="auto"/>
              <w:jc w:val="center"/>
              <w:rPr>
                <w:rFonts w:ascii="Open Sans" w:eastAsia="Open Sans" w:hAnsi="Open Sans" w:cs="Open Sans"/>
                <w:sz w:val="20"/>
                <w:szCs w:val="20"/>
              </w:rPr>
            </w:pPr>
          </w:p>
          <w:p w14:paraId="4FF40AB5"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Importe medio:</w:t>
            </w:r>
          </w:p>
          <w:p w14:paraId="604BA3C2"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 xml:space="preserve">150.000 € </w:t>
            </w:r>
          </w:p>
        </w:tc>
        <w:tc>
          <w:tcPr>
            <w:tcW w:w="2010" w:type="dxa"/>
            <w:tcBorders>
              <w:top w:val="single" w:sz="8" w:space="0" w:color="2E74B5"/>
              <w:left w:val="nil"/>
              <w:bottom w:val="single" w:sz="8" w:space="0" w:color="2E74B5"/>
              <w:right w:val="single" w:sz="8" w:space="0" w:color="2E74B5"/>
            </w:tcBorders>
            <w:shd w:val="clear" w:color="auto" w:fill="auto"/>
          </w:tcPr>
          <w:p w14:paraId="50D639CB"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2.000%</w:t>
            </w:r>
          </w:p>
        </w:tc>
        <w:tc>
          <w:tcPr>
            <w:tcW w:w="1545" w:type="dxa"/>
            <w:tcBorders>
              <w:top w:val="single" w:sz="8" w:space="0" w:color="2E74B5"/>
              <w:left w:val="nil"/>
              <w:bottom w:val="single" w:sz="8" w:space="0" w:color="2E74B5"/>
              <w:right w:val="single" w:sz="8" w:space="0" w:color="2E74B5"/>
            </w:tcBorders>
            <w:shd w:val="clear" w:color="auto" w:fill="auto"/>
          </w:tcPr>
          <w:p w14:paraId="4574054D"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554 €</w:t>
            </w:r>
          </w:p>
        </w:tc>
        <w:tc>
          <w:tcPr>
            <w:tcW w:w="1215" w:type="dxa"/>
            <w:tcBorders>
              <w:top w:val="single" w:sz="8" w:space="0" w:color="2E74B5"/>
              <w:left w:val="nil"/>
              <w:bottom w:val="single" w:sz="8" w:space="0" w:color="2E74B5"/>
              <w:right w:val="single" w:sz="8" w:space="0" w:color="2E74B5"/>
            </w:tcBorders>
            <w:shd w:val="clear" w:color="auto" w:fill="auto"/>
          </w:tcPr>
          <w:p w14:paraId="0EFC2BAC"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6.648 €</w:t>
            </w:r>
          </w:p>
        </w:tc>
        <w:tc>
          <w:tcPr>
            <w:tcW w:w="2475" w:type="dxa"/>
            <w:tcBorders>
              <w:top w:val="single" w:sz="8" w:space="0" w:color="2E74B5"/>
              <w:left w:val="nil"/>
              <w:bottom w:val="single" w:sz="8" w:space="0" w:color="2E74B5"/>
              <w:right w:val="single" w:sz="8" w:space="0" w:color="2E74B5"/>
            </w:tcBorders>
            <w:shd w:val="clear" w:color="auto" w:fill="auto"/>
          </w:tcPr>
          <w:p w14:paraId="7B243102"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w:t>
            </w:r>
          </w:p>
        </w:tc>
      </w:tr>
      <w:tr w:rsidR="00685EA3" w14:paraId="5FA83ACE" w14:textId="77777777">
        <w:trPr>
          <w:trHeight w:val="300"/>
        </w:trPr>
        <w:tc>
          <w:tcPr>
            <w:tcW w:w="2070" w:type="dxa"/>
            <w:vMerge/>
            <w:tcBorders>
              <w:top w:val="single" w:sz="8" w:space="0" w:color="2E74B5"/>
              <w:left w:val="nil"/>
              <w:bottom w:val="single" w:sz="8" w:space="0" w:color="2E74B5"/>
              <w:right w:val="single" w:sz="8" w:space="0" w:color="2E74B5"/>
            </w:tcBorders>
            <w:shd w:val="clear" w:color="auto" w:fill="auto"/>
          </w:tcPr>
          <w:p w14:paraId="5F6E8B00" w14:textId="77777777" w:rsidR="00685EA3" w:rsidRDefault="00685EA3">
            <w:pPr>
              <w:widowControl w:val="0"/>
              <w:pBdr>
                <w:top w:val="nil"/>
                <w:left w:val="nil"/>
                <w:bottom w:val="nil"/>
                <w:right w:val="nil"/>
                <w:between w:val="nil"/>
              </w:pBdr>
              <w:rPr>
                <w:rFonts w:ascii="Open Sans" w:eastAsia="Open Sans" w:hAnsi="Open Sans" w:cs="Open Sans"/>
                <w:b/>
                <w:sz w:val="20"/>
                <w:szCs w:val="20"/>
              </w:rPr>
            </w:pPr>
          </w:p>
        </w:tc>
        <w:tc>
          <w:tcPr>
            <w:tcW w:w="2010" w:type="dxa"/>
            <w:tcBorders>
              <w:top w:val="single" w:sz="8" w:space="0" w:color="2E74B5"/>
              <w:left w:val="nil"/>
              <w:bottom w:val="single" w:sz="8" w:space="0" w:color="2E74B5"/>
              <w:right w:val="single" w:sz="8" w:space="0" w:color="2E74B5"/>
            </w:tcBorders>
            <w:shd w:val="clear" w:color="auto" w:fill="auto"/>
          </w:tcPr>
          <w:p w14:paraId="2ED7595D"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3.000%</w:t>
            </w:r>
          </w:p>
        </w:tc>
        <w:tc>
          <w:tcPr>
            <w:tcW w:w="1545" w:type="dxa"/>
            <w:tcBorders>
              <w:top w:val="single" w:sz="8" w:space="0" w:color="2E74B5"/>
              <w:left w:val="nil"/>
              <w:bottom w:val="single" w:sz="8" w:space="0" w:color="2E74B5"/>
              <w:right w:val="single" w:sz="8" w:space="0" w:color="2E74B5"/>
            </w:tcBorders>
            <w:shd w:val="clear" w:color="auto" w:fill="auto"/>
          </w:tcPr>
          <w:p w14:paraId="168C20E0"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632 €</w:t>
            </w:r>
          </w:p>
        </w:tc>
        <w:tc>
          <w:tcPr>
            <w:tcW w:w="1215" w:type="dxa"/>
            <w:tcBorders>
              <w:top w:val="single" w:sz="8" w:space="0" w:color="2E74B5"/>
              <w:left w:val="nil"/>
              <w:bottom w:val="single" w:sz="8" w:space="0" w:color="2E74B5"/>
              <w:right w:val="single" w:sz="8" w:space="0" w:color="2E74B5"/>
            </w:tcBorders>
            <w:shd w:val="clear" w:color="auto" w:fill="auto"/>
          </w:tcPr>
          <w:p w14:paraId="18D5EDEB"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7.584 €</w:t>
            </w:r>
          </w:p>
        </w:tc>
        <w:tc>
          <w:tcPr>
            <w:tcW w:w="2475" w:type="dxa"/>
            <w:tcBorders>
              <w:top w:val="single" w:sz="8" w:space="0" w:color="2E74B5"/>
              <w:left w:val="nil"/>
              <w:bottom w:val="single" w:sz="8" w:space="0" w:color="2E74B5"/>
              <w:right w:val="single" w:sz="8" w:space="0" w:color="2E74B5"/>
            </w:tcBorders>
            <w:shd w:val="clear" w:color="auto" w:fill="auto"/>
          </w:tcPr>
          <w:p w14:paraId="62152138"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+936 €</w:t>
            </w:r>
          </w:p>
        </w:tc>
      </w:tr>
      <w:tr w:rsidR="00685EA3" w14:paraId="7F5A3F0F" w14:textId="77777777">
        <w:trPr>
          <w:trHeight w:val="229"/>
        </w:trPr>
        <w:tc>
          <w:tcPr>
            <w:tcW w:w="2070" w:type="dxa"/>
            <w:vMerge/>
            <w:tcBorders>
              <w:top w:val="single" w:sz="8" w:space="0" w:color="2E74B5"/>
              <w:left w:val="nil"/>
              <w:bottom w:val="single" w:sz="8" w:space="0" w:color="2E74B5"/>
              <w:right w:val="single" w:sz="8" w:space="0" w:color="2E74B5"/>
            </w:tcBorders>
            <w:shd w:val="clear" w:color="auto" w:fill="auto"/>
          </w:tcPr>
          <w:p w14:paraId="53E4EC64" w14:textId="77777777" w:rsidR="00685EA3" w:rsidRDefault="00685EA3">
            <w:pPr>
              <w:widowControl w:val="0"/>
              <w:pBdr>
                <w:top w:val="nil"/>
                <w:left w:val="nil"/>
                <w:bottom w:val="nil"/>
                <w:right w:val="nil"/>
                <w:between w:val="nil"/>
              </w:pBdr>
              <w:rPr>
                <w:rFonts w:ascii="Open Sans" w:eastAsia="Open Sans" w:hAnsi="Open Sans" w:cs="Open Sans"/>
                <w:b/>
                <w:sz w:val="20"/>
                <w:szCs w:val="20"/>
              </w:rPr>
            </w:pPr>
          </w:p>
        </w:tc>
        <w:tc>
          <w:tcPr>
            <w:tcW w:w="2010" w:type="dxa"/>
            <w:tcBorders>
              <w:top w:val="single" w:sz="8" w:space="0" w:color="2E74B5"/>
              <w:left w:val="nil"/>
              <w:bottom w:val="single" w:sz="8" w:space="0" w:color="2E74B5"/>
              <w:right w:val="single" w:sz="8" w:space="0" w:color="2E74B5"/>
            </w:tcBorders>
            <w:shd w:val="clear" w:color="auto" w:fill="auto"/>
          </w:tcPr>
          <w:p w14:paraId="104DA653"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4.000%</w:t>
            </w:r>
          </w:p>
        </w:tc>
        <w:tc>
          <w:tcPr>
            <w:tcW w:w="1545" w:type="dxa"/>
            <w:tcBorders>
              <w:top w:val="single" w:sz="8" w:space="0" w:color="2E74B5"/>
              <w:left w:val="nil"/>
              <w:bottom w:val="single" w:sz="8" w:space="0" w:color="2E74B5"/>
              <w:right w:val="single" w:sz="8" w:space="0" w:color="2E74B5"/>
            </w:tcBorders>
            <w:shd w:val="clear" w:color="auto" w:fill="auto"/>
          </w:tcPr>
          <w:p w14:paraId="0DF28A82"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716 €</w:t>
            </w:r>
          </w:p>
        </w:tc>
        <w:tc>
          <w:tcPr>
            <w:tcW w:w="1215" w:type="dxa"/>
            <w:tcBorders>
              <w:top w:val="single" w:sz="8" w:space="0" w:color="2E74B5"/>
              <w:left w:val="nil"/>
              <w:bottom w:val="single" w:sz="8" w:space="0" w:color="2E74B5"/>
              <w:right w:val="single" w:sz="8" w:space="0" w:color="2E74B5"/>
            </w:tcBorders>
            <w:shd w:val="clear" w:color="auto" w:fill="auto"/>
          </w:tcPr>
          <w:p w14:paraId="2CB8543A"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8.592 €</w:t>
            </w:r>
          </w:p>
        </w:tc>
        <w:tc>
          <w:tcPr>
            <w:tcW w:w="2475" w:type="dxa"/>
            <w:tcBorders>
              <w:top w:val="single" w:sz="8" w:space="0" w:color="2E74B5"/>
              <w:left w:val="nil"/>
              <w:bottom w:val="single" w:sz="8" w:space="0" w:color="2E74B5"/>
              <w:right w:val="single" w:sz="8" w:space="0" w:color="2E74B5"/>
            </w:tcBorders>
            <w:shd w:val="clear" w:color="auto" w:fill="auto"/>
          </w:tcPr>
          <w:p w14:paraId="3683F4FC"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+1.008 €</w:t>
            </w:r>
          </w:p>
        </w:tc>
      </w:tr>
      <w:tr w:rsidR="00685EA3" w14:paraId="6C534D5D" w14:textId="77777777">
        <w:trPr>
          <w:trHeight w:val="229"/>
        </w:trPr>
        <w:tc>
          <w:tcPr>
            <w:tcW w:w="2070" w:type="dxa"/>
            <w:vMerge/>
            <w:tcBorders>
              <w:top w:val="single" w:sz="8" w:space="0" w:color="2E74B5"/>
              <w:left w:val="nil"/>
              <w:bottom w:val="single" w:sz="8" w:space="0" w:color="2E74B5"/>
              <w:right w:val="single" w:sz="8" w:space="0" w:color="2E74B5"/>
            </w:tcBorders>
            <w:shd w:val="clear" w:color="auto" w:fill="auto"/>
          </w:tcPr>
          <w:p w14:paraId="443228A5" w14:textId="77777777" w:rsidR="00685EA3" w:rsidRDefault="00685EA3">
            <w:pPr>
              <w:widowControl w:val="0"/>
              <w:pBdr>
                <w:top w:val="nil"/>
                <w:left w:val="nil"/>
                <w:bottom w:val="nil"/>
                <w:right w:val="nil"/>
                <w:between w:val="nil"/>
              </w:pBdr>
              <w:rPr>
                <w:rFonts w:ascii="Open Sans" w:eastAsia="Open Sans" w:hAnsi="Open Sans" w:cs="Open Sans"/>
                <w:b/>
                <w:sz w:val="20"/>
                <w:szCs w:val="20"/>
              </w:rPr>
            </w:pPr>
          </w:p>
        </w:tc>
        <w:tc>
          <w:tcPr>
            <w:tcW w:w="2010" w:type="dxa"/>
            <w:tcBorders>
              <w:top w:val="single" w:sz="8" w:space="0" w:color="2E74B5"/>
              <w:left w:val="nil"/>
              <w:bottom w:val="single" w:sz="8" w:space="0" w:color="2E74B5"/>
              <w:right w:val="single" w:sz="8" w:space="0" w:color="2E74B5"/>
            </w:tcBorders>
            <w:shd w:val="clear" w:color="auto" w:fill="auto"/>
          </w:tcPr>
          <w:p w14:paraId="534E2811" w14:textId="77777777" w:rsidR="00685EA3" w:rsidRDefault="00000000">
            <w:pPr>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5.000%</w:t>
            </w:r>
          </w:p>
        </w:tc>
        <w:tc>
          <w:tcPr>
            <w:tcW w:w="1545" w:type="dxa"/>
            <w:tcBorders>
              <w:top w:val="single" w:sz="8" w:space="0" w:color="2E74B5"/>
              <w:left w:val="nil"/>
              <w:bottom w:val="single" w:sz="8" w:space="0" w:color="2E74B5"/>
              <w:right w:val="single" w:sz="8" w:space="0" w:color="2E74B5"/>
            </w:tcBorders>
            <w:shd w:val="clear" w:color="auto" w:fill="auto"/>
          </w:tcPr>
          <w:p w14:paraId="7864041E"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805 €</w:t>
            </w:r>
          </w:p>
        </w:tc>
        <w:tc>
          <w:tcPr>
            <w:tcW w:w="1215" w:type="dxa"/>
            <w:tcBorders>
              <w:top w:val="single" w:sz="8" w:space="0" w:color="2E74B5"/>
              <w:left w:val="nil"/>
              <w:bottom w:val="single" w:sz="8" w:space="0" w:color="2E74B5"/>
              <w:right w:val="single" w:sz="8" w:space="0" w:color="2E74B5"/>
            </w:tcBorders>
            <w:shd w:val="clear" w:color="auto" w:fill="auto"/>
          </w:tcPr>
          <w:p w14:paraId="2FFEDAFA"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9.660 €</w:t>
            </w:r>
          </w:p>
        </w:tc>
        <w:tc>
          <w:tcPr>
            <w:tcW w:w="2475" w:type="dxa"/>
            <w:tcBorders>
              <w:top w:val="single" w:sz="8" w:space="0" w:color="2E74B5"/>
              <w:left w:val="nil"/>
              <w:bottom w:val="single" w:sz="8" w:space="0" w:color="2E74B5"/>
              <w:right w:val="single" w:sz="8" w:space="0" w:color="2E74B5"/>
            </w:tcBorders>
            <w:shd w:val="clear" w:color="auto" w:fill="auto"/>
          </w:tcPr>
          <w:p w14:paraId="5F2367D5"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+1.068 €</w:t>
            </w:r>
          </w:p>
        </w:tc>
      </w:tr>
      <w:tr w:rsidR="00685EA3" w14:paraId="6DEDE519" w14:textId="77777777">
        <w:trPr>
          <w:trHeight w:val="229"/>
        </w:trPr>
        <w:tc>
          <w:tcPr>
            <w:tcW w:w="2070" w:type="dxa"/>
            <w:vMerge/>
            <w:tcBorders>
              <w:top w:val="single" w:sz="8" w:space="0" w:color="2E74B5"/>
              <w:left w:val="nil"/>
              <w:bottom w:val="single" w:sz="8" w:space="0" w:color="2E74B5"/>
              <w:right w:val="single" w:sz="8" w:space="0" w:color="2E74B5"/>
            </w:tcBorders>
            <w:shd w:val="clear" w:color="auto" w:fill="auto"/>
          </w:tcPr>
          <w:p w14:paraId="52CBD3B5" w14:textId="77777777" w:rsidR="00685EA3" w:rsidRDefault="00685EA3">
            <w:pPr>
              <w:widowControl w:val="0"/>
              <w:pBdr>
                <w:top w:val="nil"/>
                <w:left w:val="nil"/>
                <w:bottom w:val="nil"/>
                <w:right w:val="nil"/>
                <w:between w:val="nil"/>
              </w:pBdr>
              <w:rPr>
                <w:rFonts w:ascii="Open Sans" w:eastAsia="Open Sans" w:hAnsi="Open Sans" w:cs="Open Sans"/>
                <w:b/>
                <w:sz w:val="20"/>
                <w:szCs w:val="20"/>
              </w:rPr>
            </w:pPr>
          </w:p>
        </w:tc>
        <w:tc>
          <w:tcPr>
            <w:tcW w:w="2010" w:type="dxa"/>
            <w:tcBorders>
              <w:top w:val="single" w:sz="8" w:space="0" w:color="2E74B5"/>
              <w:left w:val="nil"/>
              <w:bottom w:val="single" w:sz="8" w:space="0" w:color="2E74B5"/>
              <w:right w:val="single" w:sz="8" w:space="0" w:color="2E74B5"/>
            </w:tcBorders>
            <w:shd w:val="clear" w:color="auto" w:fill="auto"/>
          </w:tcPr>
          <w:p w14:paraId="7085A862"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6.000%</w:t>
            </w:r>
          </w:p>
        </w:tc>
        <w:tc>
          <w:tcPr>
            <w:tcW w:w="1545" w:type="dxa"/>
            <w:tcBorders>
              <w:top w:val="single" w:sz="8" w:space="0" w:color="2E74B5"/>
              <w:left w:val="nil"/>
              <w:bottom w:val="single" w:sz="8" w:space="0" w:color="2E74B5"/>
              <w:right w:val="single" w:sz="8" w:space="0" w:color="2E74B5"/>
            </w:tcBorders>
            <w:shd w:val="clear" w:color="auto" w:fill="auto"/>
          </w:tcPr>
          <w:p w14:paraId="5299AB71"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899 €</w:t>
            </w:r>
          </w:p>
        </w:tc>
        <w:tc>
          <w:tcPr>
            <w:tcW w:w="1215" w:type="dxa"/>
            <w:tcBorders>
              <w:top w:val="single" w:sz="8" w:space="0" w:color="2E74B5"/>
              <w:left w:val="nil"/>
              <w:bottom w:val="single" w:sz="8" w:space="0" w:color="2E74B5"/>
              <w:right w:val="single" w:sz="8" w:space="0" w:color="2E74B5"/>
            </w:tcBorders>
            <w:shd w:val="clear" w:color="auto" w:fill="auto"/>
          </w:tcPr>
          <w:p w14:paraId="6C52E0FE" w14:textId="77777777" w:rsidR="00685EA3" w:rsidRDefault="00000000">
            <w:pPr>
              <w:spacing w:line="240" w:lineRule="auto"/>
              <w:jc w:val="center"/>
              <w:rPr>
                <w:rFonts w:ascii="Open Sans" w:eastAsia="Open Sans" w:hAnsi="Open Sans" w:cs="Open Sans"/>
                <w:sz w:val="20"/>
                <w:szCs w:val="20"/>
              </w:rPr>
            </w:pPr>
            <w:r>
              <w:rPr>
                <w:rFonts w:ascii="Open Sans" w:eastAsia="Open Sans" w:hAnsi="Open Sans" w:cs="Open Sans"/>
                <w:sz w:val="20"/>
                <w:szCs w:val="20"/>
              </w:rPr>
              <w:t>10.788 €</w:t>
            </w:r>
          </w:p>
        </w:tc>
        <w:tc>
          <w:tcPr>
            <w:tcW w:w="2475" w:type="dxa"/>
            <w:tcBorders>
              <w:top w:val="single" w:sz="8" w:space="0" w:color="2E74B5"/>
              <w:left w:val="nil"/>
              <w:bottom w:val="single" w:sz="8" w:space="0" w:color="2E74B5"/>
              <w:right w:val="single" w:sz="8" w:space="0" w:color="2E74B5"/>
            </w:tcBorders>
            <w:shd w:val="clear" w:color="auto" w:fill="auto"/>
          </w:tcPr>
          <w:p w14:paraId="428E7366" w14:textId="77777777" w:rsidR="00685EA3" w:rsidRDefault="00000000">
            <w:pPr>
              <w:spacing w:line="240" w:lineRule="auto"/>
              <w:jc w:val="center"/>
              <w:rPr>
                <w:rFonts w:ascii="Open Sans" w:eastAsia="Open Sans" w:hAnsi="Open Sans" w:cs="Open Sans"/>
                <w:b/>
                <w:sz w:val="20"/>
                <w:szCs w:val="20"/>
              </w:rPr>
            </w:pPr>
            <w:r>
              <w:rPr>
                <w:rFonts w:ascii="Open Sans" w:eastAsia="Open Sans" w:hAnsi="Open Sans" w:cs="Open Sans"/>
                <w:b/>
                <w:sz w:val="20"/>
                <w:szCs w:val="20"/>
              </w:rPr>
              <w:t>+1.128 €</w:t>
            </w:r>
          </w:p>
        </w:tc>
      </w:tr>
    </w:tbl>
    <w:p w14:paraId="5A7AD024" w14:textId="77777777" w:rsidR="00685EA3" w:rsidRDefault="00685EA3">
      <w:pPr>
        <w:shd w:val="clear" w:color="auto" w:fill="FFFFFF"/>
        <w:spacing w:before="280" w:after="280"/>
        <w:jc w:val="both"/>
        <w:rPr>
          <w:rFonts w:ascii="Open Sans" w:eastAsia="Open Sans" w:hAnsi="Open Sans" w:cs="Open Sans"/>
          <w:sz w:val="21"/>
          <w:szCs w:val="21"/>
        </w:rPr>
      </w:pPr>
    </w:p>
    <w:p w14:paraId="348FC9D3" w14:textId="77777777" w:rsidR="00685EA3" w:rsidRDefault="00685EA3">
      <w:pPr>
        <w:shd w:val="clear" w:color="auto" w:fill="FFFFFF"/>
        <w:spacing w:before="280" w:after="280"/>
        <w:jc w:val="both"/>
        <w:rPr>
          <w:rFonts w:ascii="Open Sans" w:eastAsia="Open Sans" w:hAnsi="Open Sans" w:cs="Open Sans"/>
          <w:sz w:val="21"/>
          <w:szCs w:val="21"/>
        </w:rPr>
      </w:pPr>
    </w:p>
    <w:p w14:paraId="0B3E67D7" w14:textId="77777777" w:rsidR="00685EA3" w:rsidRDefault="00685EA3">
      <w:pPr>
        <w:shd w:val="clear" w:color="auto" w:fill="FFFFFF"/>
        <w:spacing w:before="280" w:after="280"/>
        <w:jc w:val="both"/>
        <w:rPr>
          <w:rFonts w:ascii="Open Sans" w:eastAsia="Open Sans" w:hAnsi="Open Sans" w:cs="Open Sans"/>
          <w:sz w:val="21"/>
          <w:szCs w:val="21"/>
        </w:rPr>
      </w:pPr>
    </w:p>
    <w:p w14:paraId="660F9066" w14:textId="77777777" w:rsidR="00685EA3" w:rsidRDefault="00000000">
      <w:pPr>
        <w:shd w:val="clear" w:color="auto" w:fill="FFFFFF"/>
        <w:spacing w:before="280" w:after="280"/>
        <w:jc w:val="both"/>
        <w:rPr>
          <w:rFonts w:ascii="Open Sans" w:eastAsia="Open Sans" w:hAnsi="Open Sans" w:cs="Open Sans"/>
          <w:color w:val="303AB2"/>
          <w:sz w:val="23"/>
          <w:szCs w:val="23"/>
        </w:rPr>
      </w:pPr>
      <w:r>
        <w:rPr>
          <w:rFonts w:ascii="Open Sans" w:eastAsia="Open Sans" w:hAnsi="Open Sans" w:cs="Open Sans"/>
          <w:b/>
          <w:color w:val="303AB2"/>
          <w:sz w:val="21"/>
          <w:szCs w:val="21"/>
        </w:rPr>
        <w:lastRenderedPageBreak/>
        <w:t>Cambio de ciclo en el tipo de financiación hipotecaria</w:t>
      </w:r>
    </w:p>
    <w:p w14:paraId="7E239475" w14:textId="77777777" w:rsidR="00685EA3"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Esta nueva política monetaria está suponiendo un cambio de ciclo para la financiación hipotecaria. Con el Euríbor en negativo, las entidades financieras se habían adaptado a la situación abaratando las hipotecas fijas para estimular las ventas, ocasionando grandes bajadas de precio cercanas al 1% de interés en 2021, lo que fomentó la firma de hipotecas a tipo fijo hasta el punto de asistir a uno de los porcentajes más altos de la serie histórica: el 75% de las hipotecas sobre vivienda se constituyeron a tipo fijo en abril en 2022. Sin embargo, desde ese mismo mes esta cifra ha ido descendiendo paulatinamente debido al cambio en las condiciones bancarias.</w:t>
      </w:r>
    </w:p>
    <w:p w14:paraId="360352ED" w14:textId="77777777" w:rsidR="00685EA3"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Otro cambio destacable se produce en las novaciones hipotecarias, donde el porcentaje de hipotecas a interés fijo aumentó del 13,2% al 53,8%, mientras que el de hipotecas a interés variable disminuye del 85,7% al 44,2%. Este es un reflejo de la preocupación de los ciudadanos por la subida tan acelerada del Euríbor.</w:t>
      </w:r>
    </w:p>
    <w:p w14:paraId="389122D8" w14:textId="77777777" w:rsidR="00685EA3"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 el inmobiliario ya se ha detectado una leve moderación en la demanda de compra de vivienda. El 60% de los compradores se han visto afectados por el cambio de política monetaria y el 24% se han visto obligados a paralizar el proceso de adquisición de vivienda al considerar que las condiciones hipotecarias han dejado de ser atractivas según un </w:t>
      </w:r>
      <w:hyperlink r:id="rId10">
        <w:r>
          <w:rPr>
            <w:rFonts w:ascii="Open Sans" w:eastAsia="Open Sans" w:hAnsi="Open Sans" w:cs="Open Sans"/>
            <w:color w:val="1155CC"/>
            <w:sz w:val="21"/>
            <w:szCs w:val="21"/>
            <w:u w:val="single"/>
          </w:rPr>
          <w:t>reciente análisis</w:t>
        </w:r>
      </w:hyperlink>
      <w:r>
        <w:rPr>
          <w:rFonts w:ascii="Open Sans" w:eastAsia="Open Sans" w:hAnsi="Open Sans" w:cs="Open Sans"/>
          <w:sz w:val="21"/>
          <w:szCs w:val="21"/>
        </w:rPr>
        <w:t xml:space="preserve"> de Fotocasa Research. Sin embargo, también hay una parte muy importante de compradores que se han apresurado a cerrar los acuerdos con las entidades financieras para poder comprar la vivienda antes de un encarecimiento mayor. De hecho, este aceleramiento de la demanda está ocasionando subidas muy significativas en el precio de la vivienda de segunda mano, como la del </w:t>
      </w:r>
      <w:hyperlink r:id="rId11">
        <w:r>
          <w:rPr>
            <w:rFonts w:ascii="Open Sans" w:eastAsia="Open Sans" w:hAnsi="Open Sans" w:cs="Open Sans"/>
            <w:color w:val="1155CC"/>
            <w:sz w:val="21"/>
            <w:szCs w:val="21"/>
            <w:u w:val="single"/>
          </w:rPr>
          <w:t>9,9% interanual en febrero</w:t>
        </w:r>
      </w:hyperlink>
      <w:r>
        <w:rPr>
          <w:rFonts w:ascii="Open Sans" w:eastAsia="Open Sans" w:hAnsi="Open Sans" w:cs="Open Sans"/>
          <w:sz w:val="21"/>
          <w:szCs w:val="21"/>
        </w:rPr>
        <w:t>. El incremento del precio más alto desde la burbuja inmobiliaria en España.</w:t>
      </w:r>
    </w:p>
    <w:p w14:paraId="32F27CA8" w14:textId="77777777" w:rsidR="00685EA3"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b/>
          <w:color w:val="303AB2"/>
          <w:sz w:val="21"/>
          <w:szCs w:val="21"/>
        </w:rPr>
        <w:t>Previsión de recesión para 2023</w:t>
      </w:r>
    </w:p>
    <w:p w14:paraId="1BA4F7C0" w14:textId="77777777" w:rsidR="00685EA3"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Este cambio tendencial de los tipos de interés al 3,5% lastrará el ahorro de las familias y supondrá un mayor freno en el consumo de los hogares españoles. El encarecimiento del crédito hipotecario conllevará un gasto adicional que los ciudadanos tendrán que dejar de destinar a otros aspectos. En definitiva, esta quinta subida de tipos dificultará aún más el acceso a la vivienda en compra. La consecuencia más temprana es la moderación en las operaciones de compraventa y la reducción de la firma de hipotecas al contender la demanda.</w:t>
      </w:r>
    </w:p>
    <w:p w14:paraId="22C13580" w14:textId="77777777" w:rsidR="00685EA3"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Según los pronósticos, los tipos de interés seguirán subiendo en 2023 hasta que la inflación en la zona euro logre controlarse. Aunque ya ha dado un primer respiro bajando de los dos dígitos y la ralentización del crecimiento del precio de la energía parece que comienza a remitir, la cifra general todavía está alejada del objetivo del 2% de inflación, al que probablemente no se llegará hasta 2025.</w:t>
      </w:r>
    </w:p>
    <w:p w14:paraId="692E448B" w14:textId="77777777" w:rsidR="00685EA3"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lastRenderedPageBreak/>
        <w:t xml:space="preserve">Todo apunta a que España entrará en recesión técnica y que se detendrá el crecimiento de nuestra economía, ya que el BCE ha elegido recesión frente a estanflación. Se esperan más incrementos por parte de Christine Lagarde en mayo, junio y julio, por lo que podríamos estar en la mitad de la travesía de esta escalada. Por el mismo camino va la FED estadounidense, que ya ha elevado el precio del dinero al 4,5%, aunque esta cifra no se espera para Europa, ya que podría haber riesgo de aumentar la suspensión de pagos hipotecarios por parte de los ciudadanos. </w:t>
      </w:r>
    </w:p>
    <w:p w14:paraId="2F08688E" w14:textId="77777777" w:rsidR="00685EA3" w:rsidRDefault="00685EA3">
      <w:pPr>
        <w:shd w:val="clear" w:color="auto" w:fill="FFFFFF"/>
        <w:spacing w:before="280" w:after="280"/>
        <w:jc w:val="both"/>
        <w:rPr>
          <w:rFonts w:ascii="Open Sans Light" w:eastAsia="Open Sans Light" w:hAnsi="Open Sans Light" w:cs="Open Sans Light"/>
          <w:b/>
          <w:color w:val="303AB2"/>
        </w:rPr>
      </w:pPr>
    </w:p>
    <w:p w14:paraId="709FE42D" w14:textId="77777777" w:rsidR="00685EA3" w:rsidRDefault="00000000">
      <w:pPr>
        <w:ind w:right="-716"/>
        <w:jc w:val="both"/>
        <w:rPr>
          <w:rFonts w:ascii="Open Sans" w:eastAsia="Open Sans" w:hAnsi="Open Sans" w:cs="Open Sans"/>
          <w:sz w:val="21"/>
          <w:szCs w:val="21"/>
        </w:rPr>
      </w:pPr>
      <w:r>
        <w:rPr>
          <w:rFonts w:ascii="Open Sans Light" w:eastAsia="Open Sans Light" w:hAnsi="Open Sans Light" w:cs="Open Sans Light"/>
          <w:b/>
          <w:color w:val="303AB2"/>
        </w:rPr>
        <w:t>Departamento Comunicación Fotocasa</w:t>
      </w:r>
    </w:p>
    <w:p w14:paraId="41019553" w14:textId="77777777" w:rsidR="00685EA3" w:rsidRDefault="00000000">
      <w:pPr>
        <w:shd w:val="clear" w:color="auto" w:fill="FFFFFF"/>
        <w:ind w:right="-716"/>
        <w:jc w:val="both"/>
        <w:rPr>
          <w:rFonts w:ascii="Open Sans" w:eastAsia="Open Sans" w:hAnsi="Open Sans" w:cs="Open Sans"/>
          <w:b/>
        </w:rPr>
      </w:pPr>
      <w:r>
        <w:rPr>
          <w:rFonts w:ascii="Open Sans" w:eastAsia="Open Sans" w:hAnsi="Open Sans" w:cs="Open Sans"/>
          <w:b/>
        </w:rPr>
        <w:t xml:space="preserve">Anaïs López </w:t>
      </w:r>
    </w:p>
    <w:p w14:paraId="74CA581B" w14:textId="77777777" w:rsidR="00685EA3" w:rsidRDefault="00000000">
      <w:pPr>
        <w:shd w:val="clear" w:color="auto" w:fill="FFFFFF"/>
        <w:ind w:right="-716"/>
        <w:jc w:val="both"/>
        <w:rPr>
          <w:rFonts w:ascii="Open Sans" w:eastAsia="Open Sans" w:hAnsi="Open Sans" w:cs="Open Sans"/>
          <w:b/>
        </w:rPr>
      </w:pPr>
      <w:hyperlink r:id="rId12">
        <w:r>
          <w:rPr>
            <w:rFonts w:ascii="Open Sans" w:eastAsia="Open Sans" w:hAnsi="Open Sans" w:cs="Open Sans"/>
            <w:color w:val="0000FF"/>
            <w:u w:val="single"/>
          </w:rPr>
          <w:t>comunicacion@fotocasa.es</w:t>
        </w:r>
      </w:hyperlink>
    </w:p>
    <w:p w14:paraId="11A3048A" w14:textId="77777777" w:rsidR="00685EA3" w:rsidRDefault="00000000">
      <w:pPr>
        <w:shd w:val="clear" w:color="auto" w:fill="FFFFFF"/>
        <w:ind w:right="-716"/>
        <w:jc w:val="both"/>
        <w:rPr>
          <w:rFonts w:ascii="Open Sans" w:eastAsia="Open Sans" w:hAnsi="Open Sans" w:cs="Open Sans"/>
        </w:rPr>
      </w:pPr>
      <w:r>
        <w:rPr>
          <w:rFonts w:ascii="Open Sans" w:eastAsia="Open Sans" w:hAnsi="Open Sans" w:cs="Open Sans"/>
        </w:rPr>
        <w:t>620 66 29 26</w:t>
      </w:r>
    </w:p>
    <w:p w14:paraId="35F1D802" w14:textId="77777777" w:rsidR="00685EA3" w:rsidRDefault="00685EA3">
      <w:pPr>
        <w:shd w:val="clear" w:color="auto" w:fill="FFFFFF"/>
        <w:ind w:right="-716"/>
        <w:jc w:val="both"/>
        <w:rPr>
          <w:rFonts w:ascii="Open Sans" w:eastAsia="Open Sans" w:hAnsi="Open Sans" w:cs="Open Sans"/>
          <w:b/>
        </w:rPr>
      </w:pPr>
    </w:p>
    <w:p w14:paraId="19F88F35" w14:textId="77777777" w:rsidR="00685EA3" w:rsidRDefault="00000000">
      <w:pPr>
        <w:ind w:right="-716"/>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Pr>
          <w:rFonts w:ascii="Open Sans Light" w:eastAsia="Open Sans Light" w:hAnsi="Open Sans Light" w:cs="Open Sans Light"/>
          <w:b/>
          <w:color w:val="303AB2"/>
        </w:rPr>
        <w:tab/>
        <w:t xml:space="preserve">               </w:t>
      </w:r>
    </w:p>
    <w:p w14:paraId="6F9AACDB" w14:textId="77777777" w:rsidR="00685EA3" w:rsidRDefault="00000000">
      <w:pPr>
        <w:shd w:val="clear" w:color="auto" w:fill="FFFFFF"/>
        <w:ind w:right="-716"/>
        <w:jc w:val="both"/>
        <w:rPr>
          <w:rFonts w:ascii="Open Sans" w:eastAsia="Open Sans" w:hAnsi="Open Sans" w:cs="Open Sans"/>
          <w:b/>
        </w:rPr>
      </w:pPr>
      <w:r>
        <w:rPr>
          <w:rFonts w:ascii="Open Sans" w:eastAsia="Open Sans" w:hAnsi="Open Sans" w:cs="Open Sans"/>
          <w:b/>
        </w:rPr>
        <w:t>Ramon Torné</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t xml:space="preserve">                     </w:t>
      </w:r>
    </w:p>
    <w:p w14:paraId="1BE64E23" w14:textId="77777777" w:rsidR="00685EA3" w:rsidRPr="00CD2991" w:rsidRDefault="00000000">
      <w:pPr>
        <w:shd w:val="clear" w:color="auto" w:fill="FFFFFF"/>
        <w:ind w:right="-716"/>
        <w:jc w:val="both"/>
        <w:rPr>
          <w:rFonts w:ascii="Open Sans" w:eastAsia="Open Sans" w:hAnsi="Open Sans" w:cs="Open Sans"/>
          <w:color w:val="0000FF"/>
          <w:u w:val="single"/>
          <w:lang w:val="en-US"/>
        </w:rPr>
      </w:pPr>
      <w:hyperlink r:id="rId13">
        <w:r w:rsidRPr="00CD2991">
          <w:rPr>
            <w:rFonts w:ascii="Open Sans" w:eastAsia="Open Sans" w:hAnsi="Open Sans" w:cs="Open Sans"/>
            <w:color w:val="0000FF"/>
            <w:u w:val="single"/>
            <w:lang w:val="en-US"/>
          </w:rPr>
          <w:t>rtorne@llorenteycuenca.com</w:t>
        </w:r>
      </w:hyperlink>
      <w:r w:rsidRPr="00CD2991">
        <w:rPr>
          <w:rFonts w:ascii="Open Sans" w:eastAsia="Open Sans" w:hAnsi="Open Sans" w:cs="Open Sans"/>
          <w:color w:val="0000FF"/>
          <w:lang w:val="en-US"/>
        </w:rPr>
        <w:tab/>
      </w:r>
      <w:r w:rsidRPr="00CD2991">
        <w:rPr>
          <w:rFonts w:ascii="Open Sans" w:eastAsia="Open Sans" w:hAnsi="Open Sans" w:cs="Open Sans"/>
          <w:color w:val="0000FF"/>
          <w:lang w:val="en-US"/>
        </w:rPr>
        <w:tab/>
      </w:r>
      <w:r w:rsidRPr="00CD2991">
        <w:rPr>
          <w:rFonts w:ascii="Open Sans" w:eastAsia="Open Sans" w:hAnsi="Open Sans" w:cs="Open Sans"/>
          <w:color w:val="0000FF"/>
          <w:lang w:val="en-US"/>
        </w:rPr>
        <w:tab/>
        <w:t xml:space="preserve">                       </w:t>
      </w:r>
    </w:p>
    <w:p w14:paraId="6D5062DD" w14:textId="77777777" w:rsidR="00685EA3" w:rsidRPr="00CD2991" w:rsidRDefault="00000000">
      <w:pPr>
        <w:shd w:val="clear" w:color="auto" w:fill="FFFFFF"/>
        <w:ind w:right="-716"/>
        <w:jc w:val="both"/>
        <w:rPr>
          <w:rFonts w:ascii="Open Sans" w:eastAsia="Open Sans" w:hAnsi="Open Sans" w:cs="Open Sans"/>
          <w:color w:val="0000FF"/>
          <w:u w:val="single"/>
          <w:lang w:val="en-US"/>
        </w:rPr>
      </w:pPr>
      <w:r w:rsidRPr="00CD2991">
        <w:rPr>
          <w:rFonts w:ascii="Open Sans" w:eastAsia="Open Sans" w:hAnsi="Open Sans" w:cs="Open Sans"/>
          <w:lang w:val="en-US"/>
        </w:rPr>
        <w:t xml:space="preserve">638 68 19 85      </w:t>
      </w:r>
      <w:r w:rsidRPr="00CD2991">
        <w:rPr>
          <w:rFonts w:ascii="Open Sans" w:eastAsia="Open Sans" w:hAnsi="Open Sans" w:cs="Open Sans"/>
          <w:lang w:val="en-US"/>
        </w:rPr>
        <w:tab/>
      </w:r>
      <w:r w:rsidRPr="00CD2991">
        <w:rPr>
          <w:rFonts w:ascii="Open Sans" w:eastAsia="Open Sans" w:hAnsi="Open Sans" w:cs="Open Sans"/>
          <w:lang w:val="en-US"/>
        </w:rPr>
        <w:tab/>
      </w:r>
      <w:r w:rsidRPr="00CD2991">
        <w:rPr>
          <w:rFonts w:ascii="Open Sans" w:eastAsia="Open Sans" w:hAnsi="Open Sans" w:cs="Open Sans"/>
          <w:lang w:val="en-US"/>
        </w:rPr>
        <w:tab/>
      </w:r>
      <w:r w:rsidRPr="00CD2991">
        <w:rPr>
          <w:rFonts w:ascii="Open Sans" w:eastAsia="Open Sans" w:hAnsi="Open Sans" w:cs="Open Sans"/>
          <w:lang w:val="en-US"/>
        </w:rPr>
        <w:tab/>
      </w:r>
      <w:r w:rsidRPr="00CD2991">
        <w:rPr>
          <w:rFonts w:ascii="Open Sans" w:eastAsia="Open Sans" w:hAnsi="Open Sans" w:cs="Open Sans"/>
          <w:lang w:val="en-US"/>
        </w:rPr>
        <w:tab/>
      </w:r>
      <w:r w:rsidRPr="00CD2991">
        <w:rPr>
          <w:rFonts w:ascii="Open Sans" w:eastAsia="Open Sans" w:hAnsi="Open Sans" w:cs="Open Sans"/>
          <w:lang w:val="en-US"/>
        </w:rPr>
        <w:tab/>
      </w:r>
      <w:r w:rsidRPr="00CD2991">
        <w:rPr>
          <w:rFonts w:ascii="Open Sans" w:eastAsia="Open Sans" w:hAnsi="Open Sans" w:cs="Open Sans"/>
          <w:lang w:val="en-US"/>
        </w:rPr>
        <w:tab/>
      </w:r>
      <w:r w:rsidRPr="00CD2991">
        <w:rPr>
          <w:rFonts w:ascii="Open Sans" w:eastAsia="Open Sans" w:hAnsi="Open Sans" w:cs="Open Sans"/>
          <w:lang w:val="en-US"/>
        </w:rPr>
        <w:tab/>
        <w:t xml:space="preserve">         </w:t>
      </w:r>
      <w:r w:rsidRPr="00CD2991">
        <w:rPr>
          <w:color w:val="222222"/>
          <w:lang w:val="en-US"/>
        </w:rPr>
        <w:tab/>
      </w:r>
      <w:r w:rsidRPr="00CD2991">
        <w:rPr>
          <w:color w:val="222222"/>
          <w:lang w:val="en-US"/>
        </w:rPr>
        <w:tab/>
        <w:t xml:space="preserve">                </w:t>
      </w:r>
      <w:r w:rsidRPr="00CD2991">
        <w:rPr>
          <w:color w:val="222222"/>
          <w:lang w:val="en-US"/>
        </w:rPr>
        <w:tab/>
      </w:r>
      <w:r w:rsidRPr="00CD2991">
        <w:rPr>
          <w:color w:val="222222"/>
          <w:lang w:val="en-US"/>
        </w:rPr>
        <w:tab/>
      </w:r>
      <w:r w:rsidRPr="00CD2991">
        <w:rPr>
          <w:color w:val="222222"/>
          <w:lang w:val="en-US"/>
        </w:rPr>
        <w:tab/>
      </w:r>
      <w:r w:rsidRPr="00CD2991">
        <w:rPr>
          <w:color w:val="222222"/>
          <w:lang w:val="en-US"/>
        </w:rPr>
        <w:tab/>
      </w:r>
      <w:r w:rsidRPr="00CD2991">
        <w:rPr>
          <w:color w:val="222222"/>
          <w:lang w:val="en-US"/>
        </w:rPr>
        <w:tab/>
        <w:t xml:space="preserve">     </w:t>
      </w:r>
    </w:p>
    <w:p w14:paraId="3FEDA36F" w14:textId="77777777" w:rsidR="00685EA3" w:rsidRPr="00CD2991" w:rsidRDefault="00000000">
      <w:pPr>
        <w:shd w:val="clear" w:color="auto" w:fill="FFFFFF"/>
        <w:spacing w:line="240" w:lineRule="auto"/>
        <w:ind w:right="-716"/>
        <w:jc w:val="both"/>
        <w:rPr>
          <w:rFonts w:ascii="Open Sans" w:eastAsia="Open Sans" w:hAnsi="Open Sans" w:cs="Open Sans"/>
          <w:b/>
          <w:lang w:val="en-US"/>
        </w:rPr>
      </w:pPr>
      <w:r w:rsidRPr="00CD2991">
        <w:rPr>
          <w:rFonts w:ascii="Open Sans" w:eastAsia="Open Sans" w:hAnsi="Open Sans" w:cs="Open Sans"/>
          <w:b/>
          <w:lang w:val="en-US"/>
        </w:rPr>
        <w:t>Fanny Merino</w:t>
      </w:r>
    </w:p>
    <w:p w14:paraId="1AA3A993" w14:textId="77777777" w:rsidR="00685EA3" w:rsidRPr="00CD2991" w:rsidRDefault="00000000">
      <w:pPr>
        <w:shd w:val="clear" w:color="auto" w:fill="FFFFFF"/>
        <w:spacing w:line="240" w:lineRule="auto"/>
        <w:ind w:right="-716"/>
        <w:jc w:val="both"/>
        <w:rPr>
          <w:rFonts w:ascii="Open Sans" w:eastAsia="Open Sans" w:hAnsi="Open Sans" w:cs="Open Sans"/>
          <w:b/>
          <w:lang w:val="en-US"/>
        </w:rPr>
      </w:pPr>
      <w:hyperlink r:id="rId14">
        <w:r w:rsidRPr="00CD2991">
          <w:rPr>
            <w:rFonts w:ascii="Open Sans" w:eastAsia="Open Sans" w:hAnsi="Open Sans" w:cs="Open Sans"/>
            <w:color w:val="0000FF"/>
            <w:u w:val="single"/>
            <w:lang w:val="en-US"/>
          </w:rPr>
          <w:t>emerino@llorenteycuenca.com</w:t>
        </w:r>
      </w:hyperlink>
      <w:r w:rsidRPr="00CD2991">
        <w:rPr>
          <w:rFonts w:ascii="Open Sans" w:eastAsia="Open Sans" w:hAnsi="Open Sans" w:cs="Open Sans"/>
          <w:color w:val="0000FF"/>
          <w:lang w:val="en-US"/>
        </w:rPr>
        <w:tab/>
      </w:r>
      <w:r w:rsidRPr="00CD2991">
        <w:rPr>
          <w:rFonts w:ascii="Open Sans" w:eastAsia="Open Sans" w:hAnsi="Open Sans" w:cs="Open Sans"/>
          <w:color w:val="0000FF"/>
          <w:lang w:val="en-US"/>
        </w:rPr>
        <w:tab/>
      </w:r>
    </w:p>
    <w:p w14:paraId="13AD347D" w14:textId="77777777" w:rsidR="00685EA3" w:rsidRPr="00CD2991" w:rsidRDefault="00000000">
      <w:pPr>
        <w:shd w:val="clear" w:color="auto" w:fill="FFFFFF"/>
        <w:spacing w:line="240" w:lineRule="auto"/>
        <w:ind w:right="-716"/>
        <w:jc w:val="both"/>
        <w:rPr>
          <w:rFonts w:ascii="Open Sans" w:eastAsia="Open Sans" w:hAnsi="Open Sans" w:cs="Open Sans"/>
          <w:lang w:val="en-US"/>
        </w:rPr>
      </w:pPr>
      <w:r w:rsidRPr="00CD2991">
        <w:rPr>
          <w:rFonts w:ascii="Open Sans" w:eastAsia="Open Sans" w:hAnsi="Open Sans" w:cs="Open Sans"/>
          <w:lang w:val="en-US"/>
        </w:rPr>
        <w:t>663 35 69 75 </w:t>
      </w:r>
    </w:p>
    <w:p w14:paraId="76C348D8" w14:textId="77777777" w:rsidR="00685EA3" w:rsidRPr="00CD2991" w:rsidRDefault="00685EA3">
      <w:pPr>
        <w:shd w:val="clear" w:color="auto" w:fill="FFFFFF"/>
        <w:spacing w:line="240" w:lineRule="auto"/>
        <w:ind w:right="-716"/>
        <w:jc w:val="both"/>
        <w:rPr>
          <w:rFonts w:ascii="Open Sans" w:eastAsia="Open Sans" w:hAnsi="Open Sans" w:cs="Open Sans"/>
          <w:lang w:val="en-US"/>
        </w:rPr>
      </w:pPr>
    </w:p>
    <w:p w14:paraId="3CCE7178" w14:textId="77777777" w:rsidR="00685EA3" w:rsidRPr="00CD2991" w:rsidRDefault="00000000">
      <w:pPr>
        <w:shd w:val="clear" w:color="auto" w:fill="FFFFFF"/>
        <w:spacing w:line="240" w:lineRule="auto"/>
        <w:ind w:right="-716"/>
        <w:jc w:val="both"/>
        <w:rPr>
          <w:rFonts w:ascii="Open Sans" w:eastAsia="Open Sans" w:hAnsi="Open Sans" w:cs="Open Sans"/>
          <w:b/>
          <w:lang w:val="en-US"/>
        </w:rPr>
      </w:pPr>
      <w:r w:rsidRPr="00CD2991">
        <w:rPr>
          <w:rFonts w:ascii="Open Sans" w:eastAsia="Open Sans" w:hAnsi="Open Sans" w:cs="Open Sans"/>
          <w:b/>
          <w:lang w:val="en-US"/>
        </w:rPr>
        <w:t>Paula Iglesias</w:t>
      </w:r>
    </w:p>
    <w:p w14:paraId="56E3CAC1" w14:textId="77777777" w:rsidR="00685EA3" w:rsidRPr="00CD2991" w:rsidRDefault="00000000">
      <w:pPr>
        <w:shd w:val="clear" w:color="auto" w:fill="FFFFFF"/>
        <w:spacing w:line="240" w:lineRule="auto"/>
        <w:ind w:right="-716"/>
        <w:jc w:val="both"/>
        <w:rPr>
          <w:rFonts w:ascii="Open Sans" w:eastAsia="Open Sans" w:hAnsi="Open Sans" w:cs="Open Sans"/>
          <w:b/>
          <w:lang w:val="en-US"/>
        </w:rPr>
      </w:pPr>
      <w:hyperlink r:id="rId15">
        <w:r w:rsidRPr="00CD2991">
          <w:rPr>
            <w:rFonts w:ascii="Open Sans" w:eastAsia="Open Sans" w:hAnsi="Open Sans" w:cs="Open Sans"/>
            <w:color w:val="0000FF"/>
            <w:u w:val="single"/>
            <w:lang w:val="en-US"/>
          </w:rPr>
          <w:t>piglesias@llorenteycuenca.com</w:t>
        </w:r>
      </w:hyperlink>
      <w:r w:rsidRPr="00CD2991">
        <w:rPr>
          <w:rFonts w:ascii="Open Sans" w:eastAsia="Open Sans" w:hAnsi="Open Sans" w:cs="Open Sans"/>
          <w:color w:val="0000FF"/>
          <w:lang w:val="en-US"/>
        </w:rPr>
        <w:tab/>
      </w:r>
      <w:r w:rsidRPr="00CD2991">
        <w:rPr>
          <w:rFonts w:ascii="Open Sans" w:eastAsia="Open Sans" w:hAnsi="Open Sans" w:cs="Open Sans"/>
          <w:color w:val="0000FF"/>
          <w:lang w:val="en-US"/>
        </w:rPr>
        <w:tab/>
      </w:r>
    </w:p>
    <w:p w14:paraId="7BE636DC" w14:textId="77777777" w:rsidR="00685EA3" w:rsidRDefault="00000000">
      <w:pPr>
        <w:shd w:val="clear" w:color="auto" w:fill="FFFFFF"/>
        <w:spacing w:line="240" w:lineRule="auto"/>
        <w:ind w:right="-716"/>
        <w:jc w:val="both"/>
      </w:pPr>
      <w:r>
        <w:rPr>
          <w:rFonts w:ascii="Open Sans" w:eastAsia="Open Sans" w:hAnsi="Open Sans" w:cs="Open Sans"/>
        </w:rPr>
        <w:t>662 450 236</w:t>
      </w:r>
    </w:p>
    <w:sectPr w:rsidR="00685EA3">
      <w:foot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2446" w14:textId="77777777" w:rsidR="00C248E2" w:rsidRDefault="00C248E2">
      <w:pPr>
        <w:spacing w:line="240" w:lineRule="auto"/>
      </w:pPr>
      <w:r>
        <w:separator/>
      </w:r>
    </w:p>
  </w:endnote>
  <w:endnote w:type="continuationSeparator" w:id="0">
    <w:p w14:paraId="6BB35EA5" w14:textId="77777777" w:rsidR="00C248E2" w:rsidRDefault="00C24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A71E" w14:textId="77777777" w:rsidR="00685EA3" w:rsidRDefault="00685EA3"/>
  <w:p w14:paraId="75B424EE" w14:textId="77777777" w:rsidR="00685EA3" w:rsidRDefault="00000000">
    <w:r>
      <w:rPr>
        <w:noProof/>
      </w:rPr>
      <w:drawing>
        <wp:anchor distT="0" distB="0" distL="0" distR="0" simplePos="0" relativeHeight="251658240" behindDoc="0" locked="0" layoutInCell="1" hidden="0" allowOverlap="1" wp14:anchorId="480273C5" wp14:editId="212021E9">
          <wp:simplePos x="0" y="0"/>
          <wp:positionH relativeFrom="column">
            <wp:posOffset>-1939288</wp:posOffset>
          </wp:positionH>
          <wp:positionV relativeFrom="paragraph">
            <wp:posOffset>177165</wp:posOffset>
          </wp:positionV>
          <wp:extent cx="8620125" cy="447675"/>
          <wp:effectExtent l="0" t="0" r="0" b="0"/>
          <wp:wrapSquare wrapText="bothSides" distT="0" distB="0" distL="0" distR="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BC69" w14:textId="77777777" w:rsidR="00C248E2" w:rsidRDefault="00C248E2">
      <w:pPr>
        <w:spacing w:line="240" w:lineRule="auto"/>
      </w:pPr>
      <w:r>
        <w:separator/>
      </w:r>
    </w:p>
  </w:footnote>
  <w:footnote w:type="continuationSeparator" w:id="0">
    <w:p w14:paraId="311EE76E" w14:textId="77777777" w:rsidR="00C248E2" w:rsidRDefault="00C248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672B2"/>
    <w:multiLevelType w:val="multilevel"/>
    <w:tmpl w:val="DA92C81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32409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A3"/>
    <w:rsid w:val="00685EA3"/>
    <w:rsid w:val="00C248E2"/>
    <w:rsid w:val="00CD29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AB17"/>
  <w15:docId w15:val="{7B3792AA-FFC5-46DD-B025-9B0C68FA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 w:type="table" w:customStyle="1" w:styleId="a">
    <w:basedOn w:val="TableNormal9"/>
    <w:tblPr>
      <w:tblStyleRowBandSize w:val="1"/>
      <w:tblStyleColBandSize w:val="1"/>
      <w:tblCellMar>
        <w:left w:w="70" w:type="dxa"/>
        <w:right w:w="70" w:type="dxa"/>
      </w:tblCellMar>
    </w:tblPr>
  </w:style>
  <w:style w:type="table" w:customStyle="1" w:styleId="a0">
    <w:basedOn w:val="TableNormal9"/>
    <w:tblPr>
      <w:tblStyleRowBandSize w:val="1"/>
      <w:tblStyleColBandSize w:val="1"/>
      <w:tblCellMar>
        <w:left w:w="70" w:type="dxa"/>
        <w:right w:w="70" w:type="dxa"/>
      </w:tblCellMar>
    </w:tblPr>
  </w:style>
  <w:style w:type="table" w:customStyle="1" w:styleId="a1">
    <w:basedOn w:val="TableNormal8"/>
    <w:tblPr>
      <w:tblStyleRowBandSize w:val="1"/>
      <w:tblStyleColBandSize w:val="1"/>
      <w:tblCellMar>
        <w:left w:w="70" w:type="dxa"/>
        <w:right w:w="70" w:type="dxa"/>
      </w:tblCellMar>
    </w:tblPr>
  </w:style>
  <w:style w:type="table" w:customStyle="1" w:styleId="a2">
    <w:basedOn w:val="TableNormal8"/>
    <w:tblPr>
      <w:tblStyleRowBandSize w:val="1"/>
      <w:tblStyleColBandSize w:val="1"/>
      <w:tblCellMar>
        <w:left w:w="70" w:type="dxa"/>
        <w:right w:w="70" w:type="dxa"/>
      </w:tblCellMar>
    </w:tblPr>
  </w:style>
  <w:style w:type="table" w:customStyle="1" w:styleId="a3">
    <w:basedOn w:val="TableNormal8"/>
    <w:tblPr>
      <w:tblStyleRowBandSize w:val="1"/>
      <w:tblStyleColBandSize w:val="1"/>
      <w:tblCellMar>
        <w:left w:w="70" w:type="dxa"/>
        <w:right w:w="70" w:type="dxa"/>
      </w:tblCellMar>
    </w:tblPr>
  </w:style>
  <w:style w:type="table" w:customStyle="1" w:styleId="a4">
    <w:basedOn w:val="TableNormal8"/>
    <w:tblPr>
      <w:tblStyleRowBandSize w:val="1"/>
      <w:tblStyleColBandSize w:val="1"/>
      <w:tblCellMar>
        <w:left w:w="70" w:type="dxa"/>
        <w:right w:w="70" w:type="dxa"/>
      </w:tblCellMar>
    </w:tblPr>
  </w:style>
  <w:style w:type="table" w:customStyle="1" w:styleId="a5">
    <w:basedOn w:val="TableNormal6"/>
    <w:tblPr>
      <w:tblStyleRowBandSize w:val="1"/>
      <w:tblStyleColBandSize w:val="1"/>
      <w:tblCellMar>
        <w:left w:w="70" w:type="dxa"/>
        <w:right w:w="70" w:type="dxa"/>
      </w:tblCellMar>
    </w:tblPr>
  </w:style>
  <w:style w:type="table" w:customStyle="1" w:styleId="a6">
    <w:basedOn w:val="TableNormal6"/>
    <w:tblPr>
      <w:tblStyleRowBandSize w:val="1"/>
      <w:tblStyleColBandSize w:val="1"/>
      <w:tblCellMar>
        <w:left w:w="70" w:type="dxa"/>
        <w:right w:w="70" w:type="dxa"/>
      </w:tblCellMar>
    </w:tblPr>
  </w:style>
  <w:style w:type="paragraph" w:styleId="Prrafodelista">
    <w:name w:val="List Paragraph"/>
    <w:basedOn w:val="Normal"/>
    <w:uiPriority w:val="34"/>
    <w:qFormat/>
    <w:rsid w:val="003C5DCC"/>
    <w:pPr>
      <w:ind w:left="720"/>
      <w:contextualSpacing/>
    </w:p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table" w:customStyle="1" w:styleId="af">
    <w:basedOn w:val="TableNormal3"/>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E264C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264CD"/>
  </w:style>
  <w:style w:type="paragraph" w:styleId="Piedepgina">
    <w:name w:val="footer"/>
    <w:basedOn w:val="Normal"/>
    <w:link w:val="PiedepginaCar"/>
    <w:uiPriority w:val="99"/>
    <w:unhideWhenUsed/>
    <w:rsid w:val="00E264C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264CD"/>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torne@llorenteycuenc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icacion@fotocasa.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nsa.fotocasa.es/el-precio-de-la-vivienda-sube-un-10-interanual-en-febrero-el-incremento-mas-alto-desde-2006-en-espana/" TargetMode="External"/><Relationship Id="rId5" Type="http://schemas.openxmlformats.org/officeDocument/2006/relationships/webSettings" Target="webSettings.xml"/><Relationship Id="rId15" Type="http://schemas.openxmlformats.org/officeDocument/2006/relationships/hyperlink" Target="mailto:piglesias@llorenteycuenca.com" TargetMode="External"/><Relationship Id="rId10" Type="http://schemas.openxmlformats.org/officeDocument/2006/relationships/hyperlink" Target="https://prensa.fotocasa.es/seis-de-cada-diez-compradores-de-vivienda-se-han-visto-afectados-por-el-encarecimiento-de-las-hipotecas/"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mailto:emerino@llorenteycuenc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P46QqbEk0Q41d90toGpWVPE6HA==">AMUW2mWQxUjfxnm7V5zp00vDiYRVKQOrYZpvfnH5ONcSp52oQbU+JeYNLJ3NufP92WrjD/kxXWcaf4SI7/mi9DYpX5kinjiMOj5ur3CszozV2lYc29Q0C2o=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9447</Characters>
  <Application>Microsoft Office Word</Application>
  <DocSecurity>0</DocSecurity>
  <Lines>78</Lines>
  <Paragraphs>22</Paragraphs>
  <ScaleCrop>false</ScaleCrop>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2</cp:revision>
  <dcterms:created xsi:type="dcterms:W3CDTF">2022-05-27T10:04:00Z</dcterms:created>
  <dcterms:modified xsi:type="dcterms:W3CDTF">2023-03-16T13:32:00Z</dcterms:modified>
</cp:coreProperties>
</file>