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4D51" w14:textId="77777777" w:rsidR="005B6AC4" w:rsidRDefault="00000000">
      <w:pPr>
        <w:spacing w:line="240" w:lineRule="auto"/>
        <w:rPr>
          <w:rFonts w:ascii="Calibri" w:eastAsia="Calibri" w:hAnsi="Calibri" w:cs="Calibri"/>
          <w:sz w:val="24"/>
          <w:szCs w:val="24"/>
        </w:rPr>
      </w:pPr>
      <w:r>
        <w:rPr>
          <w:noProof/>
        </w:rPr>
        <w:drawing>
          <wp:anchor distT="0" distB="0" distL="114300" distR="114300" simplePos="0" relativeHeight="251658240" behindDoc="0" locked="0" layoutInCell="1" hidden="0" allowOverlap="1" wp14:anchorId="3D3DAEBE" wp14:editId="02658124">
            <wp:simplePos x="0" y="0"/>
            <wp:positionH relativeFrom="column">
              <wp:posOffset>-419098</wp:posOffset>
            </wp:positionH>
            <wp:positionV relativeFrom="paragraph">
              <wp:posOffset>0</wp:posOffset>
            </wp:positionV>
            <wp:extent cx="1781175" cy="981075"/>
            <wp:effectExtent l="0" t="0" r="0" b="0"/>
            <wp:wrapSquare wrapText="bothSides" distT="0" distB="0" distL="114300" distR="114300"/>
            <wp:docPr id="3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8"/>
                    <a:srcRect/>
                    <a:stretch>
                      <a:fillRect/>
                    </a:stretch>
                  </pic:blipFill>
                  <pic:spPr>
                    <a:xfrm>
                      <a:off x="0" y="0"/>
                      <a:ext cx="1781175" cy="981075"/>
                    </a:xfrm>
                    <a:prstGeom prst="rect">
                      <a:avLst/>
                    </a:prstGeom>
                    <a:ln/>
                  </pic:spPr>
                </pic:pic>
              </a:graphicData>
            </a:graphic>
          </wp:anchor>
        </w:drawing>
      </w:r>
      <w:r>
        <w:rPr>
          <w:noProof/>
        </w:rPr>
        <w:drawing>
          <wp:anchor distT="0" distB="0" distL="0" distR="0" simplePos="0" relativeHeight="251659264" behindDoc="0" locked="0" layoutInCell="1" hidden="0" allowOverlap="1" wp14:anchorId="0B17E945" wp14:editId="2F5CAF79">
            <wp:simplePos x="0" y="0"/>
            <wp:positionH relativeFrom="column">
              <wp:posOffset>1447800</wp:posOffset>
            </wp:positionH>
            <wp:positionV relativeFrom="paragraph">
              <wp:posOffset>0</wp:posOffset>
            </wp:positionV>
            <wp:extent cx="5210175" cy="1038225"/>
            <wp:effectExtent l="0" t="0" r="0" b="0"/>
            <wp:wrapSquare wrapText="bothSides" distT="0" distB="0" distL="0" distR="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32469"/>
                    <a:stretch>
                      <a:fillRect/>
                    </a:stretch>
                  </pic:blipFill>
                  <pic:spPr>
                    <a:xfrm>
                      <a:off x="0" y="0"/>
                      <a:ext cx="5210175" cy="1038225"/>
                    </a:xfrm>
                    <a:prstGeom prst="rect">
                      <a:avLst/>
                    </a:prstGeom>
                    <a:ln/>
                  </pic:spPr>
                </pic:pic>
              </a:graphicData>
            </a:graphic>
          </wp:anchor>
        </w:drawing>
      </w:r>
    </w:p>
    <w:p w14:paraId="6775F92F" w14:textId="77777777" w:rsidR="005B6AC4" w:rsidRDefault="005B6AC4">
      <w:pPr>
        <w:ind w:right="-574"/>
        <w:rPr>
          <w:rFonts w:ascii="National" w:eastAsia="National" w:hAnsi="National" w:cs="National"/>
          <w:b/>
          <w:color w:val="1DBDC5"/>
          <w:sz w:val="34"/>
          <w:szCs w:val="34"/>
        </w:rPr>
      </w:pPr>
    </w:p>
    <w:p w14:paraId="33E57B55" w14:textId="77777777" w:rsidR="005B6AC4" w:rsidRDefault="00000000">
      <w:pPr>
        <w:ind w:right="-574"/>
        <w:jc w:val="center"/>
        <w:rPr>
          <w:rFonts w:ascii="National" w:eastAsia="National" w:hAnsi="National" w:cs="National"/>
          <w:color w:val="303AB2"/>
          <w:sz w:val="36"/>
          <w:szCs w:val="36"/>
        </w:rPr>
      </w:pPr>
      <w:r>
        <w:rPr>
          <w:rFonts w:ascii="National" w:eastAsia="National" w:hAnsi="National" w:cs="National"/>
          <w:b/>
          <w:color w:val="1DBDC5"/>
          <w:sz w:val="34"/>
          <w:szCs w:val="34"/>
        </w:rPr>
        <w:t>ANÁLISIS ESPECIAL DÍA DE LA MUJER</w:t>
      </w:r>
    </w:p>
    <w:p w14:paraId="05B93E01" w14:textId="77777777" w:rsidR="005B6AC4" w:rsidRDefault="00000000">
      <w:pPr>
        <w:shd w:val="clear" w:color="auto" w:fill="FFFFFF"/>
        <w:spacing w:after="225"/>
        <w:ind w:left="708"/>
        <w:jc w:val="center"/>
        <w:rPr>
          <w:rFonts w:ascii="Open Sans" w:eastAsia="Open Sans" w:hAnsi="Open Sans" w:cs="Open Sans"/>
          <w:b/>
          <w:sz w:val="20"/>
          <w:szCs w:val="20"/>
        </w:rPr>
      </w:pPr>
      <w:r>
        <w:rPr>
          <w:rFonts w:ascii="National" w:eastAsia="National" w:hAnsi="National" w:cs="National"/>
          <w:b/>
          <w:color w:val="303AB2"/>
          <w:sz w:val="50"/>
          <w:szCs w:val="50"/>
        </w:rPr>
        <w:t>Por primera vez el porcentaje de mujeres compradoras de vivienda (51%) supera al de hombres (49%)</w:t>
      </w:r>
    </w:p>
    <w:p w14:paraId="2E8C62D6" w14:textId="77777777" w:rsidR="005B6AC4" w:rsidRDefault="00000000">
      <w:pPr>
        <w:numPr>
          <w:ilvl w:val="0"/>
          <w:numId w:val="1"/>
        </w:numPr>
        <w:shd w:val="clear" w:color="auto" w:fill="FFFFFF"/>
        <w:spacing w:before="280" w:after="280" w:line="240" w:lineRule="auto"/>
        <w:jc w:val="both"/>
        <w:rPr>
          <w:rFonts w:ascii="Open Sans" w:eastAsia="Open Sans" w:hAnsi="Open Sans" w:cs="Open Sans"/>
          <w:b/>
          <w:sz w:val="20"/>
          <w:szCs w:val="20"/>
        </w:rPr>
      </w:pPr>
      <w:r>
        <w:rPr>
          <w:rFonts w:ascii="Open Sans" w:eastAsia="Open Sans" w:hAnsi="Open Sans" w:cs="Open Sans"/>
          <w:sz w:val="21"/>
          <w:szCs w:val="21"/>
        </w:rPr>
        <w:t>En dos años, aumentan en 5 puntos porcentuales las mujeres que compran vivienda, en 2020 eran el 46% y en 2022 son el 51%</w:t>
      </w:r>
    </w:p>
    <w:p w14:paraId="5AB8879A" w14:textId="77777777" w:rsidR="005B6AC4" w:rsidRDefault="00000000">
      <w:pPr>
        <w:numPr>
          <w:ilvl w:val="0"/>
          <w:numId w:val="1"/>
        </w:numPr>
        <w:shd w:val="clear" w:color="auto" w:fill="FFFFFF"/>
        <w:spacing w:before="280" w:after="280" w:line="240" w:lineRule="auto"/>
        <w:jc w:val="both"/>
        <w:rPr>
          <w:rFonts w:ascii="Open Sans" w:eastAsia="Open Sans" w:hAnsi="Open Sans" w:cs="Open Sans"/>
          <w:sz w:val="21"/>
          <w:szCs w:val="21"/>
        </w:rPr>
      </w:pPr>
      <w:r>
        <w:rPr>
          <w:rFonts w:ascii="Open Sans" w:eastAsia="Open Sans" w:hAnsi="Open Sans" w:cs="Open Sans"/>
          <w:sz w:val="21"/>
          <w:szCs w:val="21"/>
        </w:rPr>
        <w:t>La mayor diferencia se aprecia al comparar los perfiles: solo hay un 39% de mujeres vendedoras y tienen 8 años más que las compradoras</w:t>
      </w:r>
    </w:p>
    <w:p w14:paraId="7437134E" w14:textId="77777777" w:rsidR="005B6AC4" w:rsidRDefault="00000000">
      <w:pPr>
        <w:numPr>
          <w:ilvl w:val="0"/>
          <w:numId w:val="1"/>
        </w:numPr>
        <w:shd w:val="clear" w:color="auto" w:fill="FFFFFF"/>
        <w:spacing w:before="280" w:after="280" w:line="240" w:lineRule="auto"/>
        <w:jc w:val="both"/>
        <w:rPr>
          <w:rFonts w:ascii="Open Sans" w:eastAsia="Open Sans" w:hAnsi="Open Sans" w:cs="Open Sans"/>
          <w:b/>
          <w:sz w:val="20"/>
          <w:szCs w:val="20"/>
        </w:rPr>
      </w:pPr>
      <w:r>
        <w:rPr>
          <w:rFonts w:ascii="Open Sans" w:eastAsia="Open Sans" w:hAnsi="Open Sans" w:cs="Open Sans"/>
          <w:sz w:val="21"/>
          <w:szCs w:val="21"/>
        </w:rPr>
        <w:t xml:space="preserve">En el alquiler, la diferencia entre demandantes hombres (40%) y demandantes mujeres (60%) es de 20 puntos porcentuales </w:t>
      </w:r>
    </w:p>
    <w:p w14:paraId="7FEC9AE8" w14:textId="77777777" w:rsidR="005B6AC4" w:rsidRDefault="00000000">
      <w:pPr>
        <w:numPr>
          <w:ilvl w:val="0"/>
          <w:numId w:val="1"/>
        </w:numPr>
        <w:shd w:val="clear" w:color="auto" w:fill="FFFFFF"/>
        <w:spacing w:before="280" w:after="280" w:line="240" w:lineRule="auto"/>
        <w:jc w:val="both"/>
        <w:rPr>
          <w:rFonts w:ascii="Open Sans" w:eastAsia="Open Sans" w:hAnsi="Open Sans" w:cs="Open Sans"/>
          <w:sz w:val="20"/>
          <w:szCs w:val="20"/>
        </w:rPr>
      </w:pPr>
      <w:r>
        <w:rPr>
          <w:rFonts w:ascii="Open Sans" w:eastAsia="Open Sans" w:hAnsi="Open Sans" w:cs="Open Sans"/>
          <w:sz w:val="21"/>
          <w:szCs w:val="21"/>
        </w:rPr>
        <w:t>Existe una brecha al enfrentar el nivel socioeconómico del comprador y del inquilino, ya que el demandante de alquiler presenta recursos económicos más bajos</w:t>
      </w:r>
    </w:p>
    <w:p w14:paraId="32FFB4FC" w14:textId="77777777" w:rsidR="005B6AC4" w:rsidRDefault="00000000">
      <w:pPr>
        <w:shd w:val="clear" w:color="auto" w:fill="FFFFFF"/>
        <w:spacing w:after="225"/>
        <w:jc w:val="both"/>
        <w:rPr>
          <w:rFonts w:ascii="Open Sans" w:eastAsia="Open Sans" w:hAnsi="Open Sans" w:cs="Open Sans"/>
          <w:sz w:val="18"/>
          <w:szCs w:val="18"/>
        </w:rPr>
      </w:pPr>
      <w:r>
        <w:rPr>
          <w:rFonts w:ascii="Open Sans" w:eastAsia="Open Sans" w:hAnsi="Open Sans" w:cs="Open Sans"/>
          <w:b/>
          <w:color w:val="303AB2"/>
        </w:rPr>
        <w:t>Madrid, 08 de marzo de 2023</w:t>
      </w:r>
    </w:p>
    <w:p w14:paraId="16CF0762"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Con motivo del </w:t>
      </w:r>
      <w:r>
        <w:rPr>
          <w:rFonts w:ascii="Open Sans" w:eastAsia="Open Sans" w:hAnsi="Open Sans" w:cs="Open Sans"/>
          <w:b/>
          <w:sz w:val="21"/>
          <w:szCs w:val="21"/>
        </w:rPr>
        <w:t>Día Internacional de la Mujer</w:t>
      </w:r>
      <w:r>
        <w:rPr>
          <w:rFonts w:ascii="Open Sans" w:eastAsia="Open Sans" w:hAnsi="Open Sans" w:cs="Open Sans"/>
          <w:sz w:val="21"/>
          <w:szCs w:val="21"/>
        </w:rPr>
        <w:t xml:space="preserve">, el portal inmobiliario </w:t>
      </w:r>
      <w:hyperlink r:id="rId10">
        <w:r>
          <w:rPr>
            <w:rFonts w:ascii="Open Sans" w:eastAsia="Open Sans" w:hAnsi="Open Sans" w:cs="Open Sans"/>
            <w:color w:val="0000FF"/>
            <w:sz w:val="21"/>
            <w:szCs w:val="21"/>
            <w:u w:val="single"/>
          </w:rPr>
          <w:t>Fotocasa</w:t>
        </w:r>
      </w:hyperlink>
      <w:r>
        <w:rPr>
          <w:rFonts w:ascii="Open Sans" w:eastAsia="Open Sans" w:hAnsi="Open Sans" w:cs="Open Sans"/>
          <w:sz w:val="21"/>
          <w:szCs w:val="21"/>
        </w:rPr>
        <w:t xml:space="preserve"> ha querido trazar una radiografía de la participación de la mujer en el mercado de la vivienda. Así, en el análisis se destaca que entre los que han comprado una vivienda o pretendido hacerlo, hay un 51% de mujeres y un 49% de hombres. Aunque es un reparto significativamente equilibrado, es la primera vez tras la pandemia, que el volumen de compradoras supera al de compradores, ya que anteriormente era de 48% mujeres y 51% de hombres. Por lo tanto, podemos decir que el impacto de la Covid-19 ha impulsado el número de compradoras. Es una de las principales conclusiones que se reflejan en el informe titulado “</w:t>
      </w:r>
      <w:r>
        <w:rPr>
          <w:rFonts w:ascii="Open Sans" w:eastAsia="Open Sans" w:hAnsi="Open Sans" w:cs="Open Sans"/>
          <w:b/>
          <w:i/>
          <w:sz w:val="21"/>
          <w:szCs w:val="21"/>
        </w:rPr>
        <w:t>Experiencia en compraventa en 2022</w:t>
      </w:r>
      <w:r>
        <w:rPr>
          <w:rFonts w:ascii="Open Sans" w:eastAsia="Open Sans" w:hAnsi="Open Sans" w:cs="Open Sans"/>
          <w:sz w:val="21"/>
          <w:szCs w:val="21"/>
        </w:rPr>
        <w:t xml:space="preserve">” realizado por </w:t>
      </w:r>
      <w:hyperlink r:id="rId11">
        <w:r>
          <w:rPr>
            <w:rFonts w:ascii="Open Sans" w:eastAsia="Open Sans" w:hAnsi="Open Sans" w:cs="Open Sans"/>
            <w:color w:val="1155CC"/>
            <w:sz w:val="21"/>
            <w:szCs w:val="21"/>
            <w:u w:val="single"/>
          </w:rPr>
          <w:t xml:space="preserve">Fotocasa </w:t>
        </w:r>
        <w:proofErr w:type="spellStart"/>
        <w:r>
          <w:rPr>
            <w:rFonts w:ascii="Open Sans" w:eastAsia="Open Sans" w:hAnsi="Open Sans" w:cs="Open Sans"/>
            <w:color w:val="1155CC"/>
            <w:sz w:val="21"/>
            <w:szCs w:val="21"/>
            <w:u w:val="single"/>
          </w:rPr>
          <w:t>Research</w:t>
        </w:r>
        <w:proofErr w:type="spellEnd"/>
      </w:hyperlink>
      <w:r>
        <w:rPr>
          <w:rFonts w:ascii="Open Sans" w:eastAsia="Open Sans" w:hAnsi="Open Sans" w:cs="Open Sans"/>
          <w:sz w:val="21"/>
          <w:szCs w:val="21"/>
        </w:rPr>
        <w:t>.</w:t>
      </w:r>
    </w:p>
    <w:p w14:paraId="1F5AFA4B"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Una tendencia que desde 2020 va asentándose cada vez más, ya que </w:t>
      </w:r>
      <w:r>
        <w:rPr>
          <w:rFonts w:ascii="Open Sans" w:eastAsia="Open Sans" w:hAnsi="Open Sans" w:cs="Open Sans"/>
          <w:b/>
          <w:sz w:val="21"/>
          <w:szCs w:val="21"/>
        </w:rPr>
        <w:t>el perfil de mujer que busca vivienda ha pasado de significar el 46% en 2020 al 51% en 2022</w:t>
      </w:r>
      <w:r>
        <w:rPr>
          <w:rFonts w:ascii="Open Sans" w:eastAsia="Open Sans" w:hAnsi="Open Sans" w:cs="Open Sans"/>
          <w:sz w:val="21"/>
          <w:szCs w:val="21"/>
        </w:rPr>
        <w:t xml:space="preserve">. Las diferencias más destacables entre el perfil de esta compradora de 2021 y el de 2022, son el </w:t>
      </w:r>
      <w:r>
        <w:rPr>
          <w:rFonts w:ascii="Open Sans" w:eastAsia="Open Sans" w:hAnsi="Open Sans" w:cs="Open Sans"/>
          <w:b/>
          <w:sz w:val="21"/>
          <w:szCs w:val="21"/>
        </w:rPr>
        <w:t>aumento del nivel socioeconómico alto en 6 puntos porcentuales</w:t>
      </w:r>
      <w:r>
        <w:rPr>
          <w:rFonts w:ascii="Open Sans" w:eastAsia="Open Sans" w:hAnsi="Open Sans" w:cs="Open Sans"/>
          <w:sz w:val="21"/>
          <w:szCs w:val="21"/>
        </w:rPr>
        <w:t xml:space="preserve"> y </w:t>
      </w:r>
      <w:r>
        <w:rPr>
          <w:rFonts w:ascii="Open Sans" w:eastAsia="Open Sans" w:hAnsi="Open Sans" w:cs="Open Sans"/>
          <w:b/>
          <w:sz w:val="21"/>
          <w:szCs w:val="21"/>
        </w:rPr>
        <w:t xml:space="preserve">del nivel socioeconómico bajo en </w:t>
      </w:r>
      <w:r>
        <w:rPr>
          <w:rFonts w:ascii="Open Sans" w:eastAsia="Open Sans" w:hAnsi="Open Sans" w:cs="Open Sans"/>
          <w:b/>
          <w:sz w:val="21"/>
          <w:szCs w:val="21"/>
        </w:rPr>
        <w:lastRenderedPageBreak/>
        <w:t>11 puntos</w:t>
      </w:r>
      <w:r>
        <w:rPr>
          <w:rFonts w:ascii="Open Sans" w:eastAsia="Open Sans" w:hAnsi="Open Sans" w:cs="Open Sans"/>
          <w:sz w:val="21"/>
          <w:szCs w:val="21"/>
        </w:rPr>
        <w:t xml:space="preserve"> porcentuales con respecto al año anterior. Sin embargo, la edad media de 42 años permanece invariable.</w:t>
      </w:r>
    </w:p>
    <w:p w14:paraId="0040D1DD" w14:textId="77777777" w:rsidR="005B6AC4" w:rsidRDefault="00000000">
      <w:pPr>
        <w:shd w:val="clear" w:color="auto" w:fill="FFFFFF"/>
        <w:spacing w:before="280" w:after="280"/>
        <w:jc w:val="center"/>
        <w:rPr>
          <w:rFonts w:ascii="Open Sans" w:eastAsia="Open Sans" w:hAnsi="Open Sans" w:cs="Open Sans"/>
          <w:sz w:val="21"/>
          <w:szCs w:val="21"/>
        </w:rPr>
      </w:pPr>
      <w:r>
        <w:rPr>
          <w:rFonts w:ascii="Open Sans" w:eastAsia="Open Sans" w:hAnsi="Open Sans" w:cs="Open Sans"/>
          <w:noProof/>
          <w:sz w:val="21"/>
          <w:szCs w:val="21"/>
        </w:rPr>
        <w:drawing>
          <wp:inline distT="114300" distB="114300" distL="114300" distR="114300" wp14:anchorId="11C4704B" wp14:editId="3814B271">
            <wp:extent cx="5640225" cy="3643254"/>
            <wp:effectExtent l="0" t="0" r="0" b="0"/>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r="1826"/>
                    <a:stretch>
                      <a:fillRect/>
                    </a:stretch>
                  </pic:blipFill>
                  <pic:spPr>
                    <a:xfrm>
                      <a:off x="0" y="0"/>
                      <a:ext cx="5640225" cy="3643254"/>
                    </a:xfrm>
                    <a:prstGeom prst="rect">
                      <a:avLst/>
                    </a:prstGeom>
                    <a:ln/>
                  </pic:spPr>
                </pic:pic>
              </a:graphicData>
            </a:graphic>
          </wp:inline>
        </w:drawing>
      </w:r>
    </w:p>
    <w:p w14:paraId="51BFAAC1"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“En relación con la compra ambos perfiles están muy igualados, aunque es la primera vez que hay más mujeres compradoras que hombres en el mercado. En la venta, sin embargo, son los hombres quienes más participan, lo que indica que hay más propietarios hombres que mujeres. Pero, sin duda, donde existe una mayor brecha es en el arrendamiento en el perfil de los que demandan vivienda, que está compuesto por mujeres mayoritariamente. Este desequilibrio indica que las mujeres, con niveles socioeconómicos más bajos demandan alquiler, al no poder acceder a la compra”, comenta María Matos, directora de Estudios y Portavoz de </w:t>
      </w:r>
      <w:hyperlink r:id="rId13">
        <w:r>
          <w:rPr>
            <w:rFonts w:ascii="Open Sans" w:eastAsia="Open Sans" w:hAnsi="Open Sans" w:cs="Open Sans"/>
            <w:color w:val="1155CC"/>
            <w:sz w:val="21"/>
            <w:szCs w:val="21"/>
            <w:u w:val="single"/>
          </w:rPr>
          <w:t>Fotocasa</w:t>
        </w:r>
      </w:hyperlink>
      <w:r>
        <w:rPr>
          <w:rFonts w:ascii="Open Sans" w:eastAsia="Open Sans" w:hAnsi="Open Sans" w:cs="Open Sans"/>
          <w:sz w:val="21"/>
          <w:szCs w:val="21"/>
        </w:rPr>
        <w:t>.</w:t>
      </w:r>
    </w:p>
    <w:p w14:paraId="4106930B"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Como se aprecia en el gráfico, la realidad de 2022 refleja que la mayoría de los demandantes de vivienda viven en pareja y con sus hijos, (36%) aunque hay un porcentaje también distinguible de demandantes que ya conviven con su pareja (30%). </w:t>
      </w:r>
    </w:p>
    <w:p w14:paraId="3443E88F"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En porcentajes minoritarios se sitúa esa persona que todavía vive con sus padres (12%). De la misma forma, también se consolida una tendencia que apareció en 2021, la de los compradores —o aspirantes a serlo— que viven solos: </w:t>
      </w:r>
      <w:r>
        <w:rPr>
          <w:rFonts w:ascii="Open Sans" w:eastAsia="Open Sans" w:hAnsi="Open Sans" w:cs="Open Sans"/>
          <w:b/>
          <w:sz w:val="21"/>
          <w:szCs w:val="21"/>
        </w:rPr>
        <w:t xml:space="preserve">en 2020 eran solamente el 7 %, una cifra que casi se duplicó en 2021 (13 %) </w:t>
      </w:r>
      <w:r>
        <w:rPr>
          <w:rFonts w:ascii="Open Sans" w:eastAsia="Open Sans" w:hAnsi="Open Sans" w:cs="Open Sans"/>
          <w:sz w:val="21"/>
          <w:szCs w:val="21"/>
        </w:rPr>
        <w:t>y que se mantiene igual en 2022 (13 %).</w:t>
      </w:r>
    </w:p>
    <w:p w14:paraId="2C3D8E71" w14:textId="77777777" w:rsidR="005B6AC4" w:rsidRDefault="005B6AC4">
      <w:pPr>
        <w:shd w:val="clear" w:color="auto" w:fill="FFFFFF"/>
        <w:spacing w:before="280" w:after="280"/>
        <w:jc w:val="both"/>
        <w:rPr>
          <w:rFonts w:ascii="Open Sans" w:eastAsia="Open Sans" w:hAnsi="Open Sans" w:cs="Open Sans"/>
          <w:color w:val="303AB2"/>
          <w:sz w:val="21"/>
          <w:szCs w:val="21"/>
        </w:rPr>
      </w:pPr>
    </w:p>
    <w:p w14:paraId="508E4C62" w14:textId="77777777" w:rsidR="005B6AC4" w:rsidRDefault="005B6AC4">
      <w:pPr>
        <w:shd w:val="clear" w:color="auto" w:fill="FFFFFF"/>
        <w:spacing w:before="280" w:after="280"/>
        <w:jc w:val="both"/>
        <w:rPr>
          <w:rFonts w:ascii="Open Sans" w:eastAsia="Open Sans" w:hAnsi="Open Sans" w:cs="Open Sans"/>
          <w:color w:val="303AB2"/>
          <w:sz w:val="21"/>
          <w:szCs w:val="21"/>
        </w:rPr>
      </w:pPr>
    </w:p>
    <w:p w14:paraId="7E152271"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color w:val="303AB2"/>
          <w:sz w:val="21"/>
          <w:szCs w:val="21"/>
        </w:rPr>
        <w:lastRenderedPageBreak/>
        <w:t>Perfil del vendedor de vivienda en 2022</w:t>
      </w:r>
    </w:p>
    <w:p w14:paraId="0BD736E6"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Si se observa el perfil sociodemográfico de los vendedores, el primer dato que llama la atención es que el 61% son hombres, frente al 39% de mujeres. En este caso, el porcentaje de mujeres propietarias que venden una vivienda dista mucho del porcentaje de las compradoras (51%). Pero un aspecto positivo es </w:t>
      </w:r>
      <w:proofErr w:type="gramStart"/>
      <w:r>
        <w:rPr>
          <w:rFonts w:ascii="Open Sans" w:eastAsia="Open Sans" w:hAnsi="Open Sans" w:cs="Open Sans"/>
          <w:sz w:val="21"/>
          <w:szCs w:val="21"/>
        </w:rPr>
        <w:t>que</w:t>
      </w:r>
      <w:proofErr w:type="gramEnd"/>
      <w:r>
        <w:rPr>
          <w:rFonts w:ascii="Open Sans" w:eastAsia="Open Sans" w:hAnsi="Open Sans" w:cs="Open Sans"/>
          <w:sz w:val="21"/>
          <w:szCs w:val="21"/>
        </w:rPr>
        <w:t xml:space="preserve"> en tan solo un año, las mujeres que han vendido o pretendido vender una vivienda han pasado de ser el 36% en 2021 al 39% en 2022. </w:t>
      </w:r>
    </w:p>
    <w:p w14:paraId="5A61D41E"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Por lo que se refiere a la edad, los vendedores tienen, de media, 50 años. Un dato que se ha reducido en dos años desde 2021. Otra de las diferencias entre perfiles de comprador y vendedor es que el comprador presenta un nivel socioeconómico mayor (52%) al del vendedor (44%), contrariamente a la creencia popular.</w:t>
      </w:r>
    </w:p>
    <w:p w14:paraId="7613766F" w14:textId="77777777" w:rsidR="005B6AC4" w:rsidRDefault="00000000">
      <w:pPr>
        <w:shd w:val="clear" w:color="auto" w:fill="FFFFFF"/>
        <w:spacing w:before="280" w:after="280"/>
        <w:jc w:val="both"/>
        <w:rPr>
          <w:rFonts w:ascii="Open Sans" w:eastAsia="Open Sans" w:hAnsi="Open Sans" w:cs="Open Sans"/>
          <w:color w:val="303AB2"/>
          <w:sz w:val="21"/>
          <w:szCs w:val="21"/>
        </w:rPr>
      </w:pPr>
      <w:r>
        <w:rPr>
          <w:rFonts w:ascii="Open Sans" w:eastAsia="Open Sans" w:hAnsi="Open Sans" w:cs="Open Sans"/>
          <w:noProof/>
          <w:color w:val="303AB2"/>
          <w:sz w:val="21"/>
          <w:szCs w:val="21"/>
        </w:rPr>
        <w:drawing>
          <wp:inline distT="114300" distB="114300" distL="114300" distR="114300" wp14:anchorId="0D0E7C4C" wp14:editId="7FC3264E">
            <wp:extent cx="5913432" cy="3713676"/>
            <wp:effectExtent l="0" t="0" r="0" b="0"/>
            <wp:docPr id="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913432" cy="3713676"/>
                    </a:xfrm>
                    <a:prstGeom prst="rect">
                      <a:avLst/>
                    </a:prstGeom>
                    <a:ln/>
                  </pic:spPr>
                </pic:pic>
              </a:graphicData>
            </a:graphic>
          </wp:inline>
        </w:drawing>
      </w:r>
    </w:p>
    <w:p w14:paraId="63B383F9" w14:textId="77777777" w:rsidR="005B6AC4" w:rsidRDefault="005B6AC4">
      <w:pPr>
        <w:shd w:val="clear" w:color="auto" w:fill="FFFFFF"/>
        <w:spacing w:before="280" w:after="280"/>
        <w:jc w:val="both"/>
        <w:rPr>
          <w:rFonts w:ascii="Open Sans" w:eastAsia="Open Sans" w:hAnsi="Open Sans" w:cs="Open Sans"/>
          <w:color w:val="303AB2"/>
          <w:sz w:val="21"/>
          <w:szCs w:val="21"/>
        </w:rPr>
      </w:pPr>
    </w:p>
    <w:p w14:paraId="78DAC6D6" w14:textId="77777777" w:rsidR="005B6AC4" w:rsidRDefault="00000000">
      <w:pPr>
        <w:shd w:val="clear" w:color="auto" w:fill="FFFFFF"/>
        <w:spacing w:before="280" w:after="280"/>
        <w:jc w:val="both"/>
        <w:rPr>
          <w:rFonts w:ascii="Open Sans" w:eastAsia="Open Sans" w:hAnsi="Open Sans" w:cs="Open Sans"/>
          <w:b/>
          <w:color w:val="303AB2"/>
          <w:sz w:val="21"/>
          <w:szCs w:val="21"/>
        </w:rPr>
      </w:pPr>
      <w:r>
        <w:rPr>
          <w:rFonts w:ascii="Open Sans" w:eastAsia="Open Sans" w:hAnsi="Open Sans" w:cs="Open Sans"/>
          <w:sz w:val="21"/>
          <w:szCs w:val="21"/>
        </w:rPr>
        <w:t>Todas estas características apenas suponen cambios con respecto al perfil de los años anteriores: la pandemia no ha supuesto cambios sustanciales sobre cómo es el colectivo de quienes venden o intentan vender una vivienda de su propiedad</w:t>
      </w:r>
      <w:r>
        <w:rPr>
          <w:rFonts w:ascii="Open Sans" w:eastAsia="Open Sans" w:hAnsi="Open Sans" w:cs="Open Sans"/>
          <w:b/>
          <w:color w:val="303AB2"/>
          <w:sz w:val="21"/>
          <w:szCs w:val="21"/>
        </w:rPr>
        <w:t>.</w:t>
      </w:r>
    </w:p>
    <w:p w14:paraId="7C0B08B5" w14:textId="4A703603" w:rsidR="005B6AC4" w:rsidRDefault="005B6AC4">
      <w:pPr>
        <w:shd w:val="clear" w:color="auto" w:fill="FFFFFF"/>
        <w:spacing w:before="280" w:after="280"/>
        <w:jc w:val="both"/>
        <w:rPr>
          <w:rFonts w:ascii="Open Sans" w:eastAsia="Open Sans" w:hAnsi="Open Sans" w:cs="Open Sans"/>
          <w:b/>
          <w:color w:val="303AB2"/>
          <w:sz w:val="21"/>
          <w:szCs w:val="21"/>
        </w:rPr>
      </w:pPr>
    </w:p>
    <w:p w14:paraId="4DD4E2FC" w14:textId="77777777" w:rsidR="005952F3" w:rsidRDefault="005952F3">
      <w:pPr>
        <w:shd w:val="clear" w:color="auto" w:fill="FFFFFF"/>
        <w:spacing w:before="280" w:after="280"/>
        <w:jc w:val="both"/>
        <w:rPr>
          <w:rFonts w:ascii="Open Sans" w:eastAsia="Open Sans" w:hAnsi="Open Sans" w:cs="Open Sans"/>
          <w:b/>
          <w:color w:val="303AB2"/>
          <w:sz w:val="21"/>
          <w:szCs w:val="21"/>
        </w:rPr>
      </w:pPr>
    </w:p>
    <w:p w14:paraId="4E5A0974" w14:textId="77777777" w:rsidR="005B6AC4" w:rsidRDefault="005B6AC4">
      <w:pPr>
        <w:shd w:val="clear" w:color="auto" w:fill="FFFFFF"/>
        <w:spacing w:before="280" w:after="280"/>
        <w:jc w:val="both"/>
        <w:rPr>
          <w:rFonts w:ascii="Open Sans" w:eastAsia="Open Sans" w:hAnsi="Open Sans" w:cs="Open Sans"/>
          <w:b/>
          <w:color w:val="303AB2"/>
          <w:sz w:val="21"/>
          <w:szCs w:val="21"/>
        </w:rPr>
      </w:pPr>
    </w:p>
    <w:p w14:paraId="6F299129" w14:textId="77777777" w:rsidR="005B6AC4" w:rsidRDefault="00000000">
      <w:pPr>
        <w:shd w:val="clear" w:color="auto" w:fill="FFFFFF"/>
        <w:spacing w:before="280" w:after="280"/>
        <w:jc w:val="both"/>
        <w:rPr>
          <w:rFonts w:ascii="Open Sans" w:eastAsia="Open Sans" w:hAnsi="Open Sans" w:cs="Open Sans"/>
          <w:b/>
          <w:color w:val="303AB2"/>
          <w:sz w:val="21"/>
          <w:szCs w:val="21"/>
        </w:rPr>
      </w:pPr>
      <w:r>
        <w:rPr>
          <w:rFonts w:ascii="Open Sans" w:eastAsia="Open Sans" w:hAnsi="Open Sans" w:cs="Open Sans"/>
          <w:b/>
          <w:color w:val="303AB2"/>
          <w:sz w:val="21"/>
          <w:szCs w:val="21"/>
        </w:rPr>
        <w:lastRenderedPageBreak/>
        <w:t>Muchas más mujeres demandantes de alquiler que hombres</w:t>
      </w:r>
    </w:p>
    <w:p w14:paraId="28B2D2EC"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En este mercado del arrendamiento, </w:t>
      </w:r>
      <w:r>
        <w:rPr>
          <w:rFonts w:ascii="Open Sans" w:eastAsia="Open Sans" w:hAnsi="Open Sans" w:cs="Open Sans"/>
          <w:b/>
          <w:sz w:val="21"/>
          <w:szCs w:val="21"/>
        </w:rPr>
        <w:t>el perfil mayoritario es el de la mujer en el 60% de los casos, con una diferencia de 20 puntos porcentuales frente al perfil del hombre demandante</w:t>
      </w:r>
      <w:r>
        <w:rPr>
          <w:rFonts w:ascii="Open Sans" w:eastAsia="Open Sans" w:hAnsi="Open Sans" w:cs="Open Sans"/>
          <w:sz w:val="21"/>
          <w:szCs w:val="21"/>
        </w:rPr>
        <w:t>. Por lo que se observa una desigualdad mucho más acentuada que en el mercado de la compra.</w:t>
      </w:r>
    </w:p>
    <w:p w14:paraId="6F52797B" w14:textId="77777777" w:rsidR="005B6AC4" w:rsidRDefault="00000000">
      <w:pP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Sin embargo, la diferencia de edad entre demandantes de compra (42 años) y de alquiler, es tan solo de 3 años, al producirse un incremento de un año en la edad del futuro inquilino o inquilina, de los 38 años en 2021 a los 39 años en 2022. </w:t>
      </w:r>
    </w:p>
    <w:p w14:paraId="4A0B440B" w14:textId="77777777" w:rsidR="005B6AC4" w:rsidRDefault="00000000">
      <w:pPr>
        <w:pBdr>
          <w:top w:val="nil"/>
          <w:left w:val="nil"/>
          <w:bottom w:val="nil"/>
          <w:right w:val="nil"/>
          <w:between w:val="nil"/>
        </w:pBdr>
        <w:shd w:val="clear" w:color="auto" w:fill="FFFFFF"/>
        <w:spacing w:before="280" w:after="280"/>
        <w:jc w:val="both"/>
        <w:rPr>
          <w:rFonts w:ascii="Open Sans" w:eastAsia="Open Sans" w:hAnsi="Open Sans" w:cs="Open Sans"/>
          <w:sz w:val="21"/>
          <w:szCs w:val="21"/>
        </w:rPr>
      </w:pPr>
      <w:r>
        <w:rPr>
          <w:rFonts w:ascii="Open Sans" w:eastAsia="Open Sans" w:hAnsi="Open Sans" w:cs="Open Sans"/>
          <w:sz w:val="21"/>
          <w:szCs w:val="21"/>
        </w:rPr>
        <w:t xml:space="preserve">En la comparativa sobre el nivel socioeconómico entre </w:t>
      </w:r>
      <w:r>
        <w:rPr>
          <w:rFonts w:ascii="Open Sans" w:eastAsia="Open Sans" w:hAnsi="Open Sans" w:cs="Open Sans"/>
          <w:b/>
          <w:sz w:val="21"/>
          <w:szCs w:val="21"/>
        </w:rPr>
        <w:t xml:space="preserve">inquilinos y compradores, se aprecia un mayor porcentaje de demandantes de vivienda en alquiler con un poder adquisitivo bajo </w:t>
      </w:r>
      <w:r>
        <w:rPr>
          <w:rFonts w:ascii="Open Sans" w:eastAsia="Open Sans" w:hAnsi="Open Sans" w:cs="Open Sans"/>
          <w:sz w:val="21"/>
          <w:szCs w:val="21"/>
        </w:rPr>
        <w:t>o con recursos reducidos (25%), frente al 19% de compradores que representan este perfil socioeconómico. También, los inquilinos representan un porcentaje mejor de nivel económico alto (47%), que los compradores (52%) de vivienda.</w:t>
      </w:r>
    </w:p>
    <w:p w14:paraId="2D3E2440" w14:textId="77777777" w:rsidR="005B6AC4" w:rsidRDefault="00000000">
      <w:pPr>
        <w:shd w:val="clear" w:color="auto" w:fill="FFFFFF"/>
        <w:spacing w:before="280" w:after="280"/>
        <w:jc w:val="both"/>
        <w:rPr>
          <w:rFonts w:ascii="Open Sans" w:eastAsia="Open Sans" w:hAnsi="Open Sans" w:cs="Open Sans"/>
          <w:color w:val="303AB2"/>
          <w:sz w:val="21"/>
          <w:szCs w:val="21"/>
        </w:rPr>
      </w:pPr>
      <w:r>
        <w:rPr>
          <w:rFonts w:ascii="Open Sans" w:eastAsia="Open Sans" w:hAnsi="Open Sans" w:cs="Open Sans"/>
          <w:color w:val="303AB2"/>
          <w:sz w:val="21"/>
          <w:szCs w:val="21"/>
        </w:rPr>
        <w:t>Perfil del demandante de alquiler en 2022</w:t>
      </w:r>
    </w:p>
    <w:p w14:paraId="44018550" w14:textId="77777777" w:rsidR="005B6AC4" w:rsidRDefault="00000000">
      <w:pPr>
        <w:shd w:val="clear" w:color="auto" w:fill="FFFFFF"/>
        <w:tabs>
          <w:tab w:val="left" w:pos="3686"/>
        </w:tabs>
        <w:spacing w:before="280" w:after="280"/>
        <w:jc w:val="both"/>
        <w:rPr>
          <w:rFonts w:ascii="Open Sans" w:eastAsia="Open Sans" w:hAnsi="Open Sans" w:cs="Open Sans"/>
          <w:sz w:val="21"/>
          <w:szCs w:val="21"/>
        </w:rPr>
      </w:pPr>
      <w:r>
        <w:rPr>
          <w:rFonts w:ascii="Open Sans" w:eastAsia="Open Sans" w:hAnsi="Open Sans" w:cs="Open Sans"/>
          <w:noProof/>
          <w:sz w:val="21"/>
          <w:szCs w:val="21"/>
        </w:rPr>
        <w:drawing>
          <wp:inline distT="114300" distB="114300" distL="114300" distR="114300" wp14:anchorId="7CA16F1A" wp14:editId="58302085">
            <wp:extent cx="5881688" cy="3507518"/>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3015" r="1425"/>
                    <a:stretch>
                      <a:fillRect/>
                    </a:stretch>
                  </pic:blipFill>
                  <pic:spPr>
                    <a:xfrm>
                      <a:off x="0" y="0"/>
                      <a:ext cx="5881688" cy="3507518"/>
                    </a:xfrm>
                    <a:prstGeom prst="rect">
                      <a:avLst/>
                    </a:prstGeom>
                    <a:ln/>
                  </pic:spPr>
                </pic:pic>
              </a:graphicData>
            </a:graphic>
          </wp:inline>
        </w:drawing>
      </w:r>
    </w:p>
    <w:p w14:paraId="6444449A" w14:textId="7B14CBD7" w:rsidR="005B6AC4" w:rsidRPr="005952F3" w:rsidRDefault="00000000" w:rsidP="005952F3">
      <w:pPr>
        <w:shd w:val="clear" w:color="auto" w:fill="FFFFFF"/>
        <w:spacing w:before="280" w:after="280"/>
        <w:jc w:val="both"/>
        <w:rPr>
          <w:rFonts w:ascii="Open Sans Light" w:eastAsia="Open Sans Light" w:hAnsi="Open Sans Light" w:cs="Open Sans Light"/>
          <w:b/>
          <w:color w:val="303AB2"/>
        </w:rPr>
      </w:pPr>
      <w:r>
        <w:rPr>
          <w:rFonts w:ascii="Open Sans" w:eastAsia="Open Sans" w:hAnsi="Open Sans" w:cs="Open Sans"/>
          <w:sz w:val="21"/>
          <w:szCs w:val="21"/>
        </w:rPr>
        <w:t xml:space="preserve">Uno de los cambios más relevantes entre los demandantes de alquiler, es que aumentan quienes viven con sus padres en 2 puntos porcentuales en tan solo un año (del 15% en 2021 al 17% en 2022). Una muestra de las dificultades para emanciparse que sufren cada vez más ciudadanos jóvenes. Además, también </w:t>
      </w:r>
      <w:r>
        <w:rPr>
          <w:rFonts w:ascii="Open Sans" w:eastAsia="Open Sans" w:hAnsi="Open Sans" w:cs="Open Sans"/>
          <w:b/>
          <w:sz w:val="21"/>
          <w:szCs w:val="21"/>
        </w:rPr>
        <w:t>se aprecia un incremento en el perfil socioeconómico alto (+2pp) y bajo (+9pp) de los demandantes,</w:t>
      </w:r>
      <w:r>
        <w:rPr>
          <w:rFonts w:ascii="Open Sans" w:eastAsia="Open Sans" w:hAnsi="Open Sans" w:cs="Open Sans"/>
          <w:sz w:val="21"/>
          <w:szCs w:val="21"/>
        </w:rPr>
        <w:t xml:space="preserve"> y cómo desciende el perfil medio (-10pp) en comparación con el año anterior.</w:t>
      </w:r>
    </w:p>
    <w:p w14:paraId="2A08BDA9" w14:textId="77777777" w:rsidR="005B6AC4" w:rsidRDefault="00000000">
      <w:pPr>
        <w:ind w:right="98"/>
        <w:jc w:val="right"/>
        <w:rPr>
          <w:rFonts w:ascii="Open Sans Light" w:eastAsia="Open Sans Light" w:hAnsi="Open Sans Light" w:cs="Open Sans Light"/>
          <w:b/>
          <w:color w:val="303AB2"/>
          <w:sz w:val="24"/>
          <w:szCs w:val="24"/>
        </w:rPr>
      </w:pPr>
      <w:r>
        <w:rPr>
          <w:rFonts w:ascii="Open Sans Light" w:eastAsia="Open Sans Light" w:hAnsi="Open Sans Light" w:cs="Open Sans Light"/>
          <w:b/>
          <w:color w:val="303AB2"/>
          <w:sz w:val="24"/>
          <w:szCs w:val="24"/>
        </w:rPr>
        <w:lastRenderedPageBreak/>
        <w:t>Sobre Fotocasa</w:t>
      </w:r>
    </w:p>
    <w:p w14:paraId="2C60BD95" w14:textId="77777777" w:rsidR="005B6AC4" w:rsidRDefault="00000000">
      <w:pPr>
        <w:shd w:val="clear" w:color="auto" w:fill="FFFFFF"/>
        <w:spacing w:before="280" w:after="280"/>
        <w:ind w:right="98"/>
        <w:jc w:val="both"/>
        <w:rPr>
          <w:rFonts w:ascii="Open Sans" w:eastAsia="Open Sans" w:hAnsi="Open Sans" w:cs="Open Sans"/>
        </w:rPr>
      </w:pPr>
      <w:r>
        <w:rPr>
          <w:rFonts w:ascii="Open Sans" w:eastAsia="Open Sans" w:hAnsi="Open Sans" w:cs="Open Sans"/>
        </w:rPr>
        <w:t>Portal inmobiliario que cuenta con inmuebles de segunda mano, promociones de obra nueva y viviendas de alquiler. Cada mes genera un tráfico de 34 millones de visitas (75% a través de dispositivos móviles). Mensualmente elabora el </w:t>
      </w:r>
      <w:hyperlink r:id="rId16">
        <w:r>
          <w:rPr>
            <w:rFonts w:ascii="Open Sans" w:eastAsia="Open Sans" w:hAnsi="Open Sans" w:cs="Open Sans"/>
            <w:color w:val="0000FF"/>
            <w:u w:val="single"/>
          </w:rPr>
          <w:t>índice inmobiliario Fotocasa</w:t>
        </w:r>
      </w:hyperlink>
      <w:r>
        <w:rPr>
          <w:rFonts w:ascii="Open Sans" w:eastAsia="Open Sans" w:hAnsi="Open Sans" w:cs="Open Sans"/>
        </w:rPr>
        <w:t xml:space="preserve">, un informe de referencia sobre la evolución del precio medio de la vivienda en España, tanto en venta como en alquiler. Toda nuestra información la puedes encontrar en nuestra </w:t>
      </w:r>
      <w:hyperlink r:id="rId17">
        <w:r>
          <w:rPr>
            <w:rFonts w:ascii="Open Sans" w:eastAsia="Open Sans" w:hAnsi="Open Sans" w:cs="Open Sans"/>
            <w:color w:val="0000FF"/>
            <w:u w:val="single"/>
          </w:rPr>
          <w:t>Sala de Prensa</w:t>
        </w:r>
      </w:hyperlink>
      <w:r>
        <w:rPr>
          <w:rFonts w:ascii="Open Sans" w:eastAsia="Open Sans" w:hAnsi="Open Sans" w:cs="Open Sans"/>
        </w:rPr>
        <w:t xml:space="preserve">. </w:t>
      </w:r>
    </w:p>
    <w:bookmarkStart w:id="0" w:name="_heading=h.gjdgxs" w:colFirst="0" w:colLast="0"/>
    <w:bookmarkEnd w:id="0"/>
    <w:p w14:paraId="1655D805" w14:textId="77777777" w:rsidR="005B6AC4" w:rsidRDefault="00000000">
      <w:pPr>
        <w:shd w:val="clear" w:color="auto" w:fill="FFFFFF"/>
        <w:spacing w:before="280" w:after="280"/>
        <w:ind w:right="98"/>
        <w:jc w:val="both"/>
        <w:rPr>
          <w:rFonts w:ascii="Open Sans" w:eastAsia="Open Sans" w:hAnsi="Open Sans" w:cs="Open Sans"/>
        </w:rPr>
      </w:pPr>
      <w:r>
        <w:fldChar w:fldCharType="begin"/>
      </w:r>
      <w:r>
        <w:instrText>HYPERLINK "http://www.fotocasa.es/" \h</w:instrText>
      </w:r>
      <w:r>
        <w:fldChar w:fldCharType="separate"/>
      </w:r>
      <w:r>
        <w:rPr>
          <w:rFonts w:ascii="Open Sans" w:eastAsia="Open Sans" w:hAnsi="Open Sans" w:cs="Open Sans"/>
          <w:b/>
          <w:color w:val="0000FF"/>
          <w:u w:val="single"/>
        </w:rPr>
        <w:t>Fotocasa</w:t>
      </w:r>
      <w:r>
        <w:rPr>
          <w:rFonts w:ascii="Open Sans" w:eastAsia="Open Sans" w:hAnsi="Open Sans" w:cs="Open Sans"/>
          <w:b/>
          <w:color w:val="0000FF"/>
          <w:u w:val="single"/>
        </w:rPr>
        <w:fldChar w:fldCharType="end"/>
      </w:r>
      <w:r>
        <w:rPr>
          <w:rFonts w:ascii="Open Sans" w:eastAsia="Open Sans" w:hAnsi="Open Sans" w:cs="Open Sans"/>
        </w:rPr>
        <w:t> pertenece a </w:t>
      </w:r>
      <w:proofErr w:type="spellStart"/>
      <w:r>
        <w:fldChar w:fldCharType="begin"/>
      </w:r>
      <w:r>
        <w:instrText>HYPERLINK "https://www.adevinta.com/" \h</w:instrText>
      </w:r>
      <w:r>
        <w:fldChar w:fldCharType="separate"/>
      </w:r>
      <w:r>
        <w:rPr>
          <w:rFonts w:ascii="Open Sans" w:eastAsia="Open Sans" w:hAnsi="Open Sans" w:cs="Open Sans"/>
          <w:color w:val="0000FF"/>
          <w:u w:val="single"/>
        </w:rPr>
        <w:t>Adevinta</w:t>
      </w:r>
      <w:proofErr w:type="spellEnd"/>
      <w:r>
        <w:rPr>
          <w:rFonts w:ascii="Open Sans" w:eastAsia="Open Sans" w:hAnsi="Open Sans" w:cs="Open Sans"/>
          <w:color w:val="0000FF"/>
          <w:u w:val="single"/>
        </w:rPr>
        <w:fldChar w:fldCharType="end"/>
      </w:r>
      <w:r>
        <w:rPr>
          <w:rFonts w:ascii="Open Sans" w:eastAsia="Open Sans" w:hAnsi="Open Sans" w:cs="Open Sans"/>
        </w:rPr>
        <w:t xml:space="preserve">, una empresa 100% especializada en </w:t>
      </w:r>
      <w:proofErr w:type="spellStart"/>
      <w:r>
        <w:rPr>
          <w:rFonts w:ascii="Open Sans" w:eastAsia="Open Sans" w:hAnsi="Open Sans" w:cs="Open Sans"/>
        </w:rPr>
        <w:t>Marketplaces</w:t>
      </w:r>
      <w:proofErr w:type="spellEnd"/>
      <w:r>
        <w:rPr>
          <w:rFonts w:ascii="Open Sans" w:eastAsia="Open Sans" w:hAnsi="Open Sans" w:cs="Open Sans"/>
        </w:rPr>
        <w:t xml:space="preserve"> digitales y el único “pure </w:t>
      </w:r>
      <w:proofErr w:type="spellStart"/>
      <w:r>
        <w:rPr>
          <w:rFonts w:ascii="Open Sans" w:eastAsia="Open Sans" w:hAnsi="Open Sans" w:cs="Open Sans"/>
        </w:rPr>
        <w:t>player</w:t>
      </w:r>
      <w:proofErr w:type="spellEnd"/>
      <w:r>
        <w:rPr>
          <w:rFonts w:ascii="Open Sans" w:eastAsia="Open Sans" w:hAnsi="Open Sans" w:cs="Open Sans"/>
        </w:rPr>
        <w:t xml:space="preserve">” del sector a nivel mundial. </w:t>
      </w:r>
      <w:hyperlink r:id="rId18">
        <w:r>
          <w:rPr>
            <w:rFonts w:ascii="Open Sans" w:eastAsia="Open Sans" w:hAnsi="Open Sans" w:cs="Open Sans"/>
            <w:color w:val="0000FF"/>
            <w:u w:val="single"/>
          </w:rPr>
          <w:t>Más información sobre Fotocasa</w:t>
        </w:r>
      </w:hyperlink>
      <w:r>
        <w:rPr>
          <w:rFonts w:ascii="Open Sans" w:eastAsia="Open Sans" w:hAnsi="Open Sans" w:cs="Open Sans"/>
        </w:rPr>
        <w:t xml:space="preserve">. </w:t>
      </w:r>
    </w:p>
    <w:p w14:paraId="764CF7F4" w14:textId="77777777" w:rsidR="005B6AC4" w:rsidRDefault="00000000">
      <w:pPr>
        <w:ind w:right="98"/>
        <w:jc w:val="right"/>
        <w:rPr>
          <w:rFonts w:ascii="Open Sans Light" w:eastAsia="Open Sans Light" w:hAnsi="Open Sans Light" w:cs="Open Sans Light"/>
          <w:b/>
          <w:color w:val="303AB2"/>
          <w:sz w:val="24"/>
          <w:szCs w:val="24"/>
        </w:rPr>
      </w:pPr>
      <w:r>
        <w:rPr>
          <w:rFonts w:ascii="Open Sans Light" w:eastAsia="Open Sans Light" w:hAnsi="Open Sans Light" w:cs="Open Sans Light"/>
          <w:b/>
          <w:color w:val="303AB2"/>
          <w:sz w:val="24"/>
          <w:szCs w:val="24"/>
        </w:rPr>
        <w:t xml:space="preserve">Sobre </w:t>
      </w:r>
      <w:proofErr w:type="spellStart"/>
      <w:r>
        <w:rPr>
          <w:rFonts w:ascii="Open Sans Light" w:eastAsia="Open Sans Light" w:hAnsi="Open Sans Light" w:cs="Open Sans Light"/>
          <w:b/>
          <w:color w:val="303AB2"/>
          <w:sz w:val="24"/>
          <w:szCs w:val="24"/>
        </w:rPr>
        <w:t>Adevinta</w:t>
      </w:r>
      <w:proofErr w:type="spellEnd"/>
      <w:r>
        <w:rPr>
          <w:rFonts w:ascii="Open Sans Light" w:eastAsia="Open Sans Light" w:hAnsi="Open Sans Light" w:cs="Open Sans Light"/>
          <w:b/>
          <w:color w:val="303AB2"/>
          <w:sz w:val="24"/>
          <w:szCs w:val="24"/>
        </w:rPr>
        <w:t xml:space="preserve"> </w:t>
      </w:r>
      <w:proofErr w:type="spellStart"/>
      <w:r>
        <w:rPr>
          <w:rFonts w:ascii="Open Sans Light" w:eastAsia="Open Sans Light" w:hAnsi="Open Sans Light" w:cs="Open Sans Light"/>
          <w:b/>
          <w:color w:val="303AB2"/>
          <w:sz w:val="24"/>
          <w:szCs w:val="24"/>
        </w:rPr>
        <w:t>Spain</w:t>
      </w:r>
      <w:proofErr w:type="spellEnd"/>
    </w:p>
    <w:p w14:paraId="01D13811" w14:textId="77777777" w:rsidR="005B6AC4" w:rsidRDefault="00000000">
      <w:pPr>
        <w:spacing w:before="143" w:after="200" w:line="240" w:lineRule="auto"/>
        <w:ind w:right="98"/>
        <w:jc w:val="both"/>
        <w:rPr>
          <w:rFonts w:ascii="Open Sans" w:eastAsia="Open Sans" w:hAnsi="Open Sans" w:cs="Open Sans"/>
          <w:sz w:val="24"/>
          <w:szCs w:val="24"/>
        </w:rPr>
      </w:pPr>
      <w:proofErr w:type="spellStart"/>
      <w:r>
        <w:rPr>
          <w:rFonts w:ascii="Open Sans" w:eastAsia="Open Sans" w:hAnsi="Open Sans" w:cs="Open Sans"/>
        </w:rPr>
        <w:t>Adevinta</w:t>
      </w:r>
      <w:proofErr w:type="spellEnd"/>
      <w:r>
        <w:rPr>
          <w:rFonts w:ascii="Open Sans" w:eastAsia="Open Sans" w:hAnsi="Open Sans" w:cs="Open Sans"/>
        </w:rPr>
        <w:t xml:space="preserve"> </w:t>
      </w:r>
      <w:proofErr w:type="spellStart"/>
      <w:r>
        <w:rPr>
          <w:rFonts w:ascii="Open Sans" w:eastAsia="Open Sans" w:hAnsi="Open Sans" w:cs="Open Sans"/>
        </w:rPr>
        <w:t>Spain</w:t>
      </w:r>
      <w:proofErr w:type="spellEnd"/>
      <w:r>
        <w:rPr>
          <w:rFonts w:ascii="Open Sans" w:eastAsia="Open Sans" w:hAnsi="Open Sans" w:cs="Open Sans"/>
        </w:rPr>
        <w:t xml:space="preserve"> es una compañía líder en </w:t>
      </w:r>
      <w:proofErr w:type="spellStart"/>
      <w:r>
        <w:rPr>
          <w:rFonts w:ascii="Open Sans" w:eastAsia="Open Sans" w:hAnsi="Open Sans" w:cs="Open Sans"/>
        </w:rPr>
        <w:t>marketplaces</w:t>
      </w:r>
      <w:proofErr w:type="spellEnd"/>
      <w:r>
        <w:rPr>
          <w:rFonts w:ascii="Open Sans" w:eastAsia="Open Sans" w:hAnsi="Open Sans" w:cs="Open Sans"/>
        </w:rPr>
        <w:t xml:space="preserve"> digitales y una de las principales empresas del sector tecnológico del país, con más de 18 millones de usuarios al mes en sus plataformas de los sectores inmobiliario (</w:t>
      </w:r>
      <w:hyperlink r:id="rId19">
        <w:r>
          <w:rPr>
            <w:rFonts w:ascii="Open Sans" w:eastAsia="Open Sans" w:hAnsi="Open Sans" w:cs="Open Sans"/>
            <w:color w:val="1155CC"/>
            <w:u w:val="single"/>
          </w:rPr>
          <w:t>Fotocasa</w:t>
        </w:r>
      </w:hyperlink>
      <w:r>
        <w:rPr>
          <w:rFonts w:ascii="Open Sans" w:eastAsia="Open Sans" w:hAnsi="Open Sans" w:cs="Open Sans"/>
          <w:color w:val="231F20"/>
        </w:rPr>
        <w:t xml:space="preserve"> </w:t>
      </w:r>
      <w:r>
        <w:rPr>
          <w:rFonts w:ascii="Open Sans" w:eastAsia="Open Sans" w:hAnsi="Open Sans" w:cs="Open Sans"/>
        </w:rPr>
        <w:t>y</w:t>
      </w:r>
      <w:r>
        <w:rPr>
          <w:rFonts w:ascii="Open Sans" w:eastAsia="Open Sans" w:hAnsi="Open Sans" w:cs="Open Sans"/>
          <w:color w:val="231F20"/>
        </w:rPr>
        <w:t xml:space="preserve"> </w:t>
      </w:r>
      <w:hyperlink r:id="rId20">
        <w:proofErr w:type="spellStart"/>
        <w:r>
          <w:rPr>
            <w:rFonts w:ascii="Open Sans" w:eastAsia="Open Sans" w:hAnsi="Open Sans" w:cs="Open Sans"/>
            <w:color w:val="1155CC"/>
            <w:u w:val="single"/>
          </w:rPr>
          <w:t>habitaclia</w:t>
        </w:r>
        <w:proofErr w:type="spellEnd"/>
      </w:hyperlink>
      <w:r>
        <w:rPr>
          <w:rFonts w:ascii="Open Sans" w:eastAsia="Open Sans" w:hAnsi="Open Sans" w:cs="Open Sans"/>
        </w:rPr>
        <w:t>), empleo (</w:t>
      </w:r>
      <w:hyperlink r:id="rId21">
        <w:r>
          <w:rPr>
            <w:rFonts w:ascii="Open Sans" w:eastAsia="Open Sans" w:hAnsi="Open Sans" w:cs="Open Sans"/>
            <w:color w:val="1155CC"/>
            <w:u w:val="single"/>
          </w:rPr>
          <w:t>InfoJobs</w:t>
        </w:r>
      </w:hyperlink>
      <w:r>
        <w:rPr>
          <w:rFonts w:ascii="Open Sans" w:eastAsia="Open Sans" w:hAnsi="Open Sans" w:cs="Open Sans"/>
        </w:rPr>
        <w:t>), motor (</w:t>
      </w:r>
      <w:hyperlink r:id="rId22">
        <w:r>
          <w:rPr>
            <w:rFonts w:ascii="Open Sans" w:eastAsia="Open Sans" w:hAnsi="Open Sans" w:cs="Open Sans"/>
            <w:color w:val="1155CC"/>
            <w:u w:val="single"/>
          </w:rPr>
          <w:t>coches.net</w:t>
        </w:r>
      </w:hyperlink>
      <w:r>
        <w:rPr>
          <w:rFonts w:ascii="Open Sans" w:eastAsia="Open Sans" w:hAnsi="Open Sans" w:cs="Open Sans"/>
          <w:color w:val="231F20"/>
        </w:rPr>
        <w:t xml:space="preserve"> </w:t>
      </w:r>
      <w:r>
        <w:rPr>
          <w:rFonts w:ascii="Open Sans" w:eastAsia="Open Sans" w:hAnsi="Open Sans" w:cs="Open Sans"/>
        </w:rPr>
        <w:t>y</w:t>
      </w:r>
      <w:r>
        <w:rPr>
          <w:rFonts w:ascii="Open Sans" w:eastAsia="Open Sans" w:hAnsi="Open Sans" w:cs="Open Sans"/>
          <w:color w:val="231F20"/>
        </w:rPr>
        <w:t xml:space="preserve"> </w:t>
      </w:r>
      <w:hyperlink r:id="rId23">
        <w:r>
          <w:rPr>
            <w:rFonts w:ascii="Open Sans" w:eastAsia="Open Sans" w:hAnsi="Open Sans" w:cs="Open Sans"/>
            <w:color w:val="1155CC"/>
            <w:u w:val="single"/>
          </w:rPr>
          <w:t>motos.net</w:t>
        </w:r>
      </w:hyperlink>
      <w:r>
        <w:rPr>
          <w:rFonts w:ascii="Open Sans" w:eastAsia="Open Sans" w:hAnsi="Open Sans" w:cs="Open Sans"/>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u w:val="single"/>
        </w:rPr>
        <w:t>Milanuncios</w:t>
      </w:r>
      <w:proofErr w:type="spellEnd"/>
      <w:r>
        <w:rPr>
          <w:rFonts w:ascii="Open Sans" w:eastAsia="Open Sans" w:hAnsi="Open Sans" w:cs="Open Sans"/>
          <w:color w:val="1155CC"/>
          <w:u w:val="single"/>
        </w:rPr>
        <w:fldChar w:fldCharType="end"/>
      </w:r>
      <w:r>
        <w:rPr>
          <w:rFonts w:ascii="Open Sans" w:eastAsia="Open Sans" w:hAnsi="Open Sans" w:cs="Open Sans"/>
        </w:rPr>
        <w:t>).</w:t>
      </w:r>
    </w:p>
    <w:p w14:paraId="5260915B" w14:textId="77777777" w:rsidR="005B6AC4" w:rsidRDefault="00000000">
      <w:pPr>
        <w:spacing w:before="143" w:after="200" w:line="240" w:lineRule="auto"/>
        <w:ind w:right="98"/>
        <w:jc w:val="both"/>
        <w:rPr>
          <w:rFonts w:ascii="Open Sans" w:eastAsia="Open Sans" w:hAnsi="Open Sans" w:cs="Open Sans"/>
        </w:rPr>
      </w:pPr>
      <w:r>
        <w:rPr>
          <w:rFonts w:ascii="Open Sans" w:eastAsia="Open Sans" w:hAnsi="Open Sans" w:cs="Open Sans"/>
        </w:rPr>
        <w:t xml:space="preserve">Los negocios de </w:t>
      </w:r>
      <w:proofErr w:type="spellStart"/>
      <w:r>
        <w:rPr>
          <w:rFonts w:ascii="Open Sans" w:eastAsia="Open Sans" w:hAnsi="Open Sans" w:cs="Open Sans"/>
        </w:rPr>
        <w:t>Adevinta</w:t>
      </w:r>
      <w:proofErr w:type="spellEnd"/>
      <w:r>
        <w:rPr>
          <w:rFonts w:ascii="Open Sans" w:eastAsia="Open Sans" w:hAnsi="Open Sans" w:cs="Open Sans"/>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5DB53E34" w14:textId="77777777" w:rsidR="005B6AC4" w:rsidRDefault="00000000">
      <w:pPr>
        <w:spacing w:before="143" w:after="200" w:line="240" w:lineRule="auto"/>
        <w:ind w:right="98"/>
        <w:jc w:val="both"/>
        <w:rPr>
          <w:rFonts w:ascii="Open Sans" w:eastAsia="Open Sans" w:hAnsi="Open Sans" w:cs="Open Sans"/>
        </w:rPr>
      </w:pPr>
      <w:proofErr w:type="spellStart"/>
      <w:r>
        <w:rPr>
          <w:rFonts w:ascii="Open Sans" w:eastAsia="Open Sans" w:hAnsi="Open Sans" w:cs="Open Sans"/>
        </w:rPr>
        <w:t>Adevinta</w:t>
      </w:r>
      <w:proofErr w:type="spellEnd"/>
      <w:r>
        <w:rPr>
          <w:rFonts w:ascii="Open Sans" w:eastAsia="Open Sans" w:hAnsi="Open Sans" w:cs="Open Sans"/>
        </w:rPr>
        <w:t xml:space="preserve"> tiene presencia mundial en 11 países. El conjunto de sus plataformas locales recibe un promedio de 3.000 millones de visitas cada mes. </w:t>
      </w:r>
    </w:p>
    <w:p w14:paraId="0D204230" w14:textId="77777777" w:rsidR="005B6AC4" w:rsidRDefault="00000000">
      <w:pPr>
        <w:spacing w:after="160" w:line="240" w:lineRule="auto"/>
        <w:ind w:right="98"/>
        <w:rPr>
          <w:rFonts w:ascii="Open Sans" w:eastAsia="Open Sans" w:hAnsi="Open Sans" w:cs="Open Sans"/>
          <w:color w:val="1155CC"/>
          <w:u w:val="single"/>
        </w:rPr>
      </w:pPr>
      <w:r>
        <w:rPr>
          <w:rFonts w:ascii="Open Sans" w:eastAsia="Open Sans" w:hAnsi="Open Sans" w:cs="Open Sans"/>
        </w:rPr>
        <w:t xml:space="preserve">Más información en </w:t>
      </w:r>
      <w:hyperlink r:id="rId24">
        <w:r>
          <w:rPr>
            <w:rFonts w:ascii="Open Sans" w:eastAsia="Open Sans" w:hAnsi="Open Sans" w:cs="Open Sans"/>
            <w:color w:val="1155CC"/>
            <w:u w:val="single"/>
          </w:rPr>
          <w:t>adevinta.es</w:t>
        </w:r>
      </w:hyperlink>
    </w:p>
    <w:p w14:paraId="2997D121" w14:textId="77777777" w:rsidR="005B6AC4" w:rsidRDefault="005B6AC4">
      <w:pPr>
        <w:ind w:right="98"/>
        <w:rPr>
          <w:rFonts w:ascii="Open Sans Light" w:eastAsia="Open Sans Light" w:hAnsi="Open Sans Light" w:cs="Open Sans Light"/>
          <w:b/>
          <w:color w:val="303AB2"/>
        </w:rPr>
      </w:pPr>
    </w:p>
    <w:p w14:paraId="403EA07A" w14:textId="77777777" w:rsidR="005B6AC4" w:rsidRDefault="00000000">
      <w:pPr>
        <w:ind w:right="98"/>
        <w:rPr>
          <w:rFonts w:ascii="Open Sans Light" w:eastAsia="Open Sans Light" w:hAnsi="Open Sans Light" w:cs="Open Sans Light"/>
          <w:b/>
          <w:color w:val="303AB2"/>
        </w:rPr>
      </w:pPr>
      <w:r>
        <w:rPr>
          <w:rFonts w:ascii="Open Sans Light" w:eastAsia="Open Sans Light" w:hAnsi="Open Sans Light" w:cs="Open Sans Light"/>
          <w:b/>
          <w:color w:val="303AB2"/>
        </w:rPr>
        <w:t>Departamento Comunicación Fotocasa</w:t>
      </w:r>
    </w:p>
    <w:p w14:paraId="3D9F38B8" w14:textId="77777777" w:rsidR="005B6AC4" w:rsidRDefault="00000000">
      <w:pPr>
        <w:shd w:val="clear" w:color="auto" w:fill="FFFFFF"/>
        <w:ind w:right="98"/>
        <w:rPr>
          <w:rFonts w:ascii="Open Sans" w:eastAsia="Open Sans" w:hAnsi="Open Sans" w:cs="Open Sans"/>
          <w:b/>
        </w:rPr>
      </w:pPr>
      <w:r>
        <w:rPr>
          <w:rFonts w:ascii="Open Sans" w:eastAsia="Open Sans" w:hAnsi="Open Sans" w:cs="Open Sans"/>
          <w:b/>
        </w:rPr>
        <w:t>Anaïs López</w:t>
      </w:r>
    </w:p>
    <w:p w14:paraId="204FC0DD" w14:textId="77777777" w:rsidR="005B6AC4" w:rsidRDefault="00000000">
      <w:pPr>
        <w:shd w:val="clear" w:color="auto" w:fill="FFFFFF"/>
        <w:ind w:right="98"/>
        <w:rPr>
          <w:rFonts w:ascii="Open Sans" w:eastAsia="Open Sans" w:hAnsi="Open Sans" w:cs="Open Sans"/>
          <w:color w:val="0000FF"/>
          <w:u w:val="single"/>
        </w:rPr>
      </w:pPr>
      <w:hyperlink r:id="rId25">
        <w:r>
          <w:rPr>
            <w:rFonts w:ascii="Open Sans" w:eastAsia="Open Sans" w:hAnsi="Open Sans" w:cs="Open Sans"/>
            <w:color w:val="0000FF"/>
            <w:u w:val="single"/>
          </w:rPr>
          <w:t>comunicacion@fotocasa.es</w:t>
        </w:r>
      </w:hyperlink>
    </w:p>
    <w:p w14:paraId="2EA6A5D8" w14:textId="77777777" w:rsidR="005B6AC4" w:rsidRDefault="00000000">
      <w:pPr>
        <w:shd w:val="clear" w:color="auto" w:fill="FFFFFF"/>
        <w:ind w:right="98"/>
        <w:rPr>
          <w:rFonts w:ascii="Open Sans" w:eastAsia="Open Sans" w:hAnsi="Open Sans" w:cs="Open Sans"/>
        </w:rPr>
      </w:pPr>
      <w:r>
        <w:rPr>
          <w:rFonts w:ascii="Open Sans" w:eastAsia="Open Sans" w:hAnsi="Open Sans" w:cs="Open Sans"/>
        </w:rPr>
        <w:t>620 66 29 26</w:t>
      </w:r>
    </w:p>
    <w:p w14:paraId="4A3514DA" w14:textId="77777777" w:rsidR="005B6AC4" w:rsidRDefault="005B6AC4">
      <w:pPr>
        <w:ind w:right="98"/>
        <w:rPr>
          <w:rFonts w:ascii="Open Sans Light" w:eastAsia="Open Sans Light" w:hAnsi="Open Sans Light" w:cs="Open Sans Light"/>
          <w:b/>
          <w:color w:val="303AB2"/>
        </w:rPr>
      </w:pPr>
    </w:p>
    <w:p w14:paraId="716DD0AD" w14:textId="77777777" w:rsidR="005B6AC4" w:rsidRDefault="00000000">
      <w:pPr>
        <w:ind w:right="98"/>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Llorente y Cuenca    </w:t>
      </w:r>
      <w:r>
        <w:rPr>
          <w:rFonts w:ascii="Open Sans Light" w:eastAsia="Open Sans Light" w:hAnsi="Open Sans Light" w:cs="Open Sans Light"/>
          <w:b/>
          <w:color w:val="303AB2"/>
        </w:rPr>
        <w:tab/>
      </w:r>
      <w:r>
        <w:rPr>
          <w:rFonts w:ascii="Open Sans Light" w:eastAsia="Open Sans Light" w:hAnsi="Open Sans Light" w:cs="Open Sans Light"/>
          <w:b/>
          <w:color w:val="303AB2"/>
        </w:rPr>
        <w:tab/>
      </w:r>
      <w:r>
        <w:rPr>
          <w:rFonts w:ascii="Open Sans Light" w:eastAsia="Open Sans Light" w:hAnsi="Open Sans Light" w:cs="Open Sans Light"/>
          <w:b/>
          <w:color w:val="303AB2"/>
        </w:rPr>
        <w:tab/>
        <w:t xml:space="preserve">       </w:t>
      </w:r>
      <w:r>
        <w:rPr>
          <w:rFonts w:ascii="Open Sans Light" w:eastAsia="Open Sans Light" w:hAnsi="Open Sans Light" w:cs="Open Sans Light"/>
          <w:b/>
          <w:color w:val="303AB2"/>
        </w:rPr>
        <w:tab/>
      </w:r>
    </w:p>
    <w:p w14:paraId="1CEB62C1" w14:textId="77777777" w:rsidR="005B6AC4" w:rsidRDefault="00000000">
      <w:pPr>
        <w:shd w:val="clear" w:color="auto" w:fill="FFFFFF"/>
        <w:ind w:right="98"/>
        <w:rPr>
          <w:rFonts w:ascii="Open Sans" w:eastAsia="Open Sans" w:hAnsi="Open Sans" w:cs="Open Sans"/>
          <w:b/>
        </w:rPr>
      </w:pPr>
      <w:r>
        <w:rPr>
          <w:rFonts w:ascii="Open Sans" w:eastAsia="Open Sans" w:hAnsi="Open Sans" w:cs="Open Sans"/>
          <w:b/>
        </w:rPr>
        <w:t>Ramon Torné</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 xml:space="preserve">                 </w:t>
      </w:r>
    </w:p>
    <w:p w14:paraId="0D383ACB" w14:textId="77777777" w:rsidR="005B6AC4" w:rsidRPr="005952F3" w:rsidRDefault="00000000">
      <w:pPr>
        <w:shd w:val="clear" w:color="auto" w:fill="FFFFFF"/>
        <w:ind w:right="98"/>
        <w:rPr>
          <w:rFonts w:ascii="Open Sans" w:eastAsia="Open Sans" w:hAnsi="Open Sans" w:cs="Open Sans"/>
          <w:color w:val="0000FF"/>
          <w:u w:val="single"/>
          <w:lang w:val="en-US"/>
        </w:rPr>
      </w:pPr>
      <w:hyperlink r:id="rId26">
        <w:r w:rsidRPr="005952F3">
          <w:rPr>
            <w:rFonts w:ascii="Open Sans" w:eastAsia="Open Sans" w:hAnsi="Open Sans" w:cs="Open Sans"/>
            <w:color w:val="0000FF"/>
            <w:u w:val="single"/>
            <w:lang w:val="en-US"/>
          </w:rPr>
          <w:t>rtorne@llorenteycuenca.com</w:t>
        </w:r>
      </w:hyperlink>
      <w:r w:rsidRPr="005952F3">
        <w:rPr>
          <w:rFonts w:ascii="Open Sans" w:eastAsia="Open Sans" w:hAnsi="Open Sans" w:cs="Open Sans"/>
          <w:color w:val="0000FF"/>
          <w:lang w:val="en-US"/>
        </w:rPr>
        <w:tab/>
      </w:r>
      <w:r w:rsidRPr="005952F3">
        <w:rPr>
          <w:rFonts w:ascii="Open Sans" w:eastAsia="Open Sans" w:hAnsi="Open Sans" w:cs="Open Sans"/>
          <w:color w:val="0000FF"/>
          <w:lang w:val="en-US"/>
        </w:rPr>
        <w:tab/>
      </w:r>
      <w:r w:rsidRPr="005952F3">
        <w:rPr>
          <w:rFonts w:ascii="Open Sans" w:eastAsia="Open Sans" w:hAnsi="Open Sans" w:cs="Open Sans"/>
          <w:color w:val="0000FF"/>
          <w:lang w:val="en-US"/>
        </w:rPr>
        <w:tab/>
      </w:r>
    </w:p>
    <w:p w14:paraId="1F708CD5" w14:textId="77777777" w:rsidR="005952F3" w:rsidRDefault="00000000">
      <w:pPr>
        <w:shd w:val="clear" w:color="auto" w:fill="FFFFFF"/>
        <w:ind w:right="98"/>
        <w:rPr>
          <w:rFonts w:ascii="Open Sans" w:eastAsia="Open Sans" w:hAnsi="Open Sans" w:cs="Open Sans"/>
          <w:lang w:val="en-US"/>
        </w:rPr>
      </w:pPr>
      <w:r w:rsidRPr="005952F3">
        <w:rPr>
          <w:rFonts w:ascii="Open Sans" w:eastAsia="Open Sans" w:hAnsi="Open Sans" w:cs="Open Sans"/>
          <w:lang w:val="en-US"/>
        </w:rPr>
        <w:t xml:space="preserve">638 68 19 85      </w:t>
      </w:r>
      <w:r w:rsidRPr="005952F3">
        <w:rPr>
          <w:rFonts w:ascii="Open Sans" w:eastAsia="Open Sans" w:hAnsi="Open Sans" w:cs="Open Sans"/>
          <w:lang w:val="en-US"/>
        </w:rPr>
        <w:tab/>
      </w:r>
    </w:p>
    <w:p w14:paraId="41342575" w14:textId="67DCDF54" w:rsidR="005B6AC4" w:rsidRPr="005952F3" w:rsidRDefault="00000000">
      <w:pPr>
        <w:shd w:val="clear" w:color="auto" w:fill="FFFFFF"/>
        <w:ind w:right="98"/>
        <w:rPr>
          <w:rFonts w:ascii="Open Sans" w:eastAsia="Open Sans" w:hAnsi="Open Sans" w:cs="Open Sans"/>
          <w:lang w:val="en-US"/>
        </w:rPr>
      </w:pPr>
      <w:r w:rsidRPr="005952F3">
        <w:rPr>
          <w:rFonts w:ascii="Open Sans" w:eastAsia="Open Sans" w:hAnsi="Open Sans" w:cs="Open Sans"/>
          <w:lang w:val="en-US"/>
        </w:rPr>
        <w:tab/>
      </w:r>
      <w:r w:rsidRPr="005952F3">
        <w:rPr>
          <w:rFonts w:ascii="Open Sans" w:eastAsia="Open Sans" w:hAnsi="Open Sans" w:cs="Open Sans"/>
          <w:lang w:val="en-US"/>
        </w:rPr>
        <w:tab/>
      </w:r>
      <w:r w:rsidRPr="005952F3">
        <w:rPr>
          <w:rFonts w:ascii="Open Sans" w:eastAsia="Open Sans" w:hAnsi="Open Sans" w:cs="Open Sans"/>
          <w:lang w:val="en-US"/>
        </w:rPr>
        <w:tab/>
      </w:r>
      <w:r w:rsidRPr="005952F3">
        <w:rPr>
          <w:rFonts w:ascii="Open Sans" w:eastAsia="Open Sans" w:hAnsi="Open Sans" w:cs="Open Sans"/>
          <w:lang w:val="en-US"/>
        </w:rPr>
        <w:tab/>
      </w:r>
      <w:r w:rsidRPr="005952F3">
        <w:rPr>
          <w:rFonts w:ascii="Open Sans" w:eastAsia="Open Sans" w:hAnsi="Open Sans" w:cs="Open Sans"/>
          <w:lang w:val="en-US"/>
        </w:rPr>
        <w:tab/>
      </w:r>
      <w:r w:rsidRPr="005952F3">
        <w:rPr>
          <w:rFonts w:ascii="Open Sans" w:eastAsia="Open Sans" w:hAnsi="Open Sans" w:cs="Open Sans"/>
          <w:lang w:val="en-US"/>
        </w:rPr>
        <w:tab/>
      </w:r>
      <w:r w:rsidRPr="005952F3">
        <w:rPr>
          <w:rFonts w:ascii="Open Sans" w:eastAsia="Open Sans" w:hAnsi="Open Sans" w:cs="Open Sans"/>
          <w:lang w:val="en-US"/>
        </w:rPr>
        <w:tab/>
      </w:r>
    </w:p>
    <w:p w14:paraId="088DDDB0" w14:textId="77777777" w:rsidR="005B6AC4" w:rsidRPr="005952F3" w:rsidRDefault="00000000">
      <w:pPr>
        <w:shd w:val="clear" w:color="auto" w:fill="FFFFFF"/>
        <w:spacing w:line="240" w:lineRule="auto"/>
        <w:ind w:right="98"/>
        <w:rPr>
          <w:color w:val="222222"/>
          <w:lang w:val="en-US"/>
        </w:rPr>
      </w:pPr>
      <w:r w:rsidRPr="005952F3">
        <w:rPr>
          <w:color w:val="222222"/>
          <w:lang w:val="en-US"/>
        </w:rPr>
        <w:tab/>
      </w:r>
      <w:r w:rsidRPr="005952F3">
        <w:rPr>
          <w:color w:val="222222"/>
          <w:lang w:val="en-US"/>
        </w:rPr>
        <w:tab/>
      </w:r>
      <w:r w:rsidRPr="005952F3">
        <w:rPr>
          <w:color w:val="222222"/>
          <w:lang w:val="en-US"/>
        </w:rPr>
        <w:tab/>
      </w:r>
      <w:r w:rsidRPr="005952F3">
        <w:rPr>
          <w:color w:val="222222"/>
          <w:lang w:val="en-US"/>
        </w:rPr>
        <w:tab/>
      </w:r>
      <w:r w:rsidRPr="005952F3">
        <w:rPr>
          <w:color w:val="222222"/>
          <w:lang w:val="en-US"/>
        </w:rPr>
        <w:tab/>
      </w:r>
      <w:r w:rsidRPr="005952F3">
        <w:rPr>
          <w:color w:val="222222"/>
          <w:lang w:val="en-US"/>
        </w:rPr>
        <w:tab/>
      </w:r>
      <w:r w:rsidRPr="005952F3">
        <w:rPr>
          <w:color w:val="222222"/>
          <w:lang w:val="en-US"/>
        </w:rPr>
        <w:tab/>
        <w:t xml:space="preserve">     </w:t>
      </w:r>
    </w:p>
    <w:p w14:paraId="457E56CB" w14:textId="77777777" w:rsidR="005B6AC4" w:rsidRPr="005952F3" w:rsidRDefault="00000000">
      <w:pPr>
        <w:shd w:val="clear" w:color="auto" w:fill="FFFFFF"/>
        <w:spacing w:line="240" w:lineRule="auto"/>
        <w:ind w:right="98"/>
        <w:rPr>
          <w:rFonts w:ascii="Open Sans" w:eastAsia="Open Sans" w:hAnsi="Open Sans" w:cs="Open Sans"/>
          <w:b/>
          <w:lang w:val="en-US"/>
        </w:rPr>
      </w:pPr>
      <w:r w:rsidRPr="005952F3">
        <w:rPr>
          <w:rFonts w:ascii="Open Sans" w:eastAsia="Open Sans" w:hAnsi="Open Sans" w:cs="Open Sans"/>
          <w:b/>
          <w:lang w:val="en-US"/>
        </w:rPr>
        <w:lastRenderedPageBreak/>
        <w:t>Fanny Merino</w:t>
      </w:r>
    </w:p>
    <w:p w14:paraId="1AD489E2" w14:textId="77777777" w:rsidR="005B6AC4" w:rsidRPr="005952F3" w:rsidRDefault="00000000">
      <w:pPr>
        <w:shd w:val="clear" w:color="auto" w:fill="FFFFFF"/>
        <w:spacing w:line="240" w:lineRule="auto"/>
        <w:ind w:right="98"/>
        <w:rPr>
          <w:rFonts w:ascii="Open Sans" w:eastAsia="Open Sans" w:hAnsi="Open Sans" w:cs="Open Sans"/>
          <w:b/>
          <w:lang w:val="en-US"/>
        </w:rPr>
      </w:pPr>
      <w:hyperlink r:id="rId27">
        <w:r w:rsidRPr="005952F3">
          <w:rPr>
            <w:rFonts w:ascii="Open Sans" w:eastAsia="Open Sans" w:hAnsi="Open Sans" w:cs="Open Sans"/>
            <w:color w:val="0000FF"/>
            <w:u w:val="single"/>
            <w:lang w:val="en-US"/>
          </w:rPr>
          <w:t>emerino@llorenteycuenca.com</w:t>
        </w:r>
      </w:hyperlink>
      <w:r w:rsidRPr="005952F3">
        <w:rPr>
          <w:rFonts w:ascii="Open Sans" w:eastAsia="Open Sans" w:hAnsi="Open Sans" w:cs="Open Sans"/>
          <w:color w:val="0000FF"/>
          <w:lang w:val="en-US"/>
        </w:rPr>
        <w:tab/>
      </w:r>
      <w:r w:rsidRPr="005952F3">
        <w:rPr>
          <w:rFonts w:ascii="Open Sans" w:eastAsia="Open Sans" w:hAnsi="Open Sans" w:cs="Open Sans"/>
          <w:color w:val="0000FF"/>
          <w:lang w:val="en-US"/>
        </w:rPr>
        <w:tab/>
      </w:r>
    </w:p>
    <w:p w14:paraId="66BA584C" w14:textId="77777777" w:rsidR="005B6AC4" w:rsidRPr="005952F3" w:rsidRDefault="00000000">
      <w:pPr>
        <w:shd w:val="clear" w:color="auto" w:fill="FFFFFF"/>
        <w:spacing w:line="240" w:lineRule="auto"/>
        <w:ind w:right="98"/>
        <w:rPr>
          <w:rFonts w:ascii="Open Sans" w:eastAsia="Open Sans" w:hAnsi="Open Sans" w:cs="Open Sans"/>
          <w:lang w:val="en-US"/>
        </w:rPr>
      </w:pPr>
      <w:r w:rsidRPr="005952F3">
        <w:rPr>
          <w:rFonts w:ascii="Open Sans" w:eastAsia="Open Sans" w:hAnsi="Open Sans" w:cs="Open Sans"/>
          <w:lang w:val="en-US"/>
        </w:rPr>
        <w:t>663 35 69 75 </w:t>
      </w:r>
    </w:p>
    <w:p w14:paraId="15DA5A77" w14:textId="77777777" w:rsidR="005B6AC4" w:rsidRPr="005952F3" w:rsidRDefault="005B6AC4">
      <w:pPr>
        <w:shd w:val="clear" w:color="auto" w:fill="FFFFFF"/>
        <w:spacing w:line="240" w:lineRule="auto"/>
        <w:ind w:right="98"/>
        <w:rPr>
          <w:rFonts w:ascii="Open Sans" w:eastAsia="Open Sans" w:hAnsi="Open Sans" w:cs="Open Sans"/>
          <w:lang w:val="en-US"/>
        </w:rPr>
      </w:pPr>
    </w:p>
    <w:p w14:paraId="74CD4E8F" w14:textId="77777777" w:rsidR="005B6AC4" w:rsidRPr="005952F3" w:rsidRDefault="00000000">
      <w:pPr>
        <w:shd w:val="clear" w:color="auto" w:fill="FFFFFF"/>
        <w:spacing w:line="240" w:lineRule="auto"/>
        <w:ind w:right="98"/>
        <w:rPr>
          <w:rFonts w:ascii="Open Sans" w:eastAsia="Open Sans" w:hAnsi="Open Sans" w:cs="Open Sans"/>
          <w:b/>
          <w:lang w:val="en-US"/>
        </w:rPr>
      </w:pPr>
      <w:r w:rsidRPr="005952F3">
        <w:rPr>
          <w:rFonts w:ascii="Open Sans" w:eastAsia="Open Sans" w:hAnsi="Open Sans" w:cs="Open Sans"/>
          <w:b/>
          <w:lang w:val="en-US"/>
        </w:rPr>
        <w:t>Paula Iglesias</w:t>
      </w:r>
    </w:p>
    <w:p w14:paraId="034BC129" w14:textId="77777777" w:rsidR="005B6AC4" w:rsidRPr="005952F3" w:rsidRDefault="00000000">
      <w:pPr>
        <w:shd w:val="clear" w:color="auto" w:fill="FFFFFF"/>
        <w:spacing w:line="240" w:lineRule="auto"/>
        <w:ind w:right="98"/>
        <w:rPr>
          <w:rFonts w:ascii="Open Sans" w:eastAsia="Open Sans" w:hAnsi="Open Sans" w:cs="Open Sans"/>
          <w:b/>
          <w:lang w:val="en-US"/>
        </w:rPr>
      </w:pPr>
      <w:hyperlink r:id="rId28">
        <w:r w:rsidRPr="005952F3">
          <w:rPr>
            <w:rFonts w:ascii="Open Sans" w:eastAsia="Open Sans" w:hAnsi="Open Sans" w:cs="Open Sans"/>
            <w:color w:val="0000FF"/>
            <w:u w:val="single"/>
            <w:lang w:val="en-US"/>
          </w:rPr>
          <w:t>piglesias@llorenteycuenca.com</w:t>
        </w:r>
      </w:hyperlink>
      <w:r w:rsidRPr="005952F3">
        <w:rPr>
          <w:rFonts w:ascii="Open Sans" w:eastAsia="Open Sans" w:hAnsi="Open Sans" w:cs="Open Sans"/>
          <w:color w:val="0000FF"/>
          <w:lang w:val="en-US"/>
        </w:rPr>
        <w:tab/>
      </w:r>
      <w:r w:rsidRPr="005952F3">
        <w:rPr>
          <w:rFonts w:ascii="Open Sans" w:eastAsia="Open Sans" w:hAnsi="Open Sans" w:cs="Open Sans"/>
          <w:color w:val="0000FF"/>
          <w:lang w:val="en-US"/>
        </w:rPr>
        <w:tab/>
      </w:r>
    </w:p>
    <w:p w14:paraId="0C3DE317" w14:textId="77777777" w:rsidR="005B6AC4" w:rsidRDefault="00000000">
      <w:pPr>
        <w:shd w:val="clear" w:color="auto" w:fill="FFFFFF"/>
        <w:spacing w:line="240" w:lineRule="auto"/>
        <w:ind w:right="98"/>
      </w:pPr>
      <w:r>
        <w:rPr>
          <w:rFonts w:ascii="Open Sans" w:eastAsia="Open Sans" w:hAnsi="Open Sans" w:cs="Open Sans"/>
        </w:rPr>
        <w:t>662 450 236</w:t>
      </w:r>
    </w:p>
    <w:sectPr w:rsidR="005B6AC4">
      <w:footerReference w:type="default" r:id="rId2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806A" w14:textId="77777777" w:rsidR="00196CA8" w:rsidRDefault="00196CA8">
      <w:pPr>
        <w:spacing w:line="240" w:lineRule="auto"/>
      </w:pPr>
      <w:r>
        <w:separator/>
      </w:r>
    </w:p>
  </w:endnote>
  <w:endnote w:type="continuationSeparator" w:id="0">
    <w:p w14:paraId="651878A8" w14:textId="77777777" w:rsidR="00196CA8" w:rsidRDefault="00196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
    <w:altName w:val="Calibri"/>
    <w:charset w:val="00"/>
    <w:family w:val="auto"/>
    <w:pitch w:val="default"/>
  </w:font>
  <w:font w:name="Open Sans">
    <w:charset w:val="00"/>
    <w:family w:val="auto"/>
    <w:pitch w:val="default"/>
  </w:font>
  <w:font w:name="Open Sans 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BA" w14:textId="77777777" w:rsidR="005B6AC4" w:rsidRDefault="00000000">
    <w:r>
      <w:rPr>
        <w:noProof/>
      </w:rPr>
      <w:drawing>
        <wp:anchor distT="0" distB="0" distL="0" distR="0" simplePos="0" relativeHeight="251658240" behindDoc="0" locked="0" layoutInCell="1" hidden="0" allowOverlap="1" wp14:anchorId="4B9456B6" wp14:editId="14CF6A3F">
          <wp:simplePos x="0" y="0"/>
          <wp:positionH relativeFrom="column">
            <wp:posOffset>-1931034</wp:posOffset>
          </wp:positionH>
          <wp:positionV relativeFrom="paragraph">
            <wp:posOffset>177165</wp:posOffset>
          </wp:positionV>
          <wp:extent cx="8620125" cy="447675"/>
          <wp:effectExtent l="0" t="0" r="0" b="0"/>
          <wp:wrapSquare wrapText="bothSides" distT="0" distB="0" distL="0" distR="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3043" r="621"/>
                  <a:stretch>
                    <a:fillRect/>
                  </a:stretch>
                </pic:blipFill>
                <pic:spPr>
                  <a:xfrm>
                    <a:off x="0" y="0"/>
                    <a:ext cx="8620125" cy="4476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E228" w14:textId="77777777" w:rsidR="00196CA8" w:rsidRDefault="00196CA8">
      <w:pPr>
        <w:spacing w:line="240" w:lineRule="auto"/>
      </w:pPr>
      <w:r>
        <w:separator/>
      </w:r>
    </w:p>
  </w:footnote>
  <w:footnote w:type="continuationSeparator" w:id="0">
    <w:p w14:paraId="3A6D1630" w14:textId="77777777" w:rsidR="00196CA8" w:rsidRDefault="00196C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97151"/>
    <w:multiLevelType w:val="multilevel"/>
    <w:tmpl w:val="F610769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89929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C4"/>
    <w:rsid w:val="00196CA8"/>
    <w:rsid w:val="005952F3"/>
    <w:rsid w:val="005B6A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094E"/>
  <w15:docId w15:val="{ACF89AEB-7878-4E32-B3A8-E6868179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C1037C"/>
    <w:rPr>
      <w:color w:val="0000FF" w:themeColor="hyperlink"/>
      <w:u w:val="single"/>
    </w:rPr>
  </w:style>
  <w:style w:type="character" w:styleId="Mencinsinresolver">
    <w:name w:val="Unresolved Mention"/>
    <w:basedOn w:val="Fuentedeprrafopredeter"/>
    <w:uiPriority w:val="99"/>
    <w:semiHidden/>
    <w:unhideWhenUsed/>
    <w:rsid w:val="00C1037C"/>
    <w:rPr>
      <w:color w:val="605E5C"/>
      <w:shd w:val="clear" w:color="auto" w:fill="E1DFDD"/>
    </w:rPr>
  </w:style>
  <w:style w:type="table" w:customStyle="1" w:styleId="a">
    <w:basedOn w:val="TableNormala"/>
    <w:tblPr>
      <w:tblStyleRowBandSize w:val="1"/>
      <w:tblStyleColBandSize w:val="1"/>
      <w:tblCellMar>
        <w:left w:w="70" w:type="dxa"/>
        <w:right w:w="70" w:type="dxa"/>
      </w:tblCellMar>
    </w:tblPr>
  </w:style>
  <w:style w:type="table" w:customStyle="1" w:styleId="a0">
    <w:basedOn w:val="TableNormala"/>
    <w:tblPr>
      <w:tblStyleRowBandSize w:val="1"/>
      <w:tblStyleColBandSize w:val="1"/>
      <w:tblCellMar>
        <w:left w:w="70" w:type="dxa"/>
        <w:right w:w="70" w:type="dxa"/>
      </w:tblCellMar>
    </w:tblPr>
  </w:style>
  <w:style w:type="table" w:customStyle="1" w:styleId="a1">
    <w:basedOn w:val="TableNormal9"/>
    <w:tblPr>
      <w:tblStyleRowBandSize w:val="1"/>
      <w:tblStyleColBandSize w:val="1"/>
      <w:tblCellMar>
        <w:left w:w="70" w:type="dxa"/>
        <w:right w:w="70" w:type="dxa"/>
      </w:tblCellMar>
    </w:tblPr>
  </w:style>
  <w:style w:type="table" w:customStyle="1" w:styleId="a2">
    <w:basedOn w:val="TableNormal9"/>
    <w:tblPr>
      <w:tblStyleRowBandSize w:val="1"/>
      <w:tblStyleColBandSize w:val="1"/>
      <w:tblCellMar>
        <w:left w:w="70" w:type="dxa"/>
        <w:right w:w="70" w:type="dxa"/>
      </w:tblCellMar>
    </w:tblPr>
  </w:style>
  <w:style w:type="table" w:customStyle="1" w:styleId="a3">
    <w:basedOn w:val="TableNormal9"/>
    <w:tblPr>
      <w:tblStyleRowBandSize w:val="1"/>
      <w:tblStyleColBandSize w:val="1"/>
      <w:tblCellMar>
        <w:left w:w="70" w:type="dxa"/>
        <w:right w:w="70" w:type="dxa"/>
      </w:tblCellMar>
    </w:tblPr>
  </w:style>
  <w:style w:type="table" w:customStyle="1" w:styleId="a4">
    <w:basedOn w:val="TableNormal9"/>
    <w:tblPr>
      <w:tblStyleRowBandSize w:val="1"/>
      <w:tblStyleColBandSize w:val="1"/>
      <w:tblCellMar>
        <w:left w:w="70" w:type="dxa"/>
        <w:right w:w="70" w:type="dxa"/>
      </w:tblCellMar>
    </w:tblPr>
  </w:style>
  <w:style w:type="table" w:customStyle="1" w:styleId="a5">
    <w:basedOn w:val="TableNormal7"/>
    <w:tblPr>
      <w:tblStyleRowBandSize w:val="1"/>
      <w:tblStyleColBandSize w:val="1"/>
      <w:tblCellMar>
        <w:left w:w="70" w:type="dxa"/>
        <w:right w:w="70" w:type="dxa"/>
      </w:tblCellMar>
    </w:tblPr>
  </w:style>
  <w:style w:type="table" w:customStyle="1" w:styleId="a6">
    <w:basedOn w:val="TableNormal7"/>
    <w:tblPr>
      <w:tblStyleRowBandSize w:val="1"/>
      <w:tblStyleColBandSize w:val="1"/>
      <w:tblCellMar>
        <w:left w:w="70" w:type="dxa"/>
        <w:right w:w="70" w:type="dxa"/>
      </w:tblCellMar>
    </w:tblPr>
  </w:style>
  <w:style w:type="paragraph" w:styleId="Prrafodelista">
    <w:name w:val="List Paragraph"/>
    <w:basedOn w:val="Normal"/>
    <w:uiPriority w:val="34"/>
    <w:qFormat/>
    <w:rsid w:val="003C5DCC"/>
    <w:pPr>
      <w:ind w:left="720"/>
      <w:contextualSpacing/>
    </w:pPr>
  </w:style>
  <w:style w:type="table" w:customStyle="1" w:styleId="a7">
    <w:basedOn w:val="TableNormal6"/>
    <w:tblPr>
      <w:tblStyleRowBandSize w:val="1"/>
      <w:tblStyleColBandSize w:val="1"/>
      <w:tblCellMar>
        <w:left w:w="70" w:type="dxa"/>
        <w:right w:w="70" w:type="dxa"/>
      </w:tblCellMar>
    </w:tblPr>
  </w:style>
  <w:style w:type="table" w:customStyle="1" w:styleId="a8">
    <w:basedOn w:val="TableNormal6"/>
    <w:tblPr>
      <w:tblStyleRowBandSize w:val="1"/>
      <w:tblStyleColBandSize w:val="1"/>
      <w:tblCellMar>
        <w:left w:w="70" w:type="dxa"/>
        <w:right w:w="70" w:type="dxa"/>
      </w:tblCellMar>
    </w:tblPr>
  </w:style>
  <w:style w:type="table" w:customStyle="1" w:styleId="a9">
    <w:basedOn w:val="TableNormal6"/>
    <w:tblPr>
      <w:tblStyleRowBandSize w:val="1"/>
      <w:tblStyleColBandSize w:val="1"/>
      <w:tblCellMar>
        <w:left w:w="70" w:type="dxa"/>
        <w:right w:w="70" w:type="dxa"/>
      </w:tblCellMar>
    </w:tblPr>
  </w:style>
  <w:style w:type="table" w:customStyle="1" w:styleId="aa">
    <w:basedOn w:val="TableNormal6"/>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8F5BDA"/>
    <w:rPr>
      <w:sz w:val="16"/>
      <w:szCs w:val="16"/>
    </w:rPr>
  </w:style>
  <w:style w:type="paragraph" w:styleId="Textocomentario">
    <w:name w:val="annotation text"/>
    <w:basedOn w:val="Normal"/>
    <w:link w:val="TextocomentarioCar"/>
    <w:uiPriority w:val="99"/>
    <w:unhideWhenUsed/>
    <w:rsid w:val="008F5BDA"/>
    <w:pPr>
      <w:spacing w:line="240" w:lineRule="auto"/>
    </w:pPr>
    <w:rPr>
      <w:sz w:val="20"/>
      <w:szCs w:val="20"/>
    </w:rPr>
  </w:style>
  <w:style w:type="character" w:customStyle="1" w:styleId="TextocomentarioCar">
    <w:name w:val="Texto comentario Car"/>
    <w:basedOn w:val="Fuentedeprrafopredeter"/>
    <w:link w:val="Textocomentario"/>
    <w:uiPriority w:val="99"/>
    <w:rsid w:val="008F5BDA"/>
    <w:rPr>
      <w:sz w:val="20"/>
      <w:szCs w:val="20"/>
    </w:rPr>
  </w:style>
  <w:style w:type="paragraph" w:styleId="Asuntodelcomentario">
    <w:name w:val="annotation subject"/>
    <w:basedOn w:val="Textocomentario"/>
    <w:next w:val="Textocomentario"/>
    <w:link w:val="AsuntodelcomentarioCar"/>
    <w:uiPriority w:val="99"/>
    <w:semiHidden/>
    <w:unhideWhenUsed/>
    <w:rsid w:val="008F5BDA"/>
    <w:rPr>
      <w:b/>
      <w:bCs/>
    </w:rPr>
  </w:style>
  <w:style w:type="character" w:customStyle="1" w:styleId="AsuntodelcomentarioCar">
    <w:name w:val="Asunto del comentario Car"/>
    <w:basedOn w:val="TextocomentarioCar"/>
    <w:link w:val="Asuntodelcomentario"/>
    <w:uiPriority w:val="99"/>
    <w:semiHidden/>
    <w:rsid w:val="008F5BDA"/>
    <w:rPr>
      <w:b/>
      <w:bCs/>
      <w:sz w:val="20"/>
      <w:szCs w:val="20"/>
    </w:rPr>
  </w:style>
  <w:style w:type="paragraph" w:styleId="Encabezado">
    <w:name w:val="header"/>
    <w:basedOn w:val="Normal"/>
    <w:link w:val="EncabezadoCar"/>
    <w:uiPriority w:val="99"/>
    <w:unhideWhenUsed/>
    <w:rsid w:val="008F05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F0538"/>
  </w:style>
  <w:style w:type="paragraph" w:styleId="Piedepgina">
    <w:name w:val="footer"/>
    <w:basedOn w:val="Normal"/>
    <w:link w:val="PiedepginaCar"/>
    <w:uiPriority w:val="99"/>
    <w:unhideWhenUsed/>
    <w:rsid w:val="008F05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F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tocasa.es/es/" TargetMode="External"/><Relationship Id="rId18" Type="http://schemas.openxmlformats.org/officeDocument/2006/relationships/hyperlink" Target="https://www.fotocasa.es/es/quienes-somos/" TargetMode="External"/><Relationship Id="rId26" Type="http://schemas.openxmlformats.org/officeDocument/2006/relationships/hyperlink" Target="mailto:rtorne@llorenteycuenca.com" TargetMode="External"/><Relationship Id="rId3" Type="http://schemas.openxmlformats.org/officeDocument/2006/relationships/styles" Target="styles.xml"/><Relationship Id="rId21" Type="http://schemas.openxmlformats.org/officeDocument/2006/relationships/hyperlink" Target="https://www.infojobs.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prensa.fotocasa.es" TargetMode="External"/><Relationship Id="rId25" Type="http://schemas.openxmlformats.org/officeDocument/2006/relationships/hyperlink" Target="mailto:comunicacion@fotocasa.es" TargetMode="External"/><Relationship Id="rId2" Type="http://schemas.openxmlformats.org/officeDocument/2006/relationships/numbering" Target="numbering.xml"/><Relationship Id="rId16" Type="http://schemas.openxmlformats.org/officeDocument/2006/relationships/hyperlink" Target="https://www.fotocasa.es/indice/" TargetMode="External"/><Relationship Id="rId20" Type="http://schemas.openxmlformats.org/officeDocument/2006/relationships/hyperlink" Target="https://www.habitacli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fotocasa.es/" TargetMode="External"/><Relationship Id="rId24" Type="http://schemas.openxmlformats.org/officeDocument/2006/relationships/hyperlink" Target="http://adevinta.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motos.coches.net/" TargetMode="External"/><Relationship Id="rId28" Type="http://schemas.openxmlformats.org/officeDocument/2006/relationships/hyperlink" Target="mailto:piglesias@llorenteycuenca.com" TargetMode="External"/><Relationship Id="rId10" Type="http://schemas.openxmlformats.org/officeDocument/2006/relationships/hyperlink" Target="https://www.fotocasa.es/" TargetMode="External"/><Relationship Id="rId19" Type="http://schemas.openxmlformats.org/officeDocument/2006/relationships/hyperlink" Target="https://www.fotocasa.es/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coches.net/" TargetMode="External"/><Relationship Id="rId27" Type="http://schemas.openxmlformats.org/officeDocument/2006/relationships/hyperlink" Target="mailto:emerino@llorenteycuenca.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mfk5BuPPVlufd3rrhVWewNvlfQ==">AMUW2mWKj5ulypzoU3RiAKbDOvOhFojRj8FO1NQJE6qM3xj1orzbFBXIrgDUqK9U6huwuVHuu/nmClgCiRWOd0NWWAPdxaY2HXUPRJgUubphdo75edsKv9Kh8hS9caHHxaZ+GnnF77rd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7243</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López García</cp:lastModifiedBy>
  <cp:revision>2</cp:revision>
  <dcterms:created xsi:type="dcterms:W3CDTF">2022-05-27T10:04:00Z</dcterms:created>
  <dcterms:modified xsi:type="dcterms:W3CDTF">2023-03-02T22:59:00Z</dcterms:modified>
</cp:coreProperties>
</file>