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3A4B"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73880EA1" wp14:editId="45A63EDC">
            <wp:simplePos x="0" y="0"/>
            <wp:positionH relativeFrom="column">
              <wp:posOffset>-1056047</wp:posOffset>
            </wp:positionH>
            <wp:positionV relativeFrom="paragraph">
              <wp:posOffset>-346316</wp:posOffset>
            </wp:positionV>
            <wp:extent cx="7711147" cy="1037167"/>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533A4B" w:rsidRDefault="00533A4B">
      <w:pPr>
        <w:spacing w:line="240" w:lineRule="auto"/>
        <w:jc w:val="right"/>
        <w:rPr>
          <w:rFonts w:ascii="National" w:eastAsia="National" w:hAnsi="National" w:cs="National"/>
          <w:color w:val="303AB2"/>
          <w:sz w:val="36"/>
          <w:szCs w:val="36"/>
        </w:rPr>
      </w:pPr>
    </w:p>
    <w:p w14:paraId="00000003" w14:textId="77777777" w:rsidR="00533A4B"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4"/>
          <w:szCs w:val="24"/>
        </w:rPr>
      </w:pPr>
      <w:r>
        <w:rPr>
          <w:rFonts w:ascii="National" w:eastAsia="National" w:hAnsi="National" w:cs="National"/>
          <w:b/>
          <w:color w:val="303AB2"/>
          <w:sz w:val="52"/>
          <w:szCs w:val="52"/>
        </w:rPr>
        <w:t>"</w:t>
      </w:r>
      <w:sdt>
        <w:sdtPr>
          <w:tag w:val="goog_rdk_0"/>
          <w:id w:val="521901040"/>
        </w:sdtPr>
        <w:sdtContent/>
      </w:sdt>
      <w:r>
        <w:rPr>
          <w:rFonts w:ascii="National" w:eastAsia="National" w:hAnsi="National" w:cs="National"/>
          <w:b/>
          <w:color w:val="303AB2"/>
          <w:sz w:val="52"/>
          <w:szCs w:val="52"/>
        </w:rPr>
        <w:t>La subida de tipos comienza a moderar compraventas del inmobiliario”</w:t>
      </w:r>
      <w:r>
        <w:rPr>
          <w:rFonts w:ascii="National" w:eastAsia="National" w:hAnsi="National" w:cs="National"/>
          <w:b/>
          <w:color w:val="303AB2"/>
          <w:sz w:val="54"/>
          <w:szCs w:val="54"/>
        </w:rPr>
        <w:t xml:space="preserve"> </w:t>
      </w:r>
    </w:p>
    <w:p w14:paraId="00000004" w14:textId="77777777" w:rsidR="00533A4B"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Madrid, 20 de abril de 2023</w:t>
      </w:r>
    </w:p>
    <w:p w14:paraId="00000005" w14:textId="339EF0C9" w:rsidR="00533A4B"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pasado mes de febrero de </w:t>
      </w:r>
      <w:r>
        <w:rPr>
          <w:rFonts w:ascii="Open Sans" w:eastAsia="Open Sans" w:hAnsi="Open Sans" w:cs="Open Sans"/>
          <w:color w:val="000000"/>
          <w:sz w:val="21"/>
          <w:szCs w:val="21"/>
        </w:rPr>
        <w:t>202</w:t>
      </w:r>
      <w:r>
        <w:rPr>
          <w:rFonts w:ascii="Open Sans" w:eastAsia="Open Sans" w:hAnsi="Open Sans" w:cs="Open Sans"/>
          <w:sz w:val="21"/>
          <w:szCs w:val="21"/>
        </w:rPr>
        <w:t>3</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una bajada mensual del </w:t>
      </w:r>
      <w:r w:rsidR="00B511C8" w:rsidRPr="00B511C8">
        <w:rPr>
          <w:rFonts w:ascii="Open Sans" w:eastAsia="Open Sans" w:hAnsi="Open Sans" w:cs="Open Sans"/>
          <w:sz w:val="21"/>
          <w:szCs w:val="21"/>
        </w:rPr>
        <w:t>-11</w:t>
      </w:r>
      <w:r w:rsidRPr="00B511C8">
        <w:rPr>
          <w:rFonts w:ascii="Open Sans" w:eastAsia="Open Sans" w:hAnsi="Open Sans" w:cs="Open Sans"/>
          <w:color w:val="000000"/>
          <w:sz w:val="21"/>
          <w:szCs w:val="21"/>
        </w:rPr>
        <w:t>% y un</w:t>
      </w:r>
      <w:r w:rsidRPr="00B511C8">
        <w:rPr>
          <w:rFonts w:ascii="Open Sans" w:eastAsia="Open Sans" w:hAnsi="Open Sans" w:cs="Open Sans"/>
          <w:sz w:val="21"/>
          <w:szCs w:val="21"/>
        </w:rPr>
        <w:t xml:space="preserve"> descenso</w:t>
      </w:r>
      <w:r w:rsidRPr="00B511C8">
        <w:rPr>
          <w:rFonts w:ascii="Open Sans" w:eastAsia="Open Sans" w:hAnsi="Open Sans" w:cs="Open Sans"/>
          <w:color w:val="000000"/>
          <w:sz w:val="21"/>
          <w:szCs w:val="21"/>
        </w:rPr>
        <w:t xml:space="preserve"> interanual del</w:t>
      </w:r>
      <w:r w:rsidR="00B511C8" w:rsidRPr="00B511C8">
        <w:rPr>
          <w:rFonts w:ascii="Open Sans" w:eastAsia="Open Sans" w:hAnsi="Open Sans" w:cs="Open Sans"/>
          <w:color w:val="000000"/>
          <w:sz w:val="21"/>
          <w:szCs w:val="21"/>
        </w:rPr>
        <w:t>-</w:t>
      </w:r>
      <w:r w:rsidRPr="00B511C8">
        <w:rPr>
          <w:rFonts w:ascii="Open Sans" w:eastAsia="Open Sans" w:hAnsi="Open Sans" w:cs="Open Sans"/>
          <w:color w:val="000000"/>
          <w:sz w:val="21"/>
          <w:szCs w:val="21"/>
        </w:rPr>
        <w:t xml:space="preserve"> </w:t>
      </w:r>
      <w:r w:rsidR="00B511C8" w:rsidRPr="00B511C8">
        <w:rPr>
          <w:rFonts w:ascii="Open Sans" w:eastAsia="Open Sans" w:hAnsi="Open Sans" w:cs="Open Sans"/>
          <w:color w:val="000000"/>
          <w:sz w:val="21"/>
          <w:szCs w:val="21"/>
        </w:rPr>
        <w:t>6,6</w:t>
      </w:r>
      <w:r w:rsidRPr="00B511C8">
        <w:rPr>
          <w:rFonts w:ascii="Open Sans" w:eastAsia="Open Sans" w:hAnsi="Open Sans" w:cs="Open Sans"/>
          <w:color w:val="000000"/>
          <w:sz w:val="21"/>
          <w:szCs w:val="21"/>
        </w:rPr>
        <w:t>%</w:t>
      </w:r>
      <w:r w:rsidRPr="00B511C8">
        <w:rPr>
          <w:rFonts w:ascii="Open Sans" w:eastAsia="Open Sans" w:hAnsi="Open Sans" w:cs="Open Sans"/>
          <w:sz w:val="21"/>
          <w:szCs w:val="21"/>
        </w:rPr>
        <w:t>.</w:t>
      </w:r>
      <w:r>
        <w:rPr>
          <w:rFonts w:ascii="Open Sans" w:eastAsia="Open Sans" w:hAnsi="Open Sans" w:cs="Open Sans"/>
          <w:sz w:val="21"/>
          <w:szCs w:val="21"/>
        </w:rPr>
        <w:t xml:space="preserve"> “Aunque el primer síntoma de moderación ya se di</w:t>
      </w:r>
      <w:r w:rsidR="00B511C8">
        <w:rPr>
          <w:rFonts w:ascii="Open Sans" w:eastAsia="Open Sans" w:hAnsi="Open Sans" w:cs="Open Sans"/>
          <w:sz w:val="21"/>
          <w:szCs w:val="21"/>
        </w:rPr>
        <w:t>o</w:t>
      </w:r>
      <w:r>
        <w:rPr>
          <w:rFonts w:ascii="Open Sans" w:eastAsia="Open Sans" w:hAnsi="Open Sans" w:cs="Open Sans"/>
          <w:sz w:val="21"/>
          <w:szCs w:val="21"/>
        </w:rPr>
        <w:t xml:space="preserve"> a cierre de 2022, con una caída interanual del </w:t>
      </w:r>
      <w:r w:rsidR="00B511C8">
        <w:rPr>
          <w:rFonts w:ascii="Open Sans" w:eastAsia="Open Sans" w:hAnsi="Open Sans" w:cs="Open Sans"/>
          <w:sz w:val="21"/>
          <w:szCs w:val="21"/>
        </w:rPr>
        <w:t>-</w:t>
      </w:r>
      <w:r>
        <w:rPr>
          <w:rFonts w:ascii="Open Sans" w:eastAsia="Open Sans" w:hAnsi="Open Sans" w:cs="Open Sans"/>
          <w:sz w:val="21"/>
          <w:szCs w:val="21"/>
        </w:rPr>
        <w:t xml:space="preserve">10,2%, </w:t>
      </w:r>
      <w:r>
        <w:rPr>
          <w:rFonts w:ascii="Open Sans" w:eastAsia="Open Sans" w:hAnsi="Open Sans" w:cs="Open Sans"/>
          <w:b/>
          <w:sz w:val="21"/>
          <w:szCs w:val="21"/>
        </w:rPr>
        <w:t>la tendencia de ralentización en las compraventas se consolida en el inicio del nuevo año 2023</w:t>
      </w:r>
      <w:r>
        <w:rPr>
          <w:rFonts w:ascii="Open Sans" w:eastAsia="Open Sans" w:hAnsi="Open Sans" w:cs="Open Sans"/>
          <w:sz w:val="21"/>
          <w:szCs w:val="21"/>
        </w:rPr>
        <w:t xml:space="preserve">. Esta cifra representa el segundo descenso tras 21 meses consecutivos de aumentos muy abultados. “Hay que destacar la gran capacidad de resiliencia que muestra el sector, al sobrellevar el cambio en la política monetaria y evitar una brusca alteración en el mercado. La transformación está siendo suave y paulatina”,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00000006" w14:textId="3EAEC192" w:rsidR="00533A4B"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Queda atrás un </w:t>
      </w:r>
      <w:r>
        <w:rPr>
          <w:rFonts w:ascii="Open Sans" w:eastAsia="Open Sans" w:hAnsi="Open Sans" w:cs="Open Sans"/>
          <w:i/>
          <w:sz w:val="21"/>
          <w:szCs w:val="21"/>
        </w:rPr>
        <w:t>año dorado</w:t>
      </w:r>
      <w:r>
        <w:rPr>
          <w:rFonts w:ascii="Open Sans" w:eastAsia="Open Sans" w:hAnsi="Open Sans" w:cs="Open Sans"/>
          <w:sz w:val="21"/>
          <w:szCs w:val="21"/>
        </w:rPr>
        <w:t xml:space="preserve"> de gran dinamismo para el inmobiliario y comienza una tendencia de acomodación del mercado a la nueva situación económica. Sin embargo, a pesar de las subidas de tipos desde mitad del año 2022 y de las </w:t>
      </w:r>
      <w:r w:rsidR="003B65E2">
        <w:rPr>
          <w:rFonts w:ascii="Open Sans" w:eastAsia="Open Sans" w:hAnsi="Open Sans" w:cs="Open Sans"/>
          <w:sz w:val="21"/>
          <w:szCs w:val="21"/>
        </w:rPr>
        <w:t>continuas</w:t>
      </w:r>
      <w:r>
        <w:rPr>
          <w:rFonts w:ascii="Open Sans" w:eastAsia="Open Sans" w:hAnsi="Open Sans" w:cs="Open Sans"/>
          <w:sz w:val="21"/>
          <w:szCs w:val="21"/>
        </w:rPr>
        <w:t xml:space="preserve"> tensiones inflacionistas, la demanda de adquisición continúa muy latente y todavía existe un interés muy fuerte por comprar viviend</w:t>
      </w:r>
      <w:r w:rsidR="003B65E2">
        <w:rPr>
          <w:rFonts w:ascii="Open Sans" w:eastAsia="Open Sans" w:hAnsi="Open Sans" w:cs="Open Sans"/>
          <w:sz w:val="21"/>
          <w:szCs w:val="21"/>
        </w:rPr>
        <w:t>a en nuestro país</w:t>
      </w:r>
      <w:r>
        <w:rPr>
          <w:rFonts w:ascii="Open Sans" w:eastAsia="Open Sans" w:hAnsi="Open Sans" w:cs="Open Sans"/>
          <w:sz w:val="21"/>
          <w:szCs w:val="21"/>
        </w:rPr>
        <w:t xml:space="preserve">”, comenta María Matos, directora de Estudios de </w:t>
      </w:r>
      <w:hyperlink r:id="rId9">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00000007" w14:textId="59496699" w:rsidR="00533A4B"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febrero se cerraron </w:t>
      </w:r>
      <w:r w:rsidR="003B65E2">
        <w:rPr>
          <w:rFonts w:ascii="Open Sans" w:eastAsia="Open Sans" w:hAnsi="Open Sans" w:cs="Open Sans"/>
          <w:sz w:val="21"/>
          <w:szCs w:val="21"/>
        </w:rPr>
        <w:t>50.186</w:t>
      </w:r>
      <w:r>
        <w:rPr>
          <w:rFonts w:ascii="Open Sans" w:eastAsia="Open Sans" w:hAnsi="Open Sans" w:cs="Open Sans"/>
          <w:sz w:val="21"/>
          <w:szCs w:val="21"/>
        </w:rPr>
        <w:t xml:space="preserve"> operaciones, </w:t>
      </w:r>
      <w:r w:rsidR="003B65E2">
        <w:rPr>
          <w:rFonts w:ascii="Open Sans" w:eastAsia="Open Sans" w:hAnsi="Open Sans" w:cs="Open Sans"/>
          <w:sz w:val="21"/>
          <w:szCs w:val="21"/>
        </w:rPr>
        <w:t xml:space="preserve">una cifra que muestra todavía el gran dinamismo que está mostrando el sector “aunque vaticinamos que estas cifras todavía muy abultadas empiecen a moderarse en los próximos meses. </w:t>
      </w:r>
      <w:r>
        <w:rPr>
          <w:rFonts w:ascii="Open Sans" w:eastAsia="Open Sans" w:hAnsi="Open Sans" w:cs="Open Sans"/>
          <w:sz w:val="21"/>
          <w:szCs w:val="21"/>
        </w:rPr>
        <w:t>El cambio en la política monetaria enfriará la “sobredemanda” de compra de vivienda que se había erigido en los dos pasados ejercicios y comenzará a ralentizar la aceleración por el impacto de la subida de tipos</w:t>
      </w:r>
      <w:r w:rsidR="003B65E2">
        <w:rPr>
          <w:rFonts w:ascii="Open Sans" w:eastAsia="Open Sans" w:hAnsi="Open Sans" w:cs="Open Sans"/>
          <w:sz w:val="21"/>
          <w:szCs w:val="21"/>
        </w:rPr>
        <w:t xml:space="preserve">”, </w:t>
      </w:r>
      <w:r>
        <w:rPr>
          <w:rFonts w:ascii="Open Sans" w:eastAsia="Open Sans" w:hAnsi="Open Sans" w:cs="Open Sans"/>
          <w:sz w:val="21"/>
          <w:szCs w:val="21"/>
        </w:rPr>
        <w:t>explica la directora de Estudios.</w:t>
      </w:r>
    </w:p>
    <w:p w14:paraId="00000008" w14:textId="52D2BF06" w:rsidR="00533A4B"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“Hasta febrero se produjeron cuatro subidas de tipos de interés que se han ido solidificando poco a poco elevando los costes de financiación y contrayendo la capacidad adquisitiva. Sin embargo, estas compraventas cerradas en febrero se enfrentaban a unos </w:t>
      </w:r>
      <w:r w:rsidR="004046CE">
        <w:rPr>
          <w:rFonts w:ascii="Open Sans" w:eastAsia="Open Sans" w:hAnsi="Open Sans" w:cs="Open Sans"/>
          <w:sz w:val="21"/>
          <w:szCs w:val="21"/>
        </w:rPr>
        <w:t>tipos cercanos al 3,5%</w:t>
      </w:r>
      <w:r>
        <w:rPr>
          <w:rFonts w:ascii="Open Sans" w:eastAsia="Open Sans" w:hAnsi="Open Sans" w:cs="Open Sans"/>
          <w:sz w:val="21"/>
          <w:szCs w:val="21"/>
        </w:rPr>
        <w:t xml:space="preserve">. Hay que tener en cuenta que estas operaciones llevan un tiempo estimado de entre 60 y 90 días, entre la firma de arras y la concesión de la hipoteca, por lo que </w:t>
      </w:r>
      <w:r>
        <w:rPr>
          <w:rFonts w:ascii="Open Sans" w:eastAsia="Open Sans" w:hAnsi="Open Sans" w:cs="Open Sans"/>
          <w:b/>
          <w:sz w:val="21"/>
          <w:szCs w:val="21"/>
        </w:rPr>
        <w:t xml:space="preserve">es probable que </w:t>
      </w:r>
      <w:r>
        <w:rPr>
          <w:rFonts w:ascii="Open Sans" w:eastAsia="Open Sans" w:hAnsi="Open Sans" w:cs="Open Sans"/>
          <w:b/>
          <w:sz w:val="21"/>
          <w:szCs w:val="21"/>
        </w:rPr>
        <w:lastRenderedPageBreak/>
        <w:t xml:space="preserve">las compraventas que se firmasen este pasado febrero, y que necesitasen financiación mantuviesen un tipo de interés similar al del mes de enero </w:t>
      </w:r>
      <w:r>
        <w:rPr>
          <w:rFonts w:ascii="Open Sans" w:eastAsia="Open Sans" w:hAnsi="Open Sans" w:cs="Open Sans"/>
          <w:sz w:val="21"/>
          <w:szCs w:val="21"/>
        </w:rPr>
        <w:t>-cuando el euríbor se situaba alrededor del 3,337%-</w:t>
      </w:r>
      <w:r>
        <w:rPr>
          <w:rFonts w:ascii="Open Sans" w:eastAsia="Open Sans" w:hAnsi="Open Sans" w:cs="Open Sans"/>
          <w:b/>
          <w:sz w:val="21"/>
          <w:szCs w:val="21"/>
        </w:rPr>
        <w:t xml:space="preserve"> y que aún no tuviesen un efecto </w:t>
      </w:r>
      <w:r>
        <w:rPr>
          <w:rFonts w:ascii="Open Sans" w:eastAsia="Open Sans" w:hAnsi="Open Sans" w:cs="Open Sans"/>
          <w:sz w:val="21"/>
          <w:szCs w:val="21"/>
        </w:rPr>
        <w:t>ralentizador</w:t>
      </w:r>
      <w:r>
        <w:rPr>
          <w:rFonts w:ascii="Open Sans" w:eastAsia="Open Sans" w:hAnsi="Open Sans" w:cs="Open Sans"/>
          <w:b/>
          <w:sz w:val="21"/>
          <w:szCs w:val="21"/>
        </w:rPr>
        <w:t>, ya que son operaciones que ya se habían pactado previamente</w:t>
      </w:r>
      <w:r>
        <w:rPr>
          <w:rFonts w:ascii="Open Sans" w:eastAsia="Open Sans" w:hAnsi="Open Sans" w:cs="Open Sans"/>
          <w:sz w:val="21"/>
          <w:szCs w:val="21"/>
        </w:rPr>
        <w:t>”, recuerda la portavoz.</w:t>
      </w:r>
    </w:p>
    <w:p w14:paraId="00000009" w14:textId="07DB3D7C" w:rsidR="00533A4B"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datos más relevantes y donde hay que poner más atención es en las operaciones sobre viviendas nuevas que reflejan </w:t>
      </w:r>
      <w:r w:rsidR="00BC0602">
        <w:rPr>
          <w:rFonts w:ascii="Open Sans" w:eastAsia="Open Sans" w:hAnsi="Open Sans" w:cs="Open Sans"/>
          <w:sz w:val="21"/>
          <w:szCs w:val="21"/>
        </w:rPr>
        <w:t xml:space="preserve">una caída interanual del -11,1%. </w:t>
      </w:r>
      <w:r>
        <w:rPr>
          <w:rFonts w:ascii="Open Sans" w:eastAsia="Open Sans" w:hAnsi="Open Sans" w:cs="Open Sans"/>
          <w:sz w:val="21"/>
          <w:szCs w:val="21"/>
        </w:rPr>
        <w:t xml:space="preserve"> “La tipología de vivienda de obra nueva está viviendo un auge sin precedentes desde el estallido de la pandemia, y por eso una gran mayoría de ellas se compran sobre plano. La vivienda a estrenar tiene muy fácil salida, porque cuenta con características que cumplen con los nuevos requisitos de búsqueda de los compradores.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0000000A" w14:textId="74084824" w:rsidR="00533A4B"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“Entramos en una etapa de moderación de compraventas con respecto a los </w:t>
      </w:r>
      <w:r w:rsidR="00BC0602">
        <w:rPr>
          <w:rFonts w:ascii="Open Sans" w:eastAsia="Open Sans" w:hAnsi="Open Sans" w:cs="Open Sans"/>
          <w:sz w:val="21"/>
          <w:szCs w:val="21"/>
        </w:rPr>
        <w:t xml:space="preserve">dos </w:t>
      </w:r>
      <w:r>
        <w:rPr>
          <w:rFonts w:ascii="Open Sans" w:eastAsia="Open Sans" w:hAnsi="Open Sans" w:cs="Open Sans"/>
          <w:sz w:val="21"/>
          <w:szCs w:val="21"/>
        </w:rPr>
        <w:t xml:space="preserve">años </w:t>
      </w:r>
      <w:r w:rsidR="00BC0602">
        <w:rPr>
          <w:rFonts w:ascii="Open Sans" w:eastAsia="Open Sans" w:hAnsi="Open Sans" w:cs="Open Sans"/>
          <w:sz w:val="21"/>
          <w:szCs w:val="21"/>
        </w:rPr>
        <w:t xml:space="preserve">precedentes. No obstante, los dos primeros meses del año han empezado con fuerza y con cifras que superan las 50.000 viviendas que muestra el gran interés que hay todavía entre la sociedad por comprar vivienda. Los próximos meses vamos a ver todavía un sector dinámico, aunque con cifras menos abultadas respecto al año pasado. Hay que tener en cuenta que </w:t>
      </w:r>
      <w:r>
        <w:rPr>
          <w:rFonts w:ascii="Open Sans" w:eastAsia="Open Sans" w:hAnsi="Open Sans" w:cs="Open Sans"/>
          <w:sz w:val="21"/>
          <w:szCs w:val="21"/>
        </w:rPr>
        <w:t xml:space="preserve">la inflación desbocada que estamos viviendo está empezando a hacer mella en el bolsillo de los hogares y la capacidad de ahorro se está viendo mermada por los grandes incrementos no solo de la energía y carburantes, sino también de la cesta de la compra. Esto hará que a la larga los españoles no puedan ahorrar tanto para la compra de vivienda y que por tanto se modere la compraventa de inmuebles. Además, </w:t>
      </w:r>
      <w:r>
        <w:rPr>
          <w:rFonts w:ascii="Open Sans" w:eastAsia="Open Sans" w:hAnsi="Open Sans" w:cs="Open Sans"/>
          <w:b/>
          <w:sz w:val="21"/>
          <w:szCs w:val="21"/>
        </w:rPr>
        <w:t>las sucesivas subidas de tipos encarecerán cada vez más los créditos financieros, lo que expulsará a un volumen importante de compradores</w:t>
      </w:r>
      <w:r>
        <w:rPr>
          <w:rFonts w:ascii="Open Sans" w:eastAsia="Open Sans" w:hAnsi="Open Sans" w:cs="Open Sans"/>
          <w:sz w:val="21"/>
          <w:szCs w:val="21"/>
        </w:rPr>
        <w:t xml:space="preserve">. Desde </w:t>
      </w:r>
      <w:hyperlink r:id="rId10">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 xml:space="preserve"> estimamos que las compraventas podrán moderarse en torno a un 15% en 2023”, comenta la directora de Estudios. </w:t>
      </w:r>
    </w:p>
    <w:p w14:paraId="0000000B" w14:textId="77777777" w:rsidR="00533A4B" w:rsidRDefault="00533A4B">
      <w:pPr>
        <w:shd w:val="clear" w:color="auto" w:fill="FFFFFF"/>
        <w:spacing w:before="280" w:after="280"/>
        <w:jc w:val="both"/>
        <w:rPr>
          <w:rFonts w:ascii="Open Sans Light" w:eastAsia="Open Sans Light" w:hAnsi="Open Sans Light" w:cs="Open Sans Light"/>
          <w:b/>
          <w:color w:val="303AB2"/>
        </w:rPr>
      </w:pPr>
    </w:p>
    <w:p w14:paraId="0000000C" w14:textId="77777777" w:rsidR="00533A4B" w:rsidRDefault="00533A4B">
      <w:pPr>
        <w:ind w:right="-12"/>
        <w:rPr>
          <w:rFonts w:ascii="Open Sans Light" w:eastAsia="Open Sans Light" w:hAnsi="Open Sans Light" w:cs="Open Sans Light"/>
          <w:b/>
          <w:color w:val="303AB2"/>
        </w:rPr>
      </w:pPr>
    </w:p>
    <w:p w14:paraId="0000000D" w14:textId="77777777" w:rsidR="00533A4B"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0000000E" w14:textId="77777777" w:rsidR="00533A4B"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0000000F" w14:textId="77777777" w:rsidR="00533A4B"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00000010" w14:textId="77777777" w:rsidR="00533A4B" w:rsidRDefault="00000000">
      <w:pPr>
        <w:shd w:val="clear" w:color="auto" w:fill="FFFFFF"/>
        <w:ind w:right="-7"/>
        <w:jc w:val="right"/>
        <w:rPr>
          <w:rFonts w:ascii="Open Sans" w:eastAsia="Open Sans" w:hAnsi="Open Sans" w:cs="Open Sans"/>
          <w:sz w:val="21"/>
          <w:szCs w:val="21"/>
        </w:rPr>
      </w:pPr>
      <w:hyperlink r:id="rId11">
        <w:r>
          <w:rPr>
            <w:rFonts w:ascii="Open Sans" w:eastAsia="Open Sans" w:hAnsi="Open Sans" w:cs="Open Sans"/>
            <w:color w:val="0563C1"/>
            <w:sz w:val="21"/>
            <w:szCs w:val="21"/>
            <w:u w:val="single"/>
          </w:rPr>
          <w:t>comunicacion@fotocasa.es</w:t>
        </w:r>
      </w:hyperlink>
    </w:p>
    <w:p w14:paraId="00000011" w14:textId="77777777" w:rsidR="00533A4B" w:rsidRDefault="00000000">
      <w:pPr>
        <w:shd w:val="clear" w:color="auto" w:fill="FFFFFF"/>
        <w:ind w:right="-7"/>
        <w:jc w:val="right"/>
        <w:rPr>
          <w:rFonts w:ascii="Open Sans" w:eastAsia="Open Sans" w:hAnsi="Open Sans" w:cs="Open Sans"/>
          <w:sz w:val="21"/>
          <w:szCs w:val="21"/>
        </w:rPr>
      </w:pPr>
      <w:hyperlink r:id="rId12">
        <w:r>
          <w:rPr>
            <w:rFonts w:ascii="Open Sans" w:eastAsia="Open Sans" w:hAnsi="Open Sans" w:cs="Open Sans"/>
            <w:color w:val="0563C1"/>
            <w:sz w:val="21"/>
            <w:szCs w:val="21"/>
            <w:u w:val="single"/>
          </w:rPr>
          <w:t>http://prensa.fotocasa.es</w:t>
        </w:r>
      </w:hyperlink>
    </w:p>
    <w:p w14:paraId="00000012" w14:textId="77777777" w:rsidR="00533A4B"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00000013" w14:textId="77777777" w:rsidR="00533A4B" w:rsidRDefault="00533A4B"/>
    <w:sectPr w:rsidR="00533A4B">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0DB0" w14:textId="77777777" w:rsidR="00D4574B" w:rsidRDefault="00D4574B">
      <w:pPr>
        <w:spacing w:line="240" w:lineRule="auto"/>
      </w:pPr>
      <w:r>
        <w:separator/>
      </w:r>
    </w:p>
  </w:endnote>
  <w:endnote w:type="continuationSeparator" w:id="0">
    <w:p w14:paraId="51610F59" w14:textId="77777777" w:rsidR="00D4574B" w:rsidRDefault="00D4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533A4B" w:rsidRDefault="00000000">
    <w:r>
      <w:rPr>
        <w:noProof/>
      </w:rPr>
      <w:drawing>
        <wp:anchor distT="0" distB="0" distL="0" distR="0" simplePos="0" relativeHeight="251658240" behindDoc="0" locked="0" layoutInCell="1" hidden="0" allowOverlap="1" wp14:anchorId="15C647E1" wp14:editId="72C040ED">
          <wp:simplePos x="0" y="0"/>
          <wp:positionH relativeFrom="column">
            <wp:posOffset>-1916424</wp:posOffset>
          </wp:positionH>
          <wp:positionV relativeFrom="paragraph">
            <wp:posOffset>304800</wp:posOffset>
          </wp:positionV>
          <wp:extent cx="8620125" cy="447675"/>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ED5B" w14:textId="77777777" w:rsidR="00D4574B" w:rsidRDefault="00D4574B">
      <w:pPr>
        <w:spacing w:line="240" w:lineRule="auto"/>
      </w:pPr>
      <w:r>
        <w:separator/>
      </w:r>
    </w:p>
  </w:footnote>
  <w:footnote w:type="continuationSeparator" w:id="0">
    <w:p w14:paraId="0995301F" w14:textId="77777777" w:rsidR="00D4574B" w:rsidRDefault="00D457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4B"/>
    <w:rsid w:val="00085E19"/>
    <w:rsid w:val="003B65E2"/>
    <w:rsid w:val="004046CE"/>
    <w:rsid w:val="00533A4B"/>
    <w:rsid w:val="00B511C8"/>
    <w:rsid w:val="00BC0602"/>
    <w:rsid w:val="00D45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090B"/>
  <w15:docId w15:val="{3F3DFF43-9ACF-44CB-8327-EC7FC460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tocasa.es/"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kDm6rlW2N6WsRHtyzsp5cBQisA==">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5</cp:revision>
  <dcterms:created xsi:type="dcterms:W3CDTF">2022-05-27T10:04:00Z</dcterms:created>
  <dcterms:modified xsi:type="dcterms:W3CDTF">2023-04-20T08:14:00Z</dcterms:modified>
</cp:coreProperties>
</file>