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-1056047</wp:posOffset>
            </wp:positionH>
            <wp:positionV relativeFrom="paragraph">
              <wp:posOffset>-346316</wp:posOffset>
            </wp:positionV>
            <wp:extent cx="7711147" cy="1037167"/>
            <wp:effectExtent l="0" t="0" r="0" b="0"/>
            <wp:wrapSquare wrapText="bothSides" distT="0" distB="0" distL="0" distR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1F1E" w:rsidRDefault="003D1F1E">
      <w:pPr>
        <w:spacing w:line="240" w:lineRule="auto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:rsidR="003D1F1E" w:rsidRDefault="00000000">
      <w:pPr>
        <w:ind w:left="284" w:right="-43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>“El interés medio de las hipotecas ya alcanza máximos desde 2017”</w:t>
      </w:r>
    </w:p>
    <w:p w:rsidR="003D1F1E" w:rsidRDefault="003D1F1E">
      <w:pPr>
        <w:ind w:right="-574"/>
        <w:jc w:val="both"/>
        <w:rPr>
          <w:rFonts w:ascii="Open Sans" w:eastAsia="Open Sans" w:hAnsi="Open Sans" w:cs="Open Sans"/>
        </w:rPr>
      </w:pPr>
    </w:p>
    <w:p w:rsidR="003D1F1E" w:rsidRDefault="003D1F1E">
      <w:pPr>
        <w:shd w:val="clear" w:color="auto" w:fill="FFFFFF"/>
        <w:spacing w:after="225"/>
        <w:jc w:val="both"/>
        <w:rPr>
          <w:rFonts w:ascii="Open Sans" w:eastAsia="Open Sans" w:hAnsi="Open Sans" w:cs="Open Sans"/>
          <w:b/>
          <w:color w:val="303AB2"/>
        </w:rPr>
      </w:pPr>
    </w:p>
    <w:p w:rsidR="003D1F1E" w:rsidRDefault="00000000">
      <w:pPr>
        <w:shd w:val="clear" w:color="auto" w:fill="FFFFFF"/>
        <w:spacing w:after="225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color w:val="303AB2"/>
        </w:rPr>
        <w:t>Madrid, 26 de abril de 2023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Los datos de hipotecas correspondientes al pasado mes de febrero dados a conocer hoy por el INE, reflejan un descenso mensual del </w:t>
      </w:r>
      <w:r>
        <w:rPr>
          <w:rFonts w:ascii="Open Sans" w:eastAsia="Open Sans" w:hAnsi="Open Sans" w:cs="Open Sans"/>
          <w:b/>
          <w:sz w:val="21"/>
          <w:szCs w:val="21"/>
        </w:rPr>
        <w:t>-4,1%</w:t>
      </w:r>
      <w:r>
        <w:rPr>
          <w:rFonts w:ascii="Open Sans" w:eastAsia="Open Sans" w:hAnsi="Open Sans" w:cs="Open Sans"/>
          <w:sz w:val="21"/>
          <w:szCs w:val="21"/>
        </w:rPr>
        <w:t>, y una caída interanual del -</w:t>
      </w:r>
      <w:r>
        <w:rPr>
          <w:rFonts w:ascii="Open Sans" w:eastAsia="Open Sans" w:hAnsi="Open Sans" w:cs="Open Sans"/>
          <w:b/>
          <w:sz w:val="21"/>
          <w:szCs w:val="21"/>
        </w:rPr>
        <w:t>2,0%.</w:t>
      </w:r>
      <w:r>
        <w:rPr>
          <w:rFonts w:ascii="Open Sans" w:eastAsia="Open Sans" w:hAnsi="Open Sans" w:cs="Open Sans"/>
          <w:sz w:val="21"/>
          <w:szCs w:val="21"/>
        </w:rPr>
        <w:t xml:space="preserve"> A pesar de haber iniciado con un dato positivo enero de 2023, el mercado ya comenzó a dar señales de moderación desde septiembre de 2022, hasta presentar el primer descenso del año 2023 en febrero -(en diciembre de 2022 mostró caída estacional del -8,8%). Esta cifra pone de manifiesto que </w:t>
      </w:r>
      <w:r>
        <w:rPr>
          <w:rFonts w:ascii="Open Sans" w:eastAsia="Open Sans" w:hAnsi="Open Sans" w:cs="Open Sans"/>
          <w:b/>
          <w:sz w:val="21"/>
          <w:szCs w:val="21"/>
        </w:rPr>
        <w:t>la concesión de hipotecas empieza a ralentizarse, aunque hay que destacar que la traslación real al mercado se produce de forma paulatina</w:t>
      </w:r>
      <w:r>
        <w:rPr>
          <w:rFonts w:ascii="Open Sans" w:eastAsia="Open Sans" w:hAnsi="Open Sans" w:cs="Open Sans"/>
          <w:sz w:val="21"/>
          <w:szCs w:val="21"/>
        </w:rPr>
        <w:t>, ya que el primer descenso oficial causado por el cambio en la política monetaria, llega siete meses después de la primera subida de tipos.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Así, el pasado mes de febrero se firmaron 35.900 hipotecas, lo que supone veintitrés meses consecutivos superando las 30.000 concesiones a pesar de las cinco alzas de tipos hasta esa fecha. “Aunque los datos de firmas ya no son tan abultados como los de los meses anteriores, </w:t>
      </w:r>
      <w:r>
        <w:rPr>
          <w:rFonts w:ascii="Open Sans" w:eastAsia="Open Sans" w:hAnsi="Open Sans" w:cs="Open Sans"/>
          <w:b/>
          <w:sz w:val="21"/>
          <w:szCs w:val="21"/>
        </w:rPr>
        <w:t>el hecho de superar las 35.000 hipotecas nos devuelve plenamente a la normalidad con niveles prepandemia del 2019</w:t>
      </w:r>
      <w:r>
        <w:rPr>
          <w:rFonts w:ascii="Open Sans" w:eastAsia="Open Sans" w:hAnsi="Open Sans" w:cs="Open Sans"/>
          <w:sz w:val="21"/>
          <w:szCs w:val="21"/>
        </w:rPr>
        <w:t xml:space="preserve">. Siguen siendo datos muy positivos que indican que el mercado hipotecario continúa fuerte y estable”, comenta María Matos, directora de Estudios de  </w:t>
      </w:r>
      <w:hyperlink r:id="rId8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sz w:val="21"/>
          <w:szCs w:val="21"/>
        </w:rPr>
        <w:t>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“Se refleja así, una leve ralentización de la premura de la ciudadanía para sortear el endurecimiento de los préstamos. En febrero el Euríbor ya superó el 3,53%, y por lo tanto la negociación de los compradores con las entidades bancarias se hacía cada vez más complicada. En estos momentos</w:t>
      </w:r>
      <w:r>
        <w:rPr>
          <w:rFonts w:ascii="Open Sans" w:eastAsia="Open Sans" w:hAnsi="Open Sans" w:cs="Open Sans"/>
          <w:b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 xml:space="preserve">los bancos aún presentaban tipos relativamente atractivos pero muy cambiantes por las subidas diarias del Euríbor. Sin embargo, esta cifra de firmas significa un gran hito a pesar de encontrarse en plena vorágine de escalada de tipos”, explica María Matos, directora de Estudios de </w:t>
      </w:r>
      <w:hyperlink r:id="rId9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sz w:val="21"/>
          <w:szCs w:val="21"/>
        </w:rPr>
        <w:t>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 xml:space="preserve">En el inmobiliario ya se ha detectado una moderación en la demanda de compra de vivienda. El 60% de los compradores se han visto afectados por el cambio de política monetaria y el 24% se han visto obligados a paralizar el proceso de adquisición de vivienda al considerar que las condiciones hipotecarias han dejado de ser atractivas, según un reciente análisis de </w:t>
      </w:r>
      <w:hyperlink r:id="rId10">
        <w:r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1"/>
          <w:szCs w:val="21"/>
        </w:rPr>
        <w:t>. Sin embargo, también hay una parte muy importante de compradores que continúan cerrando acuerdos con las entidades financieras para poder comprar la vivienda antes de un encarecimiento mayor.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De hecho, </w:t>
      </w:r>
      <w:r>
        <w:rPr>
          <w:rFonts w:ascii="Open Sans" w:eastAsia="Open Sans" w:hAnsi="Open Sans" w:cs="Open Sans"/>
          <w:b/>
          <w:sz w:val="21"/>
          <w:szCs w:val="21"/>
        </w:rPr>
        <w:t>donde se detecta un mayor cambio es en la subida del tipo de interés de las hipotecas sobre viviendas, que se sitúa en el 2,86%, siendo su valor más alto desde mayo del 2017</w:t>
      </w:r>
      <w:r>
        <w:rPr>
          <w:rFonts w:ascii="Open Sans" w:eastAsia="Open Sans" w:hAnsi="Open Sans" w:cs="Open Sans"/>
          <w:sz w:val="21"/>
          <w:szCs w:val="21"/>
        </w:rPr>
        <w:t>. También, sigue descendiendo el volumen de hipotecas a tipo fijo, que cae al 65% tras haber alcanzado su máximo en abril de 2022 con un 75%. Sin embargo, en un escenario en que el Euríbor aumenta diariamente, por encima del 3,5%, no es de extrañar que la mayoría de las hipotecas se sigan firmando a tipo fijo. Muchas familias prefieren cerrar una hipoteca a tipo fijo que enfrentarse a un posible encarecimiento de la cuota en un futuro.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“La estrategia de las entidades financieras de abaratar las hipotecas variables y endurecer las fijas, ya está teniendo resultados. Los de estos meses serán prácticamente los últimos créditos que se firmen a tipo fijo y se espera que haya un cambio en la tendencia todavía más acusado</w:t>
      </w:r>
      <w:r>
        <w:rPr>
          <w:rFonts w:ascii="Open Sans" w:eastAsia="Open Sans" w:hAnsi="Open Sans" w:cs="Open Sans"/>
          <w:b/>
          <w:sz w:val="21"/>
          <w:szCs w:val="21"/>
        </w:rPr>
        <w:t xml:space="preserve">. </w:t>
      </w:r>
      <w:r>
        <w:rPr>
          <w:rFonts w:ascii="Open Sans" w:eastAsia="Open Sans" w:hAnsi="Open Sans" w:cs="Open Sans"/>
          <w:sz w:val="21"/>
          <w:szCs w:val="21"/>
        </w:rPr>
        <w:t xml:space="preserve">Aunque también comenzaremos a ver cómo afloran variedades como </w:t>
      </w:r>
      <w:r>
        <w:rPr>
          <w:rFonts w:ascii="Open Sans" w:eastAsia="Open Sans" w:hAnsi="Open Sans" w:cs="Open Sans"/>
          <w:b/>
          <w:sz w:val="21"/>
          <w:szCs w:val="21"/>
        </w:rPr>
        <w:t>las hipotecas mixtas, que se está convirtiendo en el producto estrella de los bancos</w:t>
      </w:r>
      <w:r>
        <w:rPr>
          <w:rFonts w:ascii="Open Sans" w:eastAsia="Open Sans" w:hAnsi="Open Sans" w:cs="Open Sans"/>
          <w:sz w:val="21"/>
          <w:szCs w:val="21"/>
        </w:rPr>
        <w:t>”, asegura la directora de Estudios.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“De hecho, si nos fijamos en las novaciones hipotecarias, vemos que el cambio más impactante es que </w:t>
      </w:r>
      <w:r>
        <w:rPr>
          <w:rFonts w:ascii="Open Sans" w:eastAsia="Open Sans" w:hAnsi="Open Sans" w:cs="Open Sans"/>
          <w:b/>
          <w:sz w:val="21"/>
          <w:szCs w:val="21"/>
        </w:rPr>
        <w:t xml:space="preserve">el porcentaje de hipotecas a interés fijo aumenta del 13,5% al 46,7%, mientras que el de hipotecas a interés variable disminuye del 85,4% al 52,1%. </w:t>
      </w:r>
      <w:r>
        <w:rPr>
          <w:rFonts w:ascii="Open Sans" w:eastAsia="Open Sans" w:hAnsi="Open Sans" w:cs="Open Sans"/>
          <w:sz w:val="21"/>
          <w:szCs w:val="21"/>
        </w:rPr>
        <w:t>Este es un reflejo de la preocupación de los ciudadanos por la subida del Euríbor”, explica María Matos.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“A pesar del brusco encarecimiento de los créditos, todavía no se detecta que un gran volumen de hipotecados a tipo variable esté solicitando acogerse al plan de Buenas Prácticas de las entidades bancarias, más bien, la demanda es muy escasa. Según un estudio de </w:t>
      </w:r>
      <w:hyperlink r:id="rId11">
        <w:r w:rsidR="00FA7C52"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 xml:space="preserve">Fotocasa </w:t>
        </w:r>
        <w:proofErr w:type="spellStart"/>
        <w:r w:rsidR="00FA7C52"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1"/>
          <w:szCs w:val="21"/>
        </w:rPr>
        <w:t xml:space="preserve">, </w:t>
      </w:r>
      <w:r>
        <w:rPr>
          <w:rFonts w:ascii="Open Sans" w:eastAsia="Open Sans" w:hAnsi="Open Sans" w:cs="Open Sans"/>
          <w:b/>
          <w:sz w:val="21"/>
          <w:szCs w:val="21"/>
        </w:rPr>
        <w:t>solo el 8% de los hipotecados han solicitado o van a solicitar adherirse al plan. Una de las razones es porque existe un gran desconocimiento entre los propios hipotecados</w:t>
      </w:r>
      <w:r>
        <w:rPr>
          <w:rFonts w:ascii="Open Sans" w:eastAsia="Open Sans" w:hAnsi="Open Sans" w:cs="Open Sans"/>
          <w:sz w:val="21"/>
          <w:szCs w:val="21"/>
        </w:rPr>
        <w:t xml:space="preserve">. Otra de las causas podría deberse a que las entidades están negociando con los clientes antes de ofrecerles la unión al acuerdo, así lo refleja el gran número de novaciones en los datos </w:t>
      </w:r>
      <w:r w:rsidR="00FA7C52">
        <w:rPr>
          <w:rFonts w:ascii="Open Sans" w:eastAsia="Open Sans" w:hAnsi="Open Sans" w:cs="Open Sans"/>
          <w:sz w:val="21"/>
          <w:szCs w:val="21"/>
        </w:rPr>
        <w:t>oficiales “</w:t>
      </w:r>
      <w:r>
        <w:rPr>
          <w:rFonts w:ascii="Open Sans" w:eastAsia="Open Sans" w:hAnsi="Open Sans" w:cs="Open Sans"/>
          <w:sz w:val="21"/>
          <w:szCs w:val="21"/>
        </w:rPr>
        <w:t>, comenta la portavoz de Fotocasa.</w:t>
      </w:r>
    </w:p>
    <w:p w:rsidR="003D1F1E" w:rsidRDefault="00000000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“Se prevén más subidas por parte de Christine Lagarde hasta verano, lo que empujará el Euríbor al alza, que ya ha presentado la mayor subida de los últimos 15 años y se dirige hacia el 4%. Sin embargo, la crisis bancaria del último mes ha logrado moderar el comportamiento del índice y retrasar, por ahora, el alcance del 4%. </w:t>
      </w:r>
      <w:r>
        <w:rPr>
          <w:rFonts w:ascii="Open Sans" w:eastAsia="Open Sans" w:hAnsi="Open Sans" w:cs="Open Sans"/>
          <w:b/>
          <w:sz w:val="21"/>
          <w:szCs w:val="21"/>
        </w:rPr>
        <w:t>En estos momentos se erige un nuevo escenario de posible recesión en la economía europea, por lo que la hoja de ruta del BCE tendrá que añadir este nuevo factor a la ecuación</w:t>
      </w:r>
      <w:r>
        <w:rPr>
          <w:rFonts w:ascii="Open Sans" w:eastAsia="Open Sans" w:hAnsi="Open Sans" w:cs="Open Sans"/>
          <w:sz w:val="21"/>
          <w:szCs w:val="21"/>
        </w:rPr>
        <w:t xml:space="preserve">. Esto obligará a que posiblemente </w:t>
      </w:r>
      <w:r>
        <w:rPr>
          <w:rFonts w:ascii="Open Sans" w:eastAsia="Open Sans" w:hAnsi="Open Sans" w:cs="Open Sans"/>
          <w:sz w:val="21"/>
          <w:szCs w:val="21"/>
        </w:rPr>
        <w:lastRenderedPageBreak/>
        <w:t xml:space="preserve">las próximas subidas ya no sean tan acusadas como se esperaba. </w:t>
      </w:r>
      <w:r w:rsidR="00FA7C52">
        <w:rPr>
          <w:rFonts w:ascii="Open Sans" w:eastAsia="Open Sans" w:hAnsi="Open Sans" w:cs="Open Sans"/>
          <w:sz w:val="21"/>
          <w:szCs w:val="21"/>
        </w:rPr>
        <w:t>Igualmente,</w:t>
      </w:r>
      <w:r>
        <w:rPr>
          <w:rFonts w:ascii="Open Sans" w:eastAsia="Open Sans" w:hAnsi="Open Sans" w:cs="Open Sans"/>
          <w:sz w:val="21"/>
          <w:szCs w:val="21"/>
        </w:rPr>
        <w:t xml:space="preserve"> esta casuística de tipos altos</w:t>
      </w:r>
      <w:r w:rsidR="00FA7C52">
        <w:rPr>
          <w:rFonts w:ascii="Open Sans" w:eastAsia="Open Sans" w:hAnsi="Open Sans" w:cs="Open Sans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 xml:space="preserve">hará que </w:t>
      </w:r>
      <w:r w:rsidR="00FA7C52">
        <w:rPr>
          <w:rFonts w:ascii="Open Sans" w:eastAsia="Open Sans" w:hAnsi="Open Sans" w:cs="Open Sans"/>
          <w:sz w:val="21"/>
          <w:szCs w:val="21"/>
        </w:rPr>
        <w:t>un gran volumen de ciudadanos modere</w:t>
      </w:r>
      <w:r>
        <w:rPr>
          <w:rFonts w:ascii="Open Sans" w:eastAsia="Open Sans" w:hAnsi="Open Sans" w:cs="Open Sans"/>
          <w:sz w:val="21"/>
          <w:szCs w:val="21"/>
        </w:rPr>
        <w:t xml:space="preserve"> su deseo de comprar vivienda, por el endurecimiento de las condiciones de financiación y encarecimiento de las hipotecas, lo que moderará la compraventa de viviendas en el cómputo final del año”, concluye la directora de Estudios.</w:t>
      </w:r>
    </w:p>
    <w:p w:rsidR="00FA7C52" w:rsidRDefault="00FA7C52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1"/>
          <w:szCs w:val="21"/>
        </w:rPr>
      </w:pPr>
    </w:p>
    <w:p w:rsidR="003D1F1E" w:rsidRDefault="00000000">
      <w:pPr>
        <w:ind w:right="-7"/>
        <w:jc w:val="right"/>
        <w:rPr>
          <w:rFonts w:ascii="Open Sans Light" w:eastAsia="Open Sans Light" w:hAnsi="Open Sans Light" w:cs="Open Sans Light"/>
          <w:b/>
          <w:color w:val="303AB2"/>
          <w:sz w:val="24"/>
          <w:szCs w:val="24"/>
        </w:rPr>
      </w:pPr>
      <w:r>
        <w:rPr>
          <w:rFonts w:ascii="Open Sans Light" w:eastAsia="Open Sans Light" w:hAnsi="Open Sans Light" w:cs="Open Sans Light"/>
          <w:b/>
          <w:color w:val="303AB2"/>
          <w:sz w:val="24"/>
          <w:szCs w:val="24"/>
        </w:rPr>
        <w:t>Departamento de Comunicación de Fotocasa</w:t>
      </w:r>
    </w:p>
    <w:p w:rsidR="003D1F1E" w:rsidRDefault="00000000">
      <w:pPr>
        <w:shd w:val="clear" w:color="auto" w:fill="FFFFFF"/>
        <w:ind w:right="-7"/>
        <w:jc w:val="right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Anaïs López</w:t>
      </w:r>
    </w:p>
    <w:p w:rsidR="003D1F1E" w:rsidRDefault="00000000">
      <w:pPr>
        <w:shd w:val="clear" w:color="auto" w:fill="FFFFFF"/>
        <w:ind w:right="-7"/>
        <w:jc w:val="right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Móvil: 620 66 29 26</w:t>
      </w:r>
    </w:p>
    <w:p w:rsidR="003D1F1E" w:rsidRDefault="00000000">
      <w:pPr>
        <w:shd w:val="clear" w:color="auto" w:fill="FFFFFF"/>
        <w:ind w:right="-7"/>
        <w:jc w:val="right"/>
        <w:rPr>
          <w:rFonts w:ascii="Open Sans" w:eastAsia="Open Sans" w:hAnsi="Open Sans" w:cs="Open Sans"/>
          <w:sz w:val="21"/>
          <w:szCs w:val="21"/>
        </w:rPr>
      </w:pPr>
      <w:hyperlink r:id="rId12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comunicacion@fotocasa.es</w:t>
        </w:r>
      </w:hyperlink>
    </w:p>
    <w:p w:rsidR="003D1F1E" w:rsidRDefault="00000000">
      <w:pPr>
        <w:shd w:val="clear" w:color="auto" w:fill="FFFFFF"/>
        <w:ind w:right="-7"/>
        <w:jc w:val="right"/>
        <w:rPr>
          <w:rFonts w:ascii="Open Sans" w:eastAsia="Open Sans" w:hAnsi="Open Sans" w:cs="Open Sans"/>
          <w:sz w:val="21"/>
          <w:szCs w:val="21"/>
        </w:rPr>
      </w:pPr>
      <w:hyperlink r:id="rId13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http://prensa.fotocasa.es</w:t>
        </w:r>
      </w:hyperlink>
    </w:p>
    <w:p w:rsidR="003D1F1E" w:rsidRDefault="00000000">
      <w:pPr>
        <w:shd w:val="clear" w:color="auto" w:fill="FFFFFF"/>
        <w:ind w:right="-7"/>
        <w:jc w:val="right"/>
        <w:rPr>
          <w:rFonts w:ascii="Open Sans" w:eastAsia="Open Sans" w:hAnsi="Open Sans" w:cs="Open Sans"/>
          <w:sz w:val="21"/>
          <w:szCs w:val="21"/>
        </w:rPr>
      </w:pPr>
      <w:proofErr w:type="spellStart"/>
      <w:r>
        <w:rPr>
          <w:rFonts w:ascii="Open Sans" w:eastAsia="Open Sans" w:hAnsi="Open Sans" w:cs="Open Sans"/>
          <w:sz w:val="21"/>
          <w:szCs w:val="21"/>
        </w:rPr>
        <w:t>twitter</w:t>
      </w:r>
      <w:proofErr w:type="spellEnd"/>
      <w:r>
        <w:rPr>
          <w:rFonts w:ascii="Open Sans" w:eastAsia="Open Sans" w:hAnsi="Open Sans" w:cs="Open Sans"/>
          <w:sz w:val="21"/>
          <w:szCs w:val="21"/>
        </w:rPr>
        <w:t>: @fotocasa</w:t>
      </w:r>
    </w:p>
    <w:p w:rsidR="003D1F1E" w:rsidRDefault="003D1F1E"/>
    <w:sectPr w:rsidR="003D1F1E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772" w:rsidRDefault="00FF5772">
      <w:pPr>
        <w:spacing w:line="240" w:lineRule="auto"/>
      </w:pPr>
      <w:r>
        <w:separator/>
      </w:r>
    </w:p>
  </w:endnote>
  <w:endnote w:type="continuationSeparator" w:id="0">
    <w:p w:rsidR="00FF5772" w:rsidRDefault="00FF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">
    <w:altName w:val="Calibri"/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F1E" w:rsidRDefault="0000000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161925</wp:posOffset>
          </wp:positionV>
          <wp:extent cx="8620125" cy="447675"/>
          <wp:effectExtent l="0" t="0" r="9525" b="9525"/>
          <wp:wrapSquare wrapText="bothSides" distT="0" distB="0" distL="0" distR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043" r="621"/>
                  <a:stretch>
                    <a:fillRect/>
                  </a:stretch>
                </pic:blipFill>
                <pic:spPr>
                  <a:xfrm>
                    <a:off x="0" y="0"/>
                    <a:ext cx="86201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772" w:rsidRDefault="00FF5772">
      <w:pPr>
        <w:spacing w:line="240" w:lineRule="auto"/>
      </w:pPr>
      <w:r>
        <w:separator/>
      </w:r>
    </w:p>
  </w:footnote>
  <w:footnote w:type="continuationSeparator" w:id="0">
    <w:p w:rsidR="00FF5772" w:rsidRDefault="00FF57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E"/>
    <w:rsid w:val="003D1F1E"/>
    <w:rsid w:val="00FA7C52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2C41"/>
  <w15:docId w15:val="{E3243125-3DB7-4E4D-910B-EDE3B3BD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103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3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C5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C52"/>
  </w:style>
  <w:style w:type="paragraph" w:styleId="Piedepgina">
    <w:name w:val="footer"/>
    <w:basedOn w:val="Normal"/>
    <w:link w:val="PiedepginaCar"/>
    <w:uiPriority w:val="99"/>
    <w:unhideWhenUsed/>
    <w:rsid w:val="00FA7C5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hyperlink" Target="http://prensa.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unicacion@fotocas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fotocasa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earch.fotocas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tocas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JYwdX7UfASe4UCKrbju/ueWxIA==">AMUW2mXGMqbR+EDnS1Qs2OiNtLXhNV9LELQBQecu4zf7JAaPZ7V7neg+FYlJYr2YpZGxRTZBupGKfiJH4UAwpvINQ6kjyUvXrwvKPD6N3MNMCfxCExP3yEs=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López García</cp:lastModifiedBy>
  <cp:revision>2</cp:revision>
  <dcterms:created xsi:type="dcterms:W3CDTF">2022-05-27T10:04:00Z</dcterms:created>
  <dcterms:modified xsi:type="dcterms:W3CDTF">2023-04-26T07:55:00Z</dcterms:modified>
</cp:coreProperties>
</file>