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98E1" w14:textId="77777777" w:rsidR="00F5315C"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3D121B02" wp14:editId="7AA2FAA8">
            <wp:simplePos x="0" y="0"/>
            <wp:positionH relativeFrom="column">
              <wp:posOffset>4057015</wp:posOffset>
            </wp:positionH>
            <wp:positionV relativeFrom="paragraph">
              <wp:posOffset>-321941</wp:posOffset>
            </wp:positionV>
            <wp:extent cx="2465949" cy="668401"/>
            <wp:effectExtent l="0" t="0" r="0" b="0"/>
            <wp:wrapNone/>
            <wp:docPr id="19999094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977048D" wp14:editId="45F68970">
            <wp:simplePos x="0" y="0"/>
            <wp:positionH relativeFrom="column">
              <wp:posOffset>-641981</wp:posOffset>
            </wp:positionH>
            <wp:positionV relativeFrom="paragraph">
              <wp:posOffset>-512439</wp:posOffset>
            </wp:positionV>
            <wp:extent cx="1761966" cy="403103"/>
            <wp:effectExtent l="0" t="0" r="0" b="0"/>
            <wp:wrapNone/>
            <wp:docPr id="19999094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E035CF7" wp14:editId="021229F4">
            <wp:simplePos x="0" y="0"/>
            <wp:positionH relativeFrom="column">
              <wp:posOffset>-597531</wp:posOffset>
            </wp:positionH>
            <wp:positionV relativeFrom="paragraph">
              <wp:posOffset>109854</wp:posOffset>
            </wp:positionV>
            <wp:extent cx="1651000" cy="387350"/>
            <wp:effectExtent l="0" t="0" r="0" b="0"/>
            <wp:wrapNone/>
            <wp:docPr id="19999094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51000" cy="387350"/>
                    </a:xfrm>
                    <a:prstGeom prst="rect">
                      <a:avLst/>
                    </a:prstGeom>
                    <a:ln/>
                  </pic:spPr>
                </pic:pic>
              </a:graphicData>
            </a:graphic>
          </wp:anchor>
        </w:drawing>
      </w:r>
    </w:p>
    <w:p w14:paraId="6A7EE081" w14:textId="77777777" w:rsidR="00F5315C" w:rsidRDefault="00F5315C">
      <w:pPr>
        <w:ind w:right="-574"/>
        <w:jc w:val="right"/>
        <w:rPr>
          <w:rFonts w:ascii="National" w:eastAsia="National" w:hAnsi="National" w:cs="National"/>
          <w:color w:val="303AB2"/>
          <w:sz w:val="36"/>
          <w:szCs w:val="36"/>
        </w:rPr>
      </w:pPr>
    </w:p>
    <w:p w14:paraId="20779CDE" w14:textId="77777777" w:rsidR="00F5315C" w:rsidRDefault="00F5315C">
      <w:pPr>
        <w:spacing w:line="276" w:lineRule="auto"/>
        <w:ind w:right="-574"/>
        <w:jc w:val="center"/>
        <w:rPr>
          <w:rFonts w:ascii="National" w:eastAsia="National" w:hAnsi="National" w:cs="National"/>
          <w:b/>
          <w:color w:val="1DBDC5"/>
          <w:sz w:val="30"/>
          <w:szCs w:val="30"/>
        </w:rPr>
      </w:pPr>
    </w:p>
    <w:p w14:paraId="27C9A89F" w14:textId="77777777" w:rsidR="00F5315C"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7E56A989" w14:textId="77777777" w:rsidR="00F5315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Los españoles destinaron el 43% de su salario al pago del alquiler en 2022, la cifra más alta de la última década</w:t>
      </w:r>
    </w:p>
    <w:p w14:paraId="5DB2DB70" w14:textId="77777777" w:rsidR="00F5315C" w:rsidRDefault="00F5315C">
      <w:pPr>
        <w:pBdr>
          <w:top w:val="nil"/>
          <w:left w:val="nil"/>
          <w:bottom w:val="nil"/>
          <w:right w:val="nil"/>
          <w:between w:val="nil"/>
        </w:pBdr>
        <w:spacing w:line="276" w:lineRule="auto"/>
        <w:ind w:right="-574"/>
        <w:jc w:val="center"/>
        <w:rPr>
          <w:rFonts w:ascii="National" w:eastAsia="National" w:hAnsi="National" w:cs="National"/>
          <w:b/>
          <w:color w:val="303AB2"/>
          <w:sz w:val="16"/>
          <w:szCs w:val="16"/>
        </w:rPr>
      </w:pPr>
    </w:p>
    <w:p w14:paraId="31993C78" w14:textId="77777777" w:rsidR="00F5315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media, si en 2021 se destinaba el 40% del salario al pago del alquiler en 2022 ha subido al 43%</w:t>
      </w:r>
    </w:p>
    <w:p w14:paraId="5EB186D5" w14:textId="77777777" w:rsidR="00F5315C"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En </w:t>
      </w:r>
      <w:r>
        <w:rPr>
          <w:rFonts w:ascii="Open Sans" w:eastAsia="Open Sans" w:hAnsi="Open Sans" w:cs="Open Sans"/>
          <w:sz w:val="22"/>
          <w:szCs w:val="22"/>
        </w:rPr>
        <w:t>2022 en España</w:t>
      </w:r>
      <w:r>
        <w:rPr>
          <w:rFonts w:ascii="Open Sans" w:eastAsia="Open Sans" w:hAnsi="Open Sans" w:cs="Open Sans"/>
          <w:color w:val="000000"/>
          <w:sz w:val="22"/>
          <w:szCs w:val="22"/>
        </w:rPr>
        <w:t xml:space="preserve"> los sueldos desc</w:t>
      </w:r>
      <w:r>
        <w:rPr>
          <w:rFonts w:ascii="Open Sans" w:eastAsia="Open Sans" w:hAnsi="Open Sans" w:cs="Open Sans"/>
          <w:sz w:val="22"/>
          <w:szCs w:val="22"/>
        </w:rPr>
        <w:t>endieron</w:t>
      </w:r>
      <w:r>
        <w:rPr>
          <w:rFonts w:ascii="Open Sans" w:eastAsia="Open Sans" w:hAnsi="Open Sans" w:cs="Open Sans"/>
          <w:color w:val="000000"/>
          <w:sz w:val="22"/>
          <w:szCs w:val="22"/>
        </w:rPr>
        <w:t xml:space="preserve"> un 0,7% mientras que el precio de la vivienda de alquiler subió un 7,4% </w:t>
      </w:r>
    </w:p>
    <w:p w14:paraId="5B8E7EE8" w14:textId="77777777" w:rsidR="00F5315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dos comunidades y en 16 provincias se destina el 30% o menos del sueldo bruto al alquiler </w:t>
      </w:r>
    </w:p>
    <w:p w14:paraId="04A768D8" w14:textId="77777777" w:rsidR="00F5315C"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Un barcelonés dedica el 62% de su sueldo bruto al pago del alquiler de su vivienda, mientras que un ciudadrealeño destina un 21%</w:t>
      </w:r>
    </w:p>
    <w:bookmarkStart w:id="1" w:name="_Hlk133180172"/>
    <w:p w14:paraId="256DE2CA" w14:textId="7003CB95" w:rsidR="00F5315C" w:rsidRPr="0074741D"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bCs/>
          <w:color w:val="000000"/>
        </w:rPr>
      </w:pPr>
      <w:r>
        <w:fldChar w:fldCharType="begin"/>
      </w:r>
      <w:r>
        <w:instrText>HYPERLINK "https://youtu.be/kBhUe0U80Rk"</w:instrText>
      </w:r>
      <w:r>
        <w:fldChar w:fldCharType="separate"/>
      </w:r>
      <w:r w:rsidR="0074741D" w:rsidRPr="0074741D">
        <w:rPr>
          <w:rStyle w:val="Hipervnculo"/>
          <w:rFonts w:ascii="Open Sans" w:eastAsia="Open Sans" w:hAnsi="Open Sans" w:cs="Open Sans"/>
          <w:b/>
          <w:bCs/>
          <w:sz w:val="22"/>
          <w:szCs w:val="22"/>
        </w:rPr>
        <w:t>Aquí se puede ver un vídeo con la valoración de la directora de Estudios de Fotocasa</w:t>
      </w:r>
      <w:r>
        <w:rPr>
          <w:rStyle w:val="Hipervnculo"/>
          <w:rFonts w:ascii="Open Sans" w:eastAsia="Open Sans" w:hAnsi="Open Sans" w:cs="Open Sans"/>
          <w:b/>
          <w:bCs/>
          <w:sz w:val="22"/>
          <w:szCs w:val="22"/>
        </w:rPr>
        <w:fldChar w:fldCharType="end"/>
      </w:r>
    </w:p>
    <w:bookmarkEnd w:id="1"/>
    <w:p w14:paraId="03A21B54" w14:textId="77777777" w:rsidR="00F5315C" w:rsidRDefault="00F5315C" w:rsidP="00AD28D6">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7CFF24FA" w14:textId="77777777" w:rsidR="00F5315C"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24 de abril de 2023</w:t>
      </w:r>
    </w:p>
    <w:p w14:paraId="633A8540"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español medio tuvo </w:t>
      </w:r>
      <w:r>
        <w:rPr>
          <w:rFonts w:ascii="Open Sans" w:eastAsia="Open Sans" w:hAnsi="Open Sans" w:cs="Open Sans"/>
          <w:sz w:val="22"/>
          <w:szCs w:val="22"/>
        </w:rPr>
        <w:t xml:space="preserve">que dedicar el 43% de su sueldo bruto al pago del alquiler de su vivienda en 2022, frente al 40% </w:t>
      </w:r>
      <w:r>
        <w:rPr>
          <w:rFonts w:ascii="Open Sans" w:eastAsia="Open Sans" w:hAnsi="Open Sans" w:cs="Open Sans"/>
          <w:color w:val="000000"/>
          <w:sz w:val="22"/>
          <w:szCs w:val="22"/>
        </w:rPr>
        <w:t xml:space="preserve">que necesitaba en 2021,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vivienda en alquiler en 2022</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datos de los sueldos medios de las ofertas de empleo de la plataforma </w:t>
      </w:r>
      <w:hyperlink r:id="rId11">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en los precios medios de la vivienda de alquiler del Índice Inmobiliario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5716E0F5"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el precio de la vivienda en alquiler en España cerró con un incremento anual del 7,4% y situó el precio en diciembre en 11,03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de España registrado por InfoJobs, que en 2022 era de 24.395 euros (2.033 euros brutos mensuales si lo dividimos en 12 pagas); los españoles tuvieron que dedicar el 43% del sueldo al pago del alquiler de una vivienda de 80 metros cuadrados.</w:t>
      </w:r>
    </w:p>
    <w:p w14:paraId="23C108BF" w14:textId="77777777" w:rsidR="00F5315C" w:rsidRDefault="00F5315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3F7956E3" w14:textId="77777777" w:rsidR="00F5315C" w:rsidRDefault="00000000">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r>
        <w:rPr>
          <w:rFonts w:ascii="National" w:eastAsia="National" w:hAnsi="National" w:cs="National"/>
          <w:b/>
          <w:color w:val="303AB2"/>
          <w:sz w:val="26"/>
          <w:szCs w:val="26"/>
        </w:rPr>
        <w:lastRenderedPageBreak/>
        <w:t xml:space="preserve">Salario bruto (%) destinado al pago de la vivienda en alquiler </w:t>
      </w:r>
      <w:r>
        <w:rPr>
          <w:noProof/>
        </w:rPr>
        <w:drawing>
          <wp:inline distT="0" distB="0" distL="0" distR="0" wp14:anchorId="0DE02E4A" wp14:editId="6C5C8CA6">
            <wp:extent cx="4940300" cy="2257425"/>
            <wp:effectExtent l="0" t="0" r="0" b="0"/>
            <wp:docPr id="1999909462" name="Gráfico 1999909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071197" w14:textId="77777777" w:rsidR="00F5315C" w:rsidRDefault="00F5315C">
      <w:pPr>
        <w:jc w:val="both"/>
        <w:rPr>
          <w:rFonts w:ascii="Times New Roman" w:eastAsia="Times New Roman" w:hAnsi="Times New Roman" w:cs="Times New Roman"/>
        </w:rPr>
      </w:pPr>
    </w:p>
    <w:p w14:paraId="033AA081" w14:textId="77777777" w:rsidR="00F5315C" w:rsidRDefault="00F5315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B2C35BF"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358C9CE3" wp14:editId="6E6B8F8C">
            <wp:extent cx="5396230" cy="4224655"/>
            <wp:effectExtent l="0" t="0" r="0" b="0"/>
            <wp:docPr id="1999909468"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14"/>
                    <a:srcRect/>
                    <a:stretch>
                      <a:fillRect/>
                    </a:stretch>
                  </pic:blipFill>
                  <pic:spPr>
                    <a:xfrm>
                      <a:off x="0" y="0"/>
                      <a:ext cx="5396230" cy="4224655"/>
                    </a:xfrm>
                    <a:prstGeom prst="rect">
                      <a:avLst/>
                    </a:prstGeom>
                    <a:ln/>
                  </pic:spPr>
                </pic:pic>
              </a:graphicData>
            </a:graphic>
          </wp:inline>
        </w:drawing>
      </w:r>
    </w:p>
    <w:p w14:paraId="6A16EC21" w14:textId="77777777" w:rsidR="00F5315C" w:rsidRDefault="00F5315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C6D959E" w14:textId="77777777" w:rsidR="00F5315C" w:rsidRDefault="00F5315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31189E4"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highlight w:val="yellow"/>
        </w:rPr>
      </w:pPr>
      <w:bookmarkStart w:id="2" w:name="_Hlk133180209"/>
      <w:bookmarkStart w:id="3" w:name="_Hlk133181728"/>
      <w:r>
        <w:rPr>
          <w:rFonts w:ascii="Open Sans" w:eastAsia="Open Sans" w:hAnsi="Open Sans" w:cs="Open Sans"/>
          <w:color w:val="000000"/>
          <w:sz w:val="22"/>
          <w:szCs w:val="22"/>
        </w:rPr>
        <w:lastRenderedPageBreak/>
        <w:t xml:space="preserve">“Ya </w:t>
      </w:r>
      <w:r>
        <w:rPr>
          <w:rFonts w:ascii="Open Sans" w:eastAsia="Open Sans" w:hAnsi="Open Sans" w:cs="Open Sans"/>
          <w:sz w:val="22"/>
          <w:szCs w:val="22"/>
        </w:rPr>
        <w:t xml:space="preserve">no solo es que los salarios no crezcan al mismo ritmo que la vivienda. La principal razón de alcanzar la cota más alta de la historia es que el precio del alquiler se encuentra en su nivel máximo histórico, mostrando los incrementos más abultados de los últimos 17 años. El encarecimiento del arrendamiento ocasiona que el esfuerzo salarial que el ciudadano realiza para acceder al alquiler esté muy por encima de lo recomendado por los organismos de control europeos que establecen que no se debe destinar más del 30% al pago de la vivienda. En estos momentos se encuentra más de 10 puntos por encima de la cifra de hace 10 años. Solo dos comunidades autónomas presentan niveles sanos. El resto, a nivel general y sobre todo en las zonas tensionadas es evidente que la problemática de acceso al alquiler se agrava cada vez más”, comenta María Matos, directora de Estudios y portavoz de </w:t>
      </w:r>
      <w:hyperlink r:id="rId15">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32E3D236" w14:textId="77777777" w:rsidR="00F5315C" w:rsidRDefault="00000000">
      <w:pPr>
        <w:pBdr>
          <w:top w:val="nil"/>
          <w:left w:val="nil"/>
          <w:bottom w:val="nil"/>
          <w:right w:val="nil"/>
          <w:between w:val="nil"/>
        </w:pBdr>
        <w:spacing w:line="276" w:lineRule="auto"/>
        <w:ind w:right="-574"/>
        <w:jc w:val="both"/>
        <w:rPr>
          <w:rFonts w:ascii="Open Sans" w:eastAsia="Open Sans" w:hAnsi="Open Sans" w:cs="Open Sans"/>
          <w:sz w:val="22"/>
          <w:szCs w:val="22"/>
          <w:highlight w:val="white"/>
        </w:rPr>
      </w:pPr>
      <w:bookmarkStart w:id="4" w:name="_Hlk133180416"/>
      <w:bookmarkEnd w:id="2"/>
      <w:r>
        <w:rPr>
          <w:rFonts w:ascii="Open Sans" w:eastAsia="Open Sans" w:hAnsi="Open Sans" w:cs="Open Sans"/>
          <w:color w:val="000000"/>
          <w:sz w:val="22"/>
          <w:szCs w:val="22"/>
          <w:highlight w:val="white"/>
        </w:rPr>
        <w:t xml:space="preserve">Por su parte, Mónica Pérez, directora de Comunicación y Estudios de </w:t>
      </w:r>
      <w:hyperlink r:id="rId16">
        <w:r>
          <w:rPr>
            <w:rFonts w:ascii="Open Sans" w:eastAsia="Open Sans" w:hAnsi="Open Sans" w:cs="Open Sans"/>
            <w:color w:val="0000FF"/>
            <w:sz w:val="22"/>
            <w:szCs w:val="22"/>
            <w:highlight w:val="white"/>
            <w:u w:val="single"/>
          </w:rPr>
          <w:t>InfoJobs</w:t>
        </w:r>
      </w:hyperlink>
      <w:r>
        <w:rPr>
          <w:rFonts w:ascii="Open Sans" w:eastAsia="Open Sans" w:hAnsi="Open Sans" w:cs="Open Sans"/>
          <w:color w:val="000000"/>
          <w:sz w:val="22"/>
          <w:szCs w:val="22"/>
          <w:highlight w:val="white"/>
        </w:rPr>
        <w:t xml:space="preserve"> comenta: “</w:t>
      </w:r>
      <w:r>
        <w:rPr>
          <w:rFonts w:ascii="Open Sans" w:eastAsia="Open Sans" w:hAnsi="Open Sans" w:cs="Open Sans"/>
          <w:sz w:val="22"/>
          <w:szCs w:val="22"/>
          <w:highlight w:val="white"/>
        </w:rPr>
        <w:t xml:space="preserve">El promedio salarial bruto mensual en InfoJobs en 2022 ha alcanzado los 2.033 euros (-0,7% con respecto a 2021). Esto supone una pérdida del 6,4% en el poder adquisitivo, si tenemos en cuenta que la inflación cerró en un 5,7%”. Pérez añade: “las subidas salariales se han dado solo en determinados sectores profesionales, más tensionados por la falta de personal, como informática y telecomunicaciones, construcción y turismo y restauración, lo cual genera también diferencias territoriales”. </w:t>
      </w:r>
    </w:p>
    <w:bookmarkEnd w:id="3"/>
    <w:bookmarkEnd w:id="4"/>
    <w:p w14:paraId="6904280C" w14:textId="77777777" w:rsidR="00F5315C" w:rsidRDefault="00F5315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E1A7B0D" w14:textId="77777777" w:rsidR="00F5315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CC. AA. con el precio de la vivienda en alquiler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mensual</w:t>
      </w:r>
    </w:p>
    <w:tbl>
      <w:tblPr>
        <w:tblStyle w:val="a3"/>
        <w:tblW w:w="9437" w:type="dxa"/>
        <w:tblInd w:w="-294" w:type="dxa"/>
        <w:tblLayout w:type="fixed"/>
        <w:tblLook w:val="0400" w:firstRow="0" w:lastRow="0" w:firstColumn="0" w:lastColumn="0" w:noHBand="0" w:noVBand="1"/>
      </w:tblPr>
      <w:tblGrid>
        <w:gridCol w:w="1844"/>
        <w:gridCol w:w="1134"/>
        <w:gridCol w:w="1134"/>
        <w:gridCol w:w="1559"/>
        <w:gridCol w:w="1134"/>
        <w:gridCol w:w="1264"/>
        <w:gridCol w:w="1368"/>
      </w:tblGrid>
      <w:tr w:rsidR="00F5315C" w14:paraId="36697064" w14:textId="77777777">
        <w:trPr>
          <w:trHeight w:val="1137"/>
        </w:trPr>
        <w:tc>
          <w:tcPr>
            <w:tcW w:w="1844"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58EFA85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CC. AA.</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7D1B07B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2022)</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11041B6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anual alquiler        80m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2022</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659CE88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en 2022 (12 pagas)</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F92861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en 2022</w:t>
            </w:r>
          </w:p>
        </w:tc>
        <w:tc>
          <w:tcPr>
            <w:tcW w:w="1264" w:type="dxa"/>
            <w:tcBorders>
              <w:top w:val="single" w:sz="8" w:space="0" w:color="2E74B5"/>
              <w:left w:val="nil"/>
              <w:bottom w:val="single" w:sz="8" w:space="0" w:color="2E74B5"/>
              <w:right w:val="single" w:sz="8" w:space="0" w:color="2E74B5"/>
            </w:tcBorders>
            <w:shd w:val="clear" w:color="auto" w:fill="9CC2E5"/>
            <w:vAlign w:val="center"/>
          </w:tcPr>
          <w:p w14:paraId="43303AB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Sueldo bruto (%) destinado al alquiler en 2021</w:t>
            </w:r>
          </w:p>
        </w:tc>
        <w:tc>
          <w:tcPr>
            <w:tcW w:w="1368" w:type="dxa"/>
            <w:tcBorders>
              <w:top w:val="single" w:sz="8" w:space="0" w:color="2E74B5"/>
              <w:left w:val="nil"/>
              <w:bottom w:val="single" w:sz="8" w:space="0" w:color="2E74B5"/>
              <w:right w:val="single" w:sz="8" w:space="0" w:color="2E74B5"/>
            </w:tcBorders>
            <w:shd w:val="clear" w:color="auto" w:fill="9CC2E5"/>
            <w:vAlign w:val="center"/>
          </w:tcPr>
          <w:p w14:paraId="2C4A389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Sueldo bruto (%) destinado al alquiler en 2022</w:t>
            </w:r>
          </w:p>
        </w:tc>
      </w:tr>
      <w:tr w:rsidR="00F5315C" w14:paraId="6226BF9E"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6097204"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134" w:type="dxa"/>
            <w:tcBorders>
              <w:top w:val="nil"/>
              <w:left w:val="nil"/>
              <w:bottom w:val="single" w:sz="8" w:space="0" w:color="2E74B5"/>
              <w:right w:val="single" w:sz="8" w:space="0" w:color="2E74B5"/>
            </w:tcBorders>
            <w:shd w:val="clear" w:color="auto" w:fill="auto"/>
          </w:tcPr>
          <w:p w14:paraId="3367B41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9,22 €</w:t>
            </w:r>
          </w:p>
        </w:tc>
        <w:tc>
          <w:tcPr>
            <w:tcW w:w="1134" w:type="dxa"/>
            <w:tcBorders>
              <w:top w:val="nil"/>
              <w:left w:val="nil"/>
              <w:bottom w:val="single" w:sz="8" w:space="0" w:color="2E74B5"/>
              <w:right w:val="single" w:sz="8" w:space="0" w:color="2E74B5"/>
            </w:tcBorders>
            <w:shd w:val="clear" w:color="auto" w:fill="auto"/>
          </w:tcPr>
          <w:p w14:paraId="2C745F0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8.851 €</w:t>
            </w:r>
          </w:p>
        </w:tc>
        <w:tc>
          <w:tcPr>
            <w:tcW w:w="1559" w:type="dxa"/>
            <w:tcBorders>
              <w:top w:val="nil"/>
              <w:left w:val="nil"/>
              <w:bottom w:val="single" w:sz="8" w:space="0" w:color="2E74B5"/>
              <w:right w:val="single" w:sz="8" w:space="0" w:color="2E74B5"/>
            </w:tcBorders>
            <w:shd w:val="clear" w:color="auto" w:fill="auto"/>
          </w:tcPr>
          <w:p w14:paraId="076F2BE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1.960 €</w:t>
            </w:r>
          </w:p>
        </w:tc>
        <w:tc>
          <w:tcPr>
            <w:tcW w:w="1134" w:type="dxa"/>
            <w:tcBorders>
              <w:top w:val="nil"/>
              <w:left w:val="nil"/>
              <w:bottom w:val="single" w:sz="8" w:space="0" w:color="2E74B5"/>
              <w:right w:val="single" w:sz="8" w:space="0" w:color="2E74B5"/>
            </w:tcBorders>
            <w:shd w:val="clear" w:color="auto" w:fill="auto"/>
          </w:tcPr>
          <w:p w14:paraId="4EF3D68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23.525 €</w:t>
            </w:r>
          </w:p>
        </w:tc>
        <w:tc>
          <w:tcPr>
            <w:tcW w:w="1264" w:type="dxa"/>
            <w:tcBorders>
              <w:top w:val="nil"/>
              <w:left w:val="nil"/>
              <w:bottom w:val="single" w:sz="8" w:space="0" w:color="2E74B5"/>
              <w:right w:val="single" w:sz="8" w:space="0" w:color="2E74B5"/>
            </w:tcBorders>
            <w:shd w:val="clear" w:color="auto" w:fill="auto"/>
          </w:tcPr>
          <w:p w14:paraId="7B7A70F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35%</w:t>
            </w:r>
          </w:p>
        </w:tc>
        <w:tc>
          <w:tcPr>
            <w:tcW w:w="1368" w:type="dxa"/>
            <w:tcBorders>
              <w:top w:val="nil"/>
              <w:left w:val="nil"/>
              <w:bottom w:val="single" w:sz="8" w:space="0" w:color="2E74B5"/>
              <w:right w:val="single" w:sz="8" w:space="0" w:color="2E74B5"/>
            </w:tcBorders>
            <w:shd w:val="clear" w:color="auto" w:fill="auto"/>
          </w:tcPr>
          <w:p w14:paraId="234D28E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38%</w:t>
            </w:r>
          </w:p>
        </w:tc>
      </w:tr>
      <w:tr w:rsidR="00F5315C" w14:paraId="022EEA7F"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391F5DB"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Aragón</w:t>
            </w:r>
          </w:p>
        </w:tc>
        <w:tc>
          <w:tcPr>
            <w:tcW w:w="1134" w:type="dxa"/>
            <w:tcBorders>
              <w:top w:val="nil"/>
              <w:left w:val="nil"/>
              <w:bottom w:val="single" w:sz="8" w:space="0" w:color="2E74B5"/>
              <w:right w:val="single" w:sz="8" w:space="0" w:color="2E74B5"/>
            </w:tcBorders>
            <w:shd w:val="clear" w:color="auto" w:fill="auto"/>
          </w:tcPr>
          <w:p w14:paraId="119183C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8,85 €</w:t>
            </w:r>
          </w:p>
        </w:tc>
        <w:tc>
          <w:tcPr>
            <w:tcW w:w="1134" w:type="dxa"/>
            <w:tcBorders>
              <w:top w:val="nil"/>
              <w:left w:val="nil"/>
              <w:bottom w:val="single" w:sz="8" w:space="0" w:color="2E74B5"/>
              <w:right w:val="single" w:sz="8" w:space="0" w:color="2E74B5"/>
            </w:tcBorders>
            <w:shd w:val="clear" w:color="auto" w:fill="auto"/>
          </w:tcPr>
          <w:p w14:paraId="16799CD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8.496 €</w:t>
            </w:r>
          </w:p>
        </w:tc>
        <w:tc>
          <w:tcPr>
            <w:tcW w:w="1559" w:type="dxa"/>
            <w:tcBorders>
              <w:top w:val="nil"/>
              <w:left w:val="nil"/>
              <w:bottom w:val="single" w:sz="8" w:space="0" w:color="2E74B5"/>
              <w:right w:val="single" w:sz="8" w:space="0" w:color="2E74B5"/>
            </w:tcBorders>
            <w:shd w:val="clear" w:color="auto" w:fill="auto"/>
          </w:tcPr>
          <w:p w14:paraId="5282063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1.945 €</w:t>
            </w:r>
          </w:p>
        </w:tc>
        <w:tc>
          <w:tcPr>
            <w:tcW w:w="1134" w:type="dxa"/>
            <w:tcBorders>
              <w:top w:val="nil"/>
              <w:left w:val="nil"/>
              <w:bottom w:val="single" w:sz="8" w:space="0" w:color="2E74B5"/>
              <w:right w:val="single" w:sz="8" w:space="0" w:color="2E74B5"/>
            </w:tcBorders>
            <w:shd w:val="clear" w:color="auto" w:fill="auto"/>
          </w:tcPr>
          <w:p w14:paraId="61357BB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23.339 €</w:t>
            </w:r>
          </w:p>
        </w:tc>
        <w:tc>
          <w:tcPr>
            <w:tcW w:w="1264" w:type="dxa"/>
            <w:tcBorders>
              <w:top w:val="nil"/>
              <w:left w:val="nil"/>
              <w:bottom w:val="single" w:sz="8" w:space="0" w:color="2E74B5"/>
              <w:right w:val="single" w:sz="8" w:space="0" w:color="2E74B5"/>
            </w:tcBorders>
            <w:shd w:val="clear" w:color="auto" w:fill="auto"/>
          </w:tcPr>
          <w:p w14:paraId="5BD71DF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36%</w:t>
            </w:r>
          </w:p>
        </w:tc>
        <w:tc>
          <w:tcPr>
            <w:tcW w:w="1368" w:type="dxa"/>
            <w:tcBorders>
              <w:top w:val="nil"/>
              <w:left w:val="nil"/>
              <w:bottom w:val="single" w:sz="8" w:space="0" w:color="2E74B5"/>
              <w:right w:val="single" w:sz="8" w:space="0" w:color="2E74B5"/>
            </w:tcBorders>
            <w:shd w:val="clear" w:color="auto" w:fill="auto"/>
          </w:tcPr>
          <w:p w14:paraId="66A5D024"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36%</w:t>
            </w:r>
          </w:p>
        </w:tc>
      </w:tr>
      <w:tr w:rsidR="00F5315C" w14:paraId="08F0C019"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5CE6AF73"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Asturias</w:t>
            </w:r>
          </w:p>
        </w:tc>
        <w:tc>
          <w:tcPr>
            <w:tcW w:w="1134" w:type="dxa"/>
            <w:tcBorders>
              <w:top w:val="nil"/>
              <w:left w:val="nil"/>
              <w:bottom w:val="single" w:sz="8" w:space="0" w:color="2E74B5"/>
              <w:right w:val="single" w:sz="8" w:space="0" w:color="2E74B5"/>
            </w:tcBorders>
            <w:shd w:val="clear" w:color="auto" w:fill="auto"/>
          </w:tcPr>
          <w:p w14:paraId="18E5BA2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8,38 €</w:t>
            </w:r>
          </w:p>
        </w:tc>
        <w:tc>
          <w:tcPr>
            <w:tcW w:w="1134" w:type="dxa"/>
            <w:tcBorders>
              <w:top w:val="nil"/>
              <w:left w:val="nil"/>
              <w:bottom w:val="single" w:sz="8" w:space="0" w:color="2E74B5"/>
              <w:right w:val="single" w:sz="8" w:space="0" w:color="2E74B5"/>
            </w:tcBorders>
            <w:shd w:val="clear" w:color="auto" w:fill="auto"/>
          </w:tcPr>
          <w:p w14:paraId="40233FD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8.045 €</w:t>
            </w:r>
          </w:p>
        </w:tc>
        <w:tc>
          <w:tcPr>
            <w:tcW w:w="1559" w:type="dxa"/>
            <w:tcBorders>
              <w:top w:val="nil"/>
              <w:left w:val="nil"/>
              <w:bottom w:val="single" w:sz="8" w:space="0" w:color="2E74B5"/>
              <w:right w:val="single" w:sz="8" w:space="0" w:color="2E74B5"/>
            </w:tcBorders>
            <w:shd w:val="clear" w:color="auto" w:fill="auto"/>
          </w:tcPr>
          <w:p w14:paraId="2353D9A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2.006 €</w:t>
            </w:r>
          </w:p>
        </w:tc>
        <w:tc>
          <w:tcPr>
            <w:tcW w:w="1134" w:type="dxa"/>
            <w:tcBorders>
              <w:top w:val="nil"/>
              <w:left w:val="nil"/>
              <w:bottom w:val="single" w:sz="8" w:space="0" w:color="2E74B5"/>
              <w:right w:val="single" w:sz="8" w:space="0" w:color="2E74B5"/>
            </w:tcBorders>
            <w:shd w:val="clear" w:color="auto" w:fill="auto"/>
          </w:tcPr>
          <w:p w14:paraId="62D1429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24.069 €</w:t>
            </w:r>
          </w:p>
        </w:tc>
        <w:tc>
          <w:tcPr>
            <w:tcW w:w="1264" w:type="dxa"/>
            <w:tcBorders>
              <w:top w:val="nil"/>
              <w:left w:val="nil"/>
              <w:bottom w:val="single" w:sz="8" w:space="0" w:color="2E74B5"/>
              <w:right w:val="single" w:sz="8" w:space="0" w:color="2E74B5"/>
            </w:tcBorders>
            <w:shd w:val="clear" w:color="auto" w:fill="auto"/>
          </w:tcPr>
          <w:p w14:paraId="10F3944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33%</w:t>
            </w:r>
          </w:p>
        </w:tc>
        <w:tc>
          <w:tcPr>
            <w:tcW w:w="1368" w:type="dxa"/>
            <w:tcBorders>
              <w:top w:val="nil"/>
              <w:left w:val="nil"/>
              <w:bottom w:val="single" w:sz="8" w:space="0" w:color="2E74B5"/>
              <w:right w:val="single" w:sz="8" w:space="0" w:color="2E74B5"/>
            </w:tcBorders>
            <w:shd w:val="clear" w:color="auto" w:fill="auto"/>
          </w:tcPr>
          <w:p w14:paraId="6B8C85AA"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33%</w:t>
            </w:r>
          </w:p>
        </w:tc>
      </w:tr>
      <w:tr w:rsidR="00F5315C" w14:paraId="4A0A740F"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70643F2"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Baleares</w:t>
            </w:r>
          </w:p>
        </w:tc>
        <w:tc>
          <w:tcPr>
            <w:tcW w:w="1134" w:type="dxa"/>
            <w:tcBorders>
              <w:top w:val="nil"/>
              <w:left w:val="nil"/>
              <w:bottom w:val="single" w:sz="8" w:space="0" w:color="2E74B5"/>
              <w:right w:val="single" w:sz="8" w:space="0" w:color="2E74B5"/>
            </w:tcBorders>
            <w:shd w:val="clear" w:color="auto" w:fill="auto"/>
          </w:tcPr>
          <w:p w14:paraId="66694B9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14,16 €</w:t>
            </w:r>
          </w:p>
        </w:tc>
        <w:tc>
          <w:tcPr>
            <w:tcW w:w="1134" w:type="dxa"/>
            <w:tcBorders>
              <w:top w:val="nil"/>
              <w:left w:val="nil"/>
              <w:bottom w:val="single" w:sz="8" w:space="0" w:color="2E74B5"/>
              <w:right w:val="single" w:sz="8" w:space="0" w:color="2E74B5"/>
            </w:tcBorders>
            <w:shd w:val="clear" w:color="auto" w:fill="auto"/>
          </w:tcPr>
          <w:p w14:paraId="7086C8C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13.594 €</w:t>
            </w:r>
          </w:p>
        </w:tc>
        <w:tc>
          <w:tcPr>
            <w:tcW w:w="1559" w:type="dxa"/>
            <w:tcBorders>
              <w:top w:val="nil"/>
              <w:left w:val="nil"/>
              <w:bottom w:val="single" w:sz="8" w:space="0" w:color="2E74B5"/>
              <w:right w:val="single" w:sz="8" w:space="0" w:color="2E74B5"/>
            </w:tcBorders>
            <w:shd w:val="clear" w:color="auto" w:fill="auto"/>
          </w:tcPr>
          <w:p w14:paraId="7DD19F6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1.941 €</w:t>
            </w:r>
          </w:p>
        </w:tc>
        <w:tc>
          <w:tcPr>
            <w:tcW w:w="1134" w:type="dxa"/>
            <w:tcBorders>
              <w:top w:val="nil"/>
              <w:left w:val="nil"/>
              <w:bottom w:val="single" w:sz="8" w:space="0" w:color="2E74B5"/>
              <w:right w:val="single" w:sz="8" w:space="0" w:color="2E74B5"/>
            </w:tcBorders>
            <w:shd w:val="clear" w:color="auto" w:fill="auto"/>
          </w:tcPr>
          <w:p w14:paraId="6DDE4C0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23.292 €</w:t>
            </w:r>
          </w:p>
        </w:tc>
        <w:tc>
          <w:tcPr>
            <w:tcW w:w="1264" w:type="dxa"/>
            <w:tcBorders>
              <w:top w:val="nil"/>
              <w:left w:val="nil"/>
              <w:bottom w:val="single" w:sz="8" w:space="0" w:color="2E74B5"/>
              <w:right w:val="single" w:sz="8" w:space="0" w:color="2E74B5"/>
            </w:tcBorders>
            <w:shd w:val="clear" w:color="auto" w:fill="auto"/>
          </w:tcPr>
          <w:p w14:paraId="041869C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49%</w:t>
            </w:r>
          </w:p>
        </w:tc>
        <w:tc>
          <w:tcPr>
            <w:tcW w:w="1368" w:type="dxa"/>
            <w:tcBorders>
              <w:top w:val="nil"/>
              <w:left w:val="nil"/>
              <w:bottom w:val="single" w:sz="8" w:space="0" w:color="2E74B5"/>
              <w:right w:val="single" w:sz="8" w:space="0" w:color="2E74B5"/>
            </w:tcBorders>
            <w:shd w:val="clear" w:color="auto" w:fill="auto"/>
          </w:tcPr>
          <w:p w14:paraId="379E2BF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58%</w:t>
            </w:r>
          </w:p>
        </w:tc>
      </w:tr>
      <w:tr w:rsidR="00F5315C" w14:paraId="40BEA45D"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E13338D"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Canarias</w:t>
            </w:r>
          </w:p>
        </w:tc>
        <w:tc>
          <w:tcPr>
            <w:tcW w:w="1134" w:type="dxa"/>
            <w:tcBorders>
              <w:top w:val="nil"/>
              <w:left w:val="nil"/>
              <w:bottom w:val="single" w:sz="8" w:space="0" w:color="2E74B5"/>
              <w:right w:val="single" w:sz="8" w:space="0" w:color="2E74B5"/>
            </w:tcBorders>
            <w:shd w:val="clear" w:color="auto" w:fill="auto"/>
          </w:tcPr>
          <w:p w14:paraId="11AD625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11,26 €</w:t>
            </w:r>
          </w:p>
        </w:tc>
        <w:tc>
          <w:tcPr>
            <w:tcW w:w="1134" w:type="dxa"/>
            <w:tcBorders>
              <w:top w:val="nil"/>
              <w:left w:val="nil"/>
              <w:bottom w:val="single" w:sz="8" w:space="0" w:color="2E74B5"/>
              <w:right w:val="single" w:sz="8" w:space="0" w:color="2E74B5"/>
            </w:tcBorders>
            <w:shd w:val="clear" w:color="auto" w:fill="auto"/>
          </w:tcPr>
          <w:p w14:paraId="43A3883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10.810 €</w:t>
            </w:r>
          </w:p>
        </w:tc>
        <w:tc>
          <w:tcPr>
            <w:tcW w:w="1559" w:type="dxa"/>
            <w:tcBorders>
              <w:top w:val="nil"/>
              <w:left w:val="nil"/>
              <w:bottom w:val="single" w:sz="8" w:space="0" w:color="2E74B5"/>
              <w:right w:val="single" w:sz="8" w:space="0" w:color="2E74B5"/>
            </w:tcBorders>
            <w:shd w:val="clear" w:color="auto" w:fill="auto"/>
          </w:tcPr>
          <w:p w14:paraId="73AC83A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1.825 €</w:t>
            </w:r>
          </w:p>
        </w:tc>
        <w:tc>
          <w:tcPr>
            <w:tcW w:w="1134" w:type="dxa"/>
            <w:tcBorders>
              <w:top w:val="nil"/>
              <w:left w:val="nil"/>
              <w:bottom w:val="single" w:sz="8" w:space="0" w:color="2E74B5"/>
              <w:right w:val="single" w:sz="8" w:space="0" w:color="2E74B5"/>
            </w:tcBorders>
            <w:shd w:val="clear" w:color="auto" w:fill="auto"/>
          </w:tcPr>
          <w:p w14:paraId="3C44C0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21.897 €</w:t>
            </w:r>
          </w:p>
        </w:tc>
        <w:tc>
          <w:tcPr>
            <w:tcW w:w="1264" w:type="dxa"/>
            <w:tcBorders>
              <w:top w:val="nil"/>
              <w:left w:val="nil"/>
              <w:bottom w:val="single" w:sz="8" w:space="0" w:color="2E74B5"/>
              <w:right w:val="single" w:sz="8" w:space="0" w:color="2E74B5"/>
            </w:tcBorders>
            <w:shd w:val="clear" w:color="auto" w:fill="auto"/>
          </w:tcPr>
          <w:p w14:paraId="348C10C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40%</w:t>
            </w:r>
          </w:p>
        </w:tc>
        <w:tc>
          <w:tcPr>
            <w:tcW w:w="1368" w:type="dxa"/>
            <w:tcBorders>
              <w:top w:val="nil"/>
              <w:left w:val="nil"/>
              <w:bottom w:val="single" w:sz="8" w:space="0" w:color="2E74B5"/>
              <w:right w:val="single" w:sz="8" w:space="0" w:color="2E74B5"/>
            </w:tcBorders>
            <w:shd w:val="clear" w:color="auto" w:fill="auto"/>
          </w:tcPr>
          <w:p w14:paraId="7C6B704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49%</w:t>
            </w:r>
          </w:p>
        </w:tc>
      </w:tr>
      <w:tr w:rsidR="00F5315C" w14:paraId="79C17CD3"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6CB45E85"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Cantabria</w:t>
            </w:r>
          </w:p>
        </w:tc>
        <w:tc>
          <w:tcPr>
            <w:tcW w:w="1134" w:type="dxa"/>
            <w:tcBorders>
              <w:top w:val="nil"/>
              <w:left w:val="nil"/>
              <w:bottom w:val="single" w:sz="8" w:space="0" w:color="2E74B5"/>
              <w:right w:val="single" w:sz="8" w:space="0" w:color="2E74B5"/>
            </w:tcBorders>
            <w:shd w:val="clear" w:color="auto" w:fill="auto"/>
          </w:tcPr>
          <w:p w14:paraId="5E9B133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10,32 €</w:t>
            </w:r>
          </w:p>
        </w:tc>
        <w:tc>
          <w:tcPr>
            <w:tcW w:w="1134" w:type="dxa"/>
            <w:tcBorders>
              <w:top w:val="nil"/>
              <w:left w:val="nil"/>
              <w:bottom w:val="single" w:sz="8" w:space="0" w:color="2E74B5"/>
              <w:right w:val="single" w:sz="8" w:space="0" w:color="2E74B5"/>
            </w:tcBorders>
            <w:shd w:val="clear" w:color="auto" w:fill="auto"/>
          </w:tcPr>
          <w:p w14:paraId="7E3E265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9.907 €</w:t>
            </w:r>
          </w:p>
        </w:tc>
        <w:tc>
          <w:tcPr>
            <w:tcW w:w="1559" w:type="dxa"/>
            <w:tcBorders>
              <w:top w:val="nil"/>
              <w:left w:val="nil"/>
              <w:bottom w:val="single" w:sz="8" w:space="0" w:color="2E74B5"/>
              <w:right w:val="single" w:sz="8" w:space="0" w:color="2E74B5"/>
            </w:tcBorders>
            <w:shd w:val="clear" w:color="auto" w:fill="auto"/>
          </w:tcPr>
          <w:p w14:paraId="315191E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1.904 €</w:t>
            </w:r>
          </w:p>
        </w:tc>
        <w:tc>
          <w:tcPr>
            <w:tcW w:w="1134" w:type="dxa"/>
            <w:tcBorders>
              <w:top w:val="nil"/>
              <w:left w:val="nil"/>
              <w:bottom w:val="single" w:sz="8" w:space="0" w:color="2E74B5"/>
              <w:right w:val="single" w:sz="8" w:space="0" w:color="2E74B5"/>
            </w:tcBorders>
            <w:shd w:val="clear" w:color="auto" w:fill="auto"/>
          </w:tcPr>
          <w:p w14:paraId="21570AA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22.844 €</w:t>
            </w:r>
          </w:p>
        </w:tc>
        <w:tc>
          <w:tcPr>
            <w:tcW w:w="1264" w:type="dxa"/>
            <w:tcBorders>
              <w:top w:val="nil"/>
              <w:left w:val="nil"/>
              <w:bottom w:val="single" w:sz="8" w:space="0" w:color="2E74B5"/>
              <w:right w:val="single" w:sz="8" w:space="0" w:color="2E74B5"/>
            </w:tcBorders>
            <w:shd w:val="clear" w:color="auto" w:fill="auto"/>
          </w:tcPr>
          <w:p w14:paraId="2341A52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40%</w:t>
            </w:r>
          </w:p>
        </w:tc>
        <w:tc>
          <w:tcPr>
            <w:tcW w:w="1368" w:type="dxa"/>
            <w:tcBorders>
              <w:top w:val="nil"/>
              <w:left w:val="nil"/>
              <w:bottom w:val="single" w:sz="8" w:space="0" w:color="2E74B5"/>
              <w:right w:val="single" w:sz="8" w:space="0" w:color="2E74B5"/>
            </w:tcBorders>
            <w:shd w:val="clear" w:color="auto" w:fill="auto"/>
          </w:tcPr>
          <w:p w14:paraId="2869B13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43%</w:t>
            </w:r>
          </w:p>
        </w:tc>
      </w:tr>
      <w:tr w:rsidR="00F5315C" w14:paraId="6F489F22"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EDE9AAC"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134" w:type="dxa"/>
            <w:tcBorders>
              <w:top w:val="nil"/>
              <w:left w:val="nil"/>
              <w:bottom w:val="single" w:sz="8" w:space="0" w:color="2E74B5"/>
              <w:right w:val="single" w:sz="8" w:space="0" w:color="2E74B5"/>
            </w:tcBorders>
            <w:shd w:val="clear" w:color="auto" w:fill="auto"/>
          </w:tcPr>
          <w:p w14:paraId="0CE0813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7,80 €</w:t>
            </w:r>
          </w:p>
        </w:tc>
        <w:tc>
          <w:tcPr>
            <w:tcW w:w="1134" w:type="dxa"/>
            <w:tcBorders>
              <w:top w:val="nil"/>
              <w:left w:val="nil"/>
              <w:bottom w:val="single" w:sz="8" w:space="0" w:color="2E74B5"/>
              <w:right w:val="single" w:sz="8" w:space="0" w:color="2E74B5"/>
            </w:tcBorders>
            <w:shd w:val="clear" w:color="auto" w:fill="auto"/>
          </w:tcPr>
          <w:p w14:paraId="1BCAE95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7.488 €</w:t>
            </w:r>
          </w:p>
        </w:tc>
        <w:tc>
          <w:tcPr>
            <w:tcW w:w="1559" w:type="dxa"/>
            <w:tcBorders>
              <w:top w:val="nil"/>
              <w:left w:val="nil"/>
              <w:bottom w:val="single" w:sz="8" w:space="0" w:color="2E74B5"/>
              <w:right w:val="single" w:sz="8" w:space="0" w:color="2E74B5"/>
            </w:tcBorders>
            <w:shd w:val="clear" w:color="auto" w:fill="auto"/>
          </w:tcPr>
          <w:p w14:paraId="526567F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1.873 €</w:t>
            </w:r>
          </w:p>
        </w:tc>
        <w:tc>
          <w:tcPr>
            <w:tcW w:w="1134" w:type="dxa"/>
            <w:tcBorders>
              <w:top w:val="nil"/>
              <w:left w:val="nil"/>
              <w:bottom w:val="single" w:sz="8" w:space="0" w:color="2E74B5"/>
              <w:right w:val="single" w:sz="8" w:space="0" w:color="2E74B5"/>
            </w:tcBorders>
            <w:shd w:val="clear" w:color="auto" w:fill="auto"/>
          </w:tcPr>
          <w:p w14:paraId="175280F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22.471 €</w:t>
            </w:r>
          </w:p>
        </w:tc>
        <w:tc>
          <w:tcPr>
            <w:tcW w:w="1264" w:type="dxa"/>
            <w:tcBorders>
              <w:top w:val="nil"/>
              <w:left w:val="nil"/>
              <w:bottom w:val="single" w:sz="8" w:space="0" w:color="2E74B5"/>
              <w:right w:val="single" w:sz="8" w:space="0" w:color="2E74B5"/>
            </w:tcBorders>
            <w:shd w:val="clear" w:color="auto" w:fill="auto"/>
          </w:tcPr>
          <w:p w14:paraId="532B595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368" w:type="dxa"/>
            <w:tcBorders>
              <w:top w:val="nil"/>
              <w:left w:val="nil"/>
              <w:bottom w:val="single" w:sz="8" w:space="0" w:color="2E74B5"/>
              <w:right w:val="single" w:sz="8" w:space="0" w:color="2E74B5"/>
            </w:tcBorders>
            <w:shd w:val="clear" w:color="auto" w:fill="auto"/>
          </w:tcPr>
          <w:p w14:paraId="410EC92D"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33%</w:t>
            </w:r>
          </w:p>
        </w:tc>
      </w:tr>
      <w:tr w:rsidR="00F5315C" w14:paraId="1E757682"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500DC8BF"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Castilla-La Mancha</w:t>
            </w:r>
          </w:p>
        </w:tc>
        <w:tc>
          <w:tcPr>
            <w:tcW w:w="1134" w:type="dxa"/>
            <w:tcBorders>
              <w:top w:val="nil"/>
              <w:left w:val="nil"/>
              <w:bottom w:val="single" w:sz="8" w:space="0" w:color="2E74B5"/>
              <w:right w:val="single" w:sz="8" w:space="0" w:color="2E74B5"/>
            </w:tcBorders>
            <w:shd w:val="clear" w:color="auto" w:fill="auto"/>
          </w:tcPr>
          <w:p w14:paraId="3BDB28B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5,91 €</w:t>
            </w:r>
          </w:p>
        </w:tc>
        <w:tc>
          <w:tcPr>
            <w:tcW w:w="1134" w:type="dxa"/>
            <w:tcBorders>
              <w:top w:val="nil"/>
              <w:left w:val="nil"/>
              <w:bottom w:val="single" w:sz="8" w:space="0" w:color="2E74B5"/>
              <w:right w:val="single" w:sz="8" w:space="0" w:color="2E74B5"/>
            </w:tcBorders>
            <w:shd w:val="clear" w:color="auto" w:fill="auto"/>
          </w:tcPr>
          <w:p w14:paraId="61B5F2C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5.674 €</w:t>
            </w:r>
          </w:p>
        </w:tc>
        <w:tc>
          <w:tcPr>
            <w:tcW w:w="1559" w:type="dxa"/>
            <w:tcBorders>
              <w:top w:val="nil"/>
              <w:left w:val="nil"/>
              <w:bottom w:val="single" w:sz="8" w:space="0" w:color="2E74B5"/>
              <w:right w:val="single" w:sz="8" w:space="0" w:color="2E74B5"/>
            </w:tcBorders>
            <w:shd w:val="clear" w:color="auto" w:fill="auto"/>
          </w:tcPr>
          <w:p w14:paraId="1C30D27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1.954 €</w:t>
            </w:r>
          </w:p>
        </w:tc>
        <w:tc>
          <w:tcPr>
            <w:tcW w:w="1134" w:type="dxa"/>
            <w:tcBorders>
              <w:top w:val="nil"/>
              <w:left w:val="nil"/>
              <w:bottom w:val="single" w:sz="8" w:space="0" w:color="2E74B5"/>
              <w:right w:val="single" w:sz="8" w:space="0" w:color="2E74B5"/>
            </w:tcBorders>
            <w:shd w:val="clear" w:color="auto" w:fill="auto"/>
          </w:tcPr>
          <w:p w14:paraId="1807860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23.443 €</w:t>
            </w:r>
          </w:p>
        </w:tc>
        <w:tc>
          <w:tcPr>
            <w:tcW w:w="1264" w:type="dxa"/>
            <w:tcBorders>
              <w:top w:val="nil"/>
              <w:left w:val="nil"/>
              <w:bottom w:val="single" w:sz="8" w:space="0" w:color="2E74B5"/>
              <w:right w:val="single" w:sz="8" w:space="0" w:color="2E74B5"/>
            </w:tcBorders>
            <w:shd w:val="clear" w:color="auto" w:fill="auto"/>
          </w:tcPr>
          <w:p w14:paraId="73ACE5F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w:t>
            </w:r>
          </w:p>
        </w:tc>
        <w:tc>
          <w:tcPr>
            <w:tcW w:w="1368" w:type="dxa"/>
            <w:tcBorders>
              <w:top w:val="nil"/>
              <w:left w:val="nil"/>
              <w:bottom w:val="single" w:sz="8" w:space="0" w:color="2E74B5"/>
              <w:right w:val="single" w:sz="8" w:space="0" w:color="2E74B5"/>
            </w:tcBorders>
            <w:shd w:val="clear" w:color="auto" w:fill="auto"/>
          </w:tcPr>
          <w:p w14:paraId="4AFE7258"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24%</w:t>
            </w:r>
          </w:p>
        </w:tc>
      </w:tr>
      <w:tr w:rsidR="00F5315C" w14:paraId="4D33661D"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B501938"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Cataluña</w:t>
            </w:r>
          </w:p>
        </w:tc>
        <w:tc>
          <w:tcPr>
            <w:tcW w:w="1134" w:type="dxa"/>
            <w:tcBorders>
              <w:top w:val="nil"/>
              <w:left w:val="nil"/>
              <w:bottom w:val="single" w:sz="8" w:space="0" w:color="2E74B5"/>
              <w:right w:val="single" w:sz="8" w:space="0" w:color="2E74B5"/>
            </w:tcBorders>
            <w:shd w:val="clear" w:color="auto" w:fill="auto"/>
          </w:tcPr>
          <w:p w14:paraId="6AE4317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14,92 €</w:t>
            </w:r>
          </w:p>
        </w:tc>
        <w:tc>
          <w:tcPr>
            <w:tcW w:w="1134" w:type="dxa"/>
            <w:tcBorders>
              <w:top w:val="nil"/>
              <w:left w:val="nil"/>
              <w:bottom w:val="single" w:sz="8" w:space="0" w:color="2E74B5"/>
              <w:right w:val="single" w:sz="8" w:space="0" w:color="2E74B5"/>
            </w:tcBorders>
            <w:shd w:val="clear" w:color="auto" w:fill="auto"/>
          </w:tcPr>
          <w:p w14:paraId="4F4A7DF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14.323 €</w:t>
            </w:r>
          </w:p>
        </w:tc>
        <w:tc>
          <w:tcPr>
            <w:tcW w:w="1559" w:type="dxa"/>
            <w:tcBorders>
              <w:top w:val="nil"/>
              <w:left w:val="nil"/>
              <w:bottom w:val="single" w:sz="8" w:space="0" w:color="2E74B5"/>
              <w:right w:val="single" w:sz="8" w:space="0" w:color="2E74B5"/>
            </w:tcBorders>
            <w:shd w:val="clear" w:color="auto" w:fill="auto"/>
          </w:tcPr>
          <w:p w14:paraId="77CE6CF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2.049 €</w:t>
            </w:r>
          </w:p>
        </w:tc>
        <w:tc>
          <w:tcPr>
            <w:tcW w:w="1134" w:type="dxa"/>
            <w:tcBorders>
              <w:top w:val="nil"/>
              <w:left w:val="nil"/>
              <w:bottom w:val="single" w:sz="8" w:space="0" w:color="2E74B5"/>
              <w:right w:val="single" w:sz="8" w:space="0" w:color="2E74B5"/>
            </w:tcBorders>
            <w:shd w:val="clear" w:color="auto" w:fill="auto"/>
          </w:tcPr>
          <w:p w14:paraId="4537984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24.590 €</w:t>
            </w:r>
          </w:p>
        </w:tc>
        <w:tc>
          <w:tcPr>
            <w:tcW w:w="1264" w:type="dxa"/>
            <w:tcBorders>
              <w:top w:val="nil"/>
              <w:left w:val="nil"/>
              <w:bottom w:val="single" w:sz="8" w:space="0" w:color="2E74B5"/>
              <w:right w:val="single" w:sz="8" w:space="0" w:color="2E74B5"/>
            </w:tcBorders>
            <w:shd w:val="clear" w:color="auto" w:fill="auto"/>
          </w:tcPr>
          <w:p w14:paraId="00D98D2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54%</w:t>
            </w:r>
          </w:p>
        </w:tc>
        <w:tc>
          <w:tcPr>
            <w:tcW w:w="1368" w:type="dxa"/>
            <w:tcBorders>
              <w:top w:val="nil"/>
              <w:left w:val="nil"/>
              <w:bottom w:val="single" w:sz="8" w:space="0" w:color="2E74B5"/>
              <w:right w:val="single" w:sz="8" w:space="0" w:color="2E74B5"/>
            </w:tcBorders>
            <w:shd w:val="clear" w:color="auto" w:fill="auto"/>
          </w:tcPr>
          <w:p w14:paraId="35099F5C"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58%</w:t>
            </w:r>
          </w:p>
        </w:tc>
      </w:tr>
      <w:tr w:rsidR="00F5315C" w14:paraId="45DA0AA0" w14:textId="77777777">
        <w:trPr>
          <w:trHeight w:val="269"/>
        </w:trPr>
        <w:tc>
          <w:tcPr>
            <w:tcW w:w="1844" w:type="dxa"/>
            <w:tcBorders>
              <w:top w:val="nil"/>
              <w:left w:val="single" w:sz="8" w:space="0" w:color="2E74B5"/>
              <w:bottom w:val="single" w:sz="8" w:space="0" w:color="2E74B5"/>
              <w:right w:val="single" w:sz="8" w:space="0" w:color="2E74B5"/>
            </w:tcBorders>
            <w:shd w:val="clear" w:color="auto" w:fill="9CC2E5"/>
          </w:tcPr>
          <w:p w14:paraId="47E135C6"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Comunitat Valenciana</w:t>
            </w:r>
          </w:p>
        </w:tc>
        <w:tc>
          <w:tcPr>
            <w:tcW w:w="1134" w:type="dxa"/>
            <w:tcBorders>
              <w:top w:val="nil"/>
              <w:left w:val="nil"/>
              <w:bottom w:val="single" w:sz="8" w:space="0" w:color="2E74B5"/>
              <w:right w:val="single" w:sz="8" w:space="0" w:color="2E74B5"/>
            </w:tcBorders>
            <w:shd w:val="clear" w:color="auto" w:fill="auto"/>
          </w:tcPr>
          <w:p w14:paraId="25D8B6D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10,12 €</w:t>
            </w:r>
          </w:p>
        </w:tc>
        <w:tc>
          <w:tcPr>
            <w:tcW w:w="1134" w:type="dxa"/>
            <w:tcBorders>
              <w:top w:val="nil"/>
              <w:left w:val="nil"/>
              <w:bottom w:val="single" w:sz="8" w:space="0" w:color="2E74B5"/>
              <w:right w:val="single" w:sz="8" w:space="0" w:color="2E74B5"/>
            </w:tcBorders>
            <w:shd w:val="clear" w:color="auto" w:fill="auto"/>
          </w:tcPr>
          <w:p w14:paraId="05EA00C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9.715 €</w:t>
            </w:r>
          </w:p>
        </w:tc>
        <w:tc>
          <w:tcPr>
            <w:tcW w:w="1559" w:type="dxa"/>
            <w:tcBorders>
              <w:top w:val="nil"/>
              <w:left w:val="nil"/>
              <w:bottom w:val="single" w:sz="8" w:space="0" w:color="2E74B5"/>
              <w:right w:val="single" w:sz="8" w:space="0" w:color="2E74B5"/>
            </w:tcBorders>
            <w:shd w:val="clear" w:color="auto" w:fill="auto"/>
          </w:tcPr>
          <w:p w14:paraId="7D2CF3D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1.916 €</w:t>
            </w:r>
          </w:p>
        </w:tc>
        <w:tc>
          <w:tcPr>
            <w:tcW w:w="1134" w:type="dxa"/>
            <w:tcBorders>
              <w:top w:val="nil"/>
              <w:left w:val="nil"/>
              <w:bottom w:val="single" w:sz="8" w:space="0" w:color="2E74B5"/>
              <w:right w:val="single" w:sz="8" w:space="0" w:color="2E74B5"/>
            </w:tcBorders>
            <w:shd w:val="clear" w:color="auto" w:fill="auto"/>
          </w:tcPr>
          <w:p w14:paraId="40934A4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22.991 €</w:t>
            </w:r>
          </w:p>
        </w:tc>
        <w:tc>
          <w:tcPr>
            <w:tcW w:w="1264" w:type="dxa"/>
            <w:tcBorders>
              <w:top w:val="nil"/>
              <w:left w:val="nil"/>
              <w:bottom w:val="single" w:sz="8" w:space="0" w:color="2E74B5"/>
              <w:right w:val="single" w:sz="8" w:space="0" w:color="2E74B5"/>
            </w:tcBorders>
            <w:shd w:val="clear" w:color="auto" w:fill="auto"/>
          </w:tcPr>
          <w:p w14:paraId="6D94A70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36%</w:t>
            </w:r>
          </w:p>
        </w:tc>
        <w:tc>
          <w:tcPr>
            <w:tcW w:w="1368" w:type="dxa"/>
            <w:tcBorders>
              <w:top w:val="nil"/>
              <w:left w:val="nil"/>
              <w:bottom w:val="single" w:sz="8" w:space="0" w:color="2E74B5"/>
              <w:right w:val="single" w:sz="8" w:space="0" w:color="2E74B5"/>
            </w:tcBorders>
            <w:shd w:val="clear" w:color="auto" w:fill="auto"/>
          </w:tcPr>
          <w:p w14:paraId="7AD7DA2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42%</w:t>
            </w:r>
          </w:p>
        </w:tc>
      </w:tr>
      <w:tr w:rsidR="00F5315C" w14:paraId="4AB57DB5"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58D675F6"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Extremadura</w:t>
            </w:r>
          </w:p>
        </w:tc>
        <w:tc>
          <w:tcPr>
            <w:tcW w:w="1134" w:type="dxa"/>
            <w:tcBorders>
              <w:top w:val="nil"/>
              <w:left w:val="nil"/>
              <w:bottom w:val="single" w:sz="8" w:space="0" w:color="2E74B5"/>
              <w:right w:val="single" w:sz="8" w:space="0" w:color="2E74B5"/>
            </w:tcBorders>
            <w:shd w:val="clear" w:color="auto" w:fill="auto"/>
          </w:tcPr>
          <w:p w14:paraId="3678566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6,04 €</w:t>
            </w:r>
          </w:p>
        </w:tc>
        <w:tc>
          <w:tcPr>
            <w:tcW w:w="1134" w:type="dxa"/>
            <w:tcBorders>
              <w:top w:val="nil"/>
              <w:left w:val="nil"/>
              <w:bottom w:val="single" w:sz="8" w:space="0" w:color="2E74B5"/>
              <w:right w:val="single" w:sz="8" w:space="0" w:color="2E74B5"/>
            </w:tcBorders>
            <w:shd w:val="clear" w:color="auto" w:fill="auto"/>
          </w:tcPr>
          <w:p w14:paraId="419786C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5.798 €</w:t>
            </w:r>
          </w:p>
        </w:tc>
        <w:tc>
          <w:tcPr>
            <w:tcW w:w="1559" w:type="dxa"/>
            <w:tcBorders>
              <w:top w:val="nil"/>
              <w:left w:val="nil"/>
              <w:bottom w:val="single" w:sz="8" w:space="0" w:color="2E74B5"/>
              <w:right w:val="single" w:sz="8" w:space="0" w:color="2E74B5"/>
            </w:tcBorders>
            <w:shd w:val="clear" w:color="auto" w:fill="auto"/>
          </w:tcPr>
          <w:p w14:paraId="6D1B816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1.908 €</w:t>
            </w:r>
          </w:p>
        </w:tc>
        <w:tc>
          <w:tcPr>
            <w:tcW w:w="1134" w:type="dxa"/>
            <w:tcBorders>
              <w:top w:val="nil"/>
              <w:left w:val="nil"/>
              <w:bottom w:val="single" w:sz="8" w:space="0" w:color="2E74B5"/>
              <w:right w:val="single" w:sz="8" w:space="0" w:color="2E74B5"/>
            </w:tcBorders>
            <w:shd w:val="clear" w:color="auto" w:fill="auto"/>
          </w:tcPr>
          <w:p w14:paraId="5340FE5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22.891 €</w:t>
            </w:r>
          </w:p>
        </w:tc>
        <w:tc>
          <w:tcPr>
            <w:tcW w:w="1264" w:type="dxa"/>
            <w:tcBorders>
              <w:top w:val="nil"/>
              <w:left w:val="nil"/>
              <w:bottom w:val="single" w:sz="8" w:space="0" w:color="2E74B5"/>
              <w:right w:val="single" w:sz="8" w:space="0" w:color="2E74B5"/>
            </w:tcBorders>
            <w:shd w:val="clear" w:color="auto" w:fill="auto"/>
          </w:tcPr>
          <w:p w14:paraId="7F6A8EB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w:t>
            </w:r>
          </w:p>
        </w:tc>
        <w:tc>
          <w:tcPr>
            <w:tcW w:w="1368" w:type="dxa"/>
            <w:tcBorders>
              <w:top w:val="nil"/>
              <w:left w:val="nil"/>
              <w:bottom w:val="single" w:sz="8" w:space="0" w:color="2E74B5"/>
              <w:right w:val="single" w:sz="8" w:space="0" w:color="2E74B5"/>
            </w:tcBorders>
            <w:shd w:val="clear" w:color="auto" w:fill="auto"/>
          </w:tcPr>
          <w:p w14:paraId="35F31D3D"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25%</w:t>
            </w:r>
          </w:p>
        </w:tc>
      </w:tr>
      <w:tr w:rsidR="00F5315C" w14:paraId="361D5C7F"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2FA46CB6"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134" w:type="dxa"/>
            <w:tcBorders>
              <w:top w:val="nil"/>
              <w:left w:val="nil"/>
              <w:bottom w:val="single" w:sz="8" w:space="0" w:color="2E74B5"/>
              <w:right w:val="single" w:sz="8" w:space="0" w:color="2E74B5"/>
            </w:tcBorders>
            <w:shd w:val="clear" w:color="auto" w:fill="auto"/>
          </w:tcPr>
          <w:p w14:paraId="51EB416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7,96 €</w:t>
            </w:r>
          </w:p>
        </w:tc>
        <w:tc>
          <w:tcPr>
            <w:tcW w:w="1134" w:type="dxa"/>
            <w:tcBorders>
              <w:top w:val="nil"/>
              <w:left w:val="nil"/>
              <w:bottom w:val="single" w:sz="8" w:space="0" w:color="2E74B5"/>
              <w:right w:val="single" w:sz="8" w:space="0" w:color="2E74B5"/>
            </w:tcBorders>
            <w:shd w:val="clear" w:color="auto" w:fill="auto"/>
          </w:tcPr>
          <w:p w14:paraId="493A057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7.642 €</w:t>
            </w:r>
          </w:p>
        </w:tc>
        <w:tc>
          <w:tcPr>
            <w:tcW w:w="1559" w:type="dxa"/>
            <w:tcBorders>
              <w:top w:val="nil"/>
              <w:left w:val="nil"/>
              <w:bottom w:val="single" w:sz="8" w:space="0" w:color="2E74B5"/>
              <w:right w:val="single" w:sz="8" w:space="0" w:color="2E74B5"/>
            </w:tcBorders>
            <w:shd w:val="clear" w:color="auto" w:fill="auto"/>
          </w:tcPr>
          <w:p w14:paraId="51F033F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1.841 €</w:t>
            </w:r>
          </w:p>
        </w:tc>
        <w:tc>
          <w:tcPr>
            <w:tcW w:w="1134" w:type="dxa"/>
            <w:tcBorders>
              <w:top w:val="nil"/>
              <w:left w:val="nil"/>
              <w:bottom w:val="single" w:sz="8" w:space="0" w:color="2E74B5"/>
              <w:right w:val="single" w:sz="8" w:space="0" w:color="2E74B5"/>
            </w:tcBorders>
            <w:shd w:val="clear" w:color="auto" w:fill="auto"/>
          </w:tcPr>
          <w:p w14:paraId="0705879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22.087 €</w:t>
            </w:r>
          </w:p>
        </w:tc>
        <w:tc>
          <w:tcPr>
            <w:tcW w:w="1264" w:type="dxa"/>
            <w:tcBorders>
              <w:top w:val="nil"/>
              <w:left w:val="nil"/>
              <w:bottom w:val="single" w:sz="8" w:space="0" w:color="2E74B5"/>
              <w:right w:val="single" w:sz="8" w:space="0" w:color="2E74B5"/>
            </w:tcBorders>
            <w:shd w:val="clear" w:color="auto" w:fill="auto"/>
          </w:tcPr>
          <w:p w14:paraId="7A30241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368" w:type="dxa"/>
            <w:tcBorders>
              <w:top w:val="nil"/>
              <w:left w:val="nil"/>
              <w:bottom w:val="single" w:sz="8" w:space="0" w:color="2E74B5"/>
              <w:right w:val="single" w:sz="8" w:space="0" w:color="2E74B5"/>
            </w:tcBorders>
            <w:shd w:val="clear" w:color="auto" w:fill="auto"/>
          </w:tcPr>
          <w:p w14:paraId="23E57DF1"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35%</w:t>
            </w:r>
          </w:p>
        </w:tc>
      </w:tr>
      <w:tr w:rsidR="00F5315C" w14:paraId="6BBE15D3"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F7234BA"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La Rioja</w:t>
            </w:r>
          </w:p>
        </w:tc>
        <w:tc>
          <w:tcPr>
            <w:tcW w:w="1134" w:type="dxa"/>
            <w:tcBorders>
              <w:top w:val="nil"/>
              <w:left w:val="nil"/>
              <w:bottom w:val="single" w:sz="8" w:space="0" w:color="2E74B5"/>
              <w:right w:val="single" w:sz="8" w:space="0" w:color="2E74B5"/>
            </w:tcBorders>
            <w:shd w:val="clear" w:color="auto" w:fill="auto"/>
          </w:tcPr>
          <w:p w14:paraId="7B5D8D1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7,88 €</w:t>
            </w:r>
          </w:p>
        </w:tc>
        <w:tc>
          <w:tcPr>
            <w:tcW w:w="1134" w:type="dxa"/>
            <w:tcBorders>
              <w:top w:val="nil"/>
              <w:left w:val="nil"/>
              <w:bottom w:val="single" w:sz="8" w:space="0" w:color="2E74B5"/>
              <w:right w:val="single" w:sz="8" w:space="0" w:color="2E74B5"/>
            </w:tcBorders>
            <w:shd w:val="clear" w:color="auto" w:fill="auto"/>
          </w:tcPr>
          <w:p w14:paraId="4EF9F30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7.565 €</w:t>
            </w:r>
          </w:p>
        </w:tc>
        <w:tc>
          <w:tcPr>
            <w:tcW w:w="1559" w:type="dxa"/>
            <w:tcBorders>
              <w:top w:val="nil"/>
              <w:left w:val="nil"/>
              <w:bottom w:val="single" w:sz="8" w:space="0" w:color="2E74B5"/>
              <w:right w:val="single" w:sz="8" w:space="0" w:color="2E74B5"/>
            </w:tcBorders>
            <w:shd w:val="clear" w:color="auto" w:fill="auto"/>
          </w:tcPr>
          <w:p w14:paraId="65EC7D2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1.897 €</w:t>
            </w:r>
          </w:p>
        </w:tc>
        <w:tc>
          <w:tcPr>
            <w:tcW w:w="1134" w:type="dxa"/>
            <w:tcBorders>
              <w:top w:val="nil"/>
              <w:left w:val="nil"/>
              <w:bottom w:val="single" w:sz="8" w:space="0" w:color="2E74B5"/>
              <w:right w:val="single" w:sz="8" w:space="0" w:color="2E74B5"/>
            </w:tcBorders>
            <w:shd w:val="clear" w:color="auto" w:fill="auto"/>
          </w:tcPr>
          <w:p w14:paraId="3C8A0A7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22.764 €</w:t>
            </w:r>
          </w:p>
        </w:tc>
        <w:tc>
          <w:tcPr>
            <w:tcW w:w="1264" w:type="dxa"/>
            <w:tcBorders>
              <w:top w:val="nil"/>
              <w:left w:val="nil"/>
              <w:bottom w:val="single" w:sz="8" w:space="0" w:color="2E74B5"/>
              <w:right w:val="single" w:sz="8" w:space="0" w:color="2E74B5"/>
            </w:tcBorders>
            <w:shd w:val="clear" w:color="auto" w:fill="auto"/>
          </w:tcPr>
          <w:p w14:paraId="16BFA9F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368" w:type="dxa"/>
            <w:tcBorders>
              <w:top w:val="nil"/>
              <w:left w:val="nil"/>
              <w:bottom w:val="single" w:sz="8" w:space="0" w:color="2E74B5"/>
              <w:right w:val="single" w:sz="8" w:space="0" w:color="2E74B5"/>
            </w:tcBorders>
            <w:shd w:val="clear" w:color="auto" w:fill="auto"/>
          </w:tcPr>
          <w:p w14:paraId="51E8D19B"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33%</w:t>
            </w:r>
          </w:p>
        </w:tc>
      </w:tr>
      <w:tr w:rsidR="00F5315C" w14:paraId="046F10BE"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76583CC8"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lastRenderedPageBreak/>
              <w:t>Madrid</w:t>
            </w:r>
          </w:p>
        </w:tc>
        <w:tc>
          <w:tcPr>
            <w:tcW w:w="1134" w:type="dxa"/>
            <w:tcBorders>
              <w:top w:val="nil"/>
              <w:left w:val="nil"/>
              <w:bottom w:val="single" w:sz="8" w:space="0" w:color="2E74B5"/>
              <w:right w:val="single" w:sz="8" w:space="0" w:color="2E74B5"/>
            </w:tcBorders>
            <w:shd w:val="clear" w:color="auto" w:fill="auto"/>
          </w:tcPr>
          <w:p w14:paraId="3220ABA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15,42 €</w:t>
            </w:r>
          </w:p>
        </w:tc>
        <w:tc>
          <w:tcPr>
            <w:tcW w:w="1134" w:type="dxa"/>
            <w:tcBorders>
              <w:top w:val="nil"/>
              <w:left w:val="nil"/>
              <w:bottom w:val="single" w:sz="8" w:space="0" w:color="2E74B5"/>
              <w:right w:val="single" w:sz="8" w:space="0" w:color="2E74B5"/>
            </w:tcBorders>
            <w:shd w:val="clear" w:color="auto" w:fill="auto"/>
          </w:tcPr>
          <w:p w14:paraId="2A67292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14.803 €</w:t>
            </w:r>
          </w:p>
        </w:tc>
        <w:tc>
          <w:tcPr>
            <w:tcW w:w="1559" w:type="dxa"/>
            <w:tcBorders>
              <w:top w:val="nil"/>
              <w:left w:val="nil"/>
              <w:bottom w:val="single" w:sz="8" w:space="0" w:color="2E74B5"/>
              <w:right w:val="single" w:sz="8" w:space="0" w:color="2E74B5"/>
            </w:tcBorders>
            <w:shd w:val="clear" w:color="auto" w:fill="auto"/>
          </w:tcPr>
          <w:p w14:paraId="52A16E3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2.174 €</w:t>
            </w:r>
          </w:p>
        </w:tc>
        <w:tc>
          <w:tcPr>
            <w:tcW w:w="1134" w:type="dxa"/>
            <w:tcBorders>
              <w:top w:val="nil"/>
              <w:left w:val="nil"/>
              <w:bottom w:val="single" w:sz="8" w:space="0" w:color="2E74B5"/>
              <w:right w:val="single" w:sz="8" w:space="0" w:color="2E74B5"/>
            </w:tcBorders>
            <w:shd w:val="clear" w:color="auto" w:fill="auto"/>
          </w:tcPr>
          <w:p w14:paraId="160E19A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26.084 €</w:t>
            </w:r>
          </w:p>
        </w:tc>
        <w:tc>
          <w:tcPr>
            <w:tcW w:w="1264" w:type="dxa"/>
            <w:tcBorders>
              <w:top w:val="nil"/>
              <w:left w:val="nil"/>
              <w:bottom w:val="single" w:sz="8" w:space="0" w:color="2E74B5"/>
              <w:right w:val="single" w:sz="8" w:space="0" w:color="2E74B5"/>
            </w:tcBorders>
            <w:shd w:val="clear" w:color="auto" w:fill="auto"/>
          </w:tcPr>
          <w:p w14:paraId="35FB2E8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49%</w:t>
            </w:r>
          </w:p>
        </w:tc>
        <w:tc>
          <w:tcPr>
            <w:tcW w:w="1368" w:type="dxa"/>
            <w:tcBorders>
              <w:top w:val="nil"/>
              <w:left w:val="nil"/>
              <w:bottom w:val="single" w:sz="8" w:space="0" w:color="2E74B5"/>
              <w:right w:val="single" w:sz="8" w:space="0" w:color="2E74B5"/>
            </w:tcBorders>
            <w:shd w:val="clear" w:color="auto" w:fill="auto"/>
          </w:tcPr>
          <w:p w14:paraId="0034CB7C"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57%</w:t>
            </w:r>
          </w:p>
        </w:tc>
      </w:tr>
      <w:tr w:rsidR="00F5315C" w14:paraId="1C423700"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33E20172"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Navarra</w:t>
            </w:r>
          </w:p>
        </w:tc>
        <w:tc>
          <w:tcPr>
            <w:tcW w:w="1134" w:type="dxa"/>
            <w:tcBorders>
              <w:top w:val="nil"/>
              <w:left w:val="nil"/>
              <w:bottom w:val="single" w:sz="8" w:space="0" w:color="2E74B5"/>
              <w:right w:val="single" w:sz="8" w:space="0" w:color="2E74B5"/>
            </w:tcBorders>
            <w:shd w:val="clear" w:color="auto" w:fill="auto"/>
          </w:tcPr>
          <w:p w14:paraId="005E520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10,39 €</w:t>
            </w:r>
          </w:p>
        </w:tc>
        <w:tc>
          <w:tcPr>
            <w:tcW w:w="1134" w:type="dxa"/>
            <w:tcBorders>
              <w:top w:val="nil"/>
              <w:left w:val="nil"/>
              <w:bottom w:val="single" w:sz="8" w:space="0" w:color="2E74B5"/>
              <w:right w:val="single" w:sz="8" w:space="0" w:color="2E74B5"/>
            </w:tcBorders>
            <w:shd w:val="clear" w:color="auto" w:fill="auto"/>
          </w:tcPr>
          <w:p w14:paraId="3D7CF75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9.974 €</w:t>
            </w:r>
          </w:p>
        </w:tc>
        <w:tc>
          <w:tcPr>
            <w:tcW w:w="1559" w:type="dxa"/>
            <w:tcBorders>
              <w:top w:val="nil"/>
              <w:left w:val="nil"/>
              <w:bottom w:val="single" w:sz="8" w:space="0" w:color="2E74B5"/>
              <w:right w:val="single" w:sz="8" w:space="0" w:color="2E74B5"/>
            </w:tcBorders>
            <w:shd w:val="clear" w:color="auto" w:fill="auto"/>
          </w:tcPr>
          <w:p w14:paraId="7E29E0A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2.088 €</w:t>
            </w:r>
          </w:p>
        </w:tc>
        <w:tc>
          <w:tcPr>
            <w:tcW w:w="1134" w:type="dxa"/>
            <w:tcBorders>
              <w:top w:val="nil"/>
              <w:left w:val="nil"/>
              <w:bottom w:val="single" w:sz="8" w:space="0" w:color="2E74B5"/>
              <w:right w:val="single" w:sz="8" w:space="0" w:color="2E74B5"/>
            </w:tcBorders>
            <w:shd w:val="clear" w:color="auto" w:fill="auto"/>
          </w:tcPr>
          <w:p w14:paraId="279BF92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25.060 €</w:t>
            </w:r>
          </w:p>
        </w:tc>
        <w:tc>
          <w:tcPr>
            <w:tcW w:w="1264" w:type="dxa"/>
            <w:tcBorders>
              <w:top w:val="nil"/>
              <w:left w:val="nil"/>
              <w:bottom w:val="single" w:sz="8" w:space="0" w:color="2E74B5"/>
              <w:right w:val="single" w:sz="8" w:space="0" w:color="2E74B5"/>
            </w:tcBorders>
            <w:shd w:val="clear" w:color="auto" w:fill="auto"/>
          </w:tcPr>
          <w:p w14:paraId="25B3081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38%</w:t>
            </w:r>
          </w:p>
        </w:tc>
        <w:tc>
          <w:tcPr>
            <w:tcW w:w="1368" w:type="dxa"/>
            <w:tcBorders>
              <w:top w:val="nil"/>
              <w:left w:val="nil"/>
              <w:bottom w:val="single" w:sz="8" w:space="0" w:color="2E74B5"/>
              <w:right w:val="single" w:sz="8" w:space="0" w:color="2E74B5"/>
            </w:tcBorders>
            <w:shd w:val="clear" w:color="auto" w:fill="auto"/>
          </w:tcPr>
          <w:p w14:paraId="604A44E7"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40%</w:t>
            </w:r>
          </w:p>
        </w:tc>
      </w:tr>
      <w:tr w:rsidR="00F5315C" w14:paraId="10B64DD9"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3344AFC0" w14:textId="77777777" w:rsidR="00F5315C" w:rsidRDefault="00000000">
            <w:pPr>
              <w:jc w:val="both"/>
              <w:rPr>
                <w:rFonts w:ascii="Open Sans" w:eastAsia="Open Sans" w:hAnsi="Open Sans" w:cs="Open Sans"/>
                <w:color w:val="000000"/>
                <w:sz w:val="20"/>
                <w:szCs w:val="20"/>
              </w:rPr>
            </w:pPr>
            <w:r>
              <w:rPr>
                <w:rFonts w:ascii="Open Sans" w:eastAsia="Open Sans" w:hAnsi="Open Sans" w:cs="Open Sans"/>
                <w:sz w:val="20"/>
                <w:szCs w:val="20"/>
              </w:rPr>
              <w:t>País Vasco</w:t>
            </w:r>
          </w:p>
        </w:tc>
        <w:tc>
          <w:tcPr>
            <w:tcW w:w="1134" w:type="dxa"/>
            <w:tcBorders>
              <w:top w:val="nil"/>
              <w:left w:val="nil"/>
              <w:bottom w:val="single" w:sz="8" w:space="0" w:color="2E74B5"/>
              <w:right w:val="single" w:sz="8" w:space="0" w:color="2E74B5"/>
            </w:tcBorders>
            <w:shd w:val="clear" w:color="auto" w:fill="auto"/>
          </w:tcPr>
          <w:p w14:paraId="6D172DC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13,80 €</w:t>
            </w:r>
          </w:p>
        </w:tc>
        <w:tc>
          <w:tcPr>
            <w:tcW w:w="1134" w:type="dxa"/>
            <w:tcBorders>
              <w:top w:val="nil"/>
              <w:left w:val="nil"/>
              <w:bottom w:val="single" w:sz="8" w:space="0" w:color="2E74B5"/>
              <w:right w:val="single" w:sz="8" w:space="0" w:color="2E74B5"/>
            </w:tcBorders>
            <w:shd w:val="clear" w:color="auto" w:fill="auto"/>
          </w:tcPr>
          <w:p w14:paraId="2D44A4C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13.248 €</w:t>
            </w:r>
          </w:p>
        </w:tc>
        <w:tc>
          <w:tcPr>
            <w:tcW w:w="1559" w:type="dxa"/>
            <w:tcBorders>
              <w:top w:val="nil"/>
              <w:left w:val="nil"/>
              <w:bottom w:val="single" w:sz="8" w:space="0" w:color="2E74B5"/>
              <w:right w:val="single" w:sz="8" w:space="0" w:color="2E74B5"/>
            </w:tcBorders>
            <w:shd w:val="clear" w:color="auto" w:fill="auto"/>
          </w:tcPr>
          <w:p w14:paraId="3D73479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2.120 €</w:t>
            </w:r>
          </w:p>
        </w:tc>
        <w:tc>
          <w:tcPr>
            <w:tcW w:w="1134" w:type="dxa"/>
            <w:tcBorders>
              <w:top w:val="nil"/>
              <w:left w:val="nil"/>
              <w:bottom w:val="single" w:sz="8" w:space="0" w:color="2E74B5"/>
              <w:right w:val="single" w:sz="8" w:space="0" w:color="2E74B5"/>
            </w:tcBorders>
            <w:shd w:val="clear" w:color="auto" w:fill="auto"/>
          </w:tcPr>
          <w:p w14:paraId="0A8DE35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25.442 €</w:t>
            </w:r>
          </w:p>
        </w:tc>
        <w:tc>
          <w:tcPr>
            <w:tcW w:w="1264" w:type="dxa"/>
            <w:tcBorders>
              <w:top w:val="nil"/>
              <w:left w:val="nil"/>
              <w:bottom w:val="single" w:sz="8" w:space="0" w:color="2E74B5"/>
              <w:right w:val="single" w:sz="8" w:space="0" w:color="2E74B5"/>
            </w:tcBorders>
            <w:shd w:val="clear" w:color="auto" w:fill="auto"/>
          </w:tcPr>
          <w:p w14:paraId="005659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50%</w:t>
            </w:r>
          </w:p>
        </w:tc>
        <w:tc>
          <w:tcPr>
            <w:tcW w:w="1368" w:type="dxa"/>
            <w:tcBorders>
              <w:top w:val="nil"/>
              <w:left w:val="nil"/>
              <w:bottom w:val="single" w:sz="8" w:space="0" w:color="2E74B5"/>
              <w:right w:val="single" w:sz="8" w:space="0" w:color="2E74B5"/>
            </w:tcBorders>
            <w:shd w:val="clear" w:color="auto" w:fill="auto"/>
          </w:tcPr>
          <w:p w14:paraId="0BA69532"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52%</w:t>
            </w:r>
          </w:p>
        </w:tc>
      </w:tr>
      <w:tr w:rsidR="00F5315C" w14:paraId="43C8DCB1" w14:textId="77777777">
        <w:trPr>
          <w:trHeight w:val="269"/>
        </w:trPr>
        <w:tc>
          <w:tcPr>
            <w:tcW w:w="1844" w:type="dxa"/>
            <w:tcBorders>
              <w:top w:val="nil"/>
              <w:left w:val="single" w:sz="8" w:space="0" w:color="2E74B5"/>
              <w:bottom w:val="single" w:sz="8" w:space="0" w:color="2E74B5"/>
              <w:right w:val="single" w:sz="8" w:space="0" w:color="2E74B5"/>
            </w:tcBorders>
            <w:shd w:val="clear" w:color="auto" w:fill="9CC2E5"/>
          </w:tcPr>
          <w:p w14:paraId="3CD545E7" w14:textId="77777777" w:rsidR="00F5315C" w:rsidRDefault="00000000">
            <w:pPr>
              <w:rPr>
                <w:rFonts w:ascii="Open Sans" w:eastAsia="Open Sans" w:hAnsi="Open Sans" w:cs="Open Sans"/>
                <w:color w:val="000000"/>
                <w:sz w:val="20"/>
                <w:szCs w:val="20"/>
              </w:rPr>
            </w:pPr>
            <w:r>
              <w:rPr>
                <w:rFonts w:ascii="Open Sans" w:eastAsia="Open Sans" w:hAnsi="Open Sans" w:cs="Open Sans"/>
                <w:sz w:val="20"/>
                <w:szCs w:val="20"/>
              </w:rPr>
              <w:t>Región de Murcia</w:t>
            </w:r>
          </w:p>
        </w:tc>
        <w:tc>
          <w:tcPr>
            <w:tcW w:w="1134" w:type="dxa"/>
            <w:tcBorders>
              <w:top w:val="nil"/>
              <w:left w:val="nil"/>
              <w:bottom w:val="single" w:sz="8" w:space="0" w:color="2E74B5"/>
              <w:right w:val="single" w:sz="8" w:space="0" w:color="2E74B5"/>
            </w:tcBorders>
            <w:shd w:val="clear" w:color="auto" w:fill="auto"/>
          </w:tcPr>
          <w:p w14:paraId="5CE795D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7,67 €</w:t>
            </w:r>
          </w:p>
        </w:tc>
        <w:tc>
          <w:tcPr>
            <w:tcW w:w="1134" w:type="dxa"/>
            <w:tcBorders>
              <w:top w:val="nil"/>
              <w:left w:val="nil"/>
              <w:bottom w:val="single" w:sz="8" w:space="0" w:color="2E74B5"/>
              <w:right w:val="single" w:sz="8" w:space="0" w:color="2E74B5"/>
            </w:tcBorders>
            <w:shd w:val="clear" w:color="auto" w:fill="auto"/>
          </w:tcPr>
          <w:p w14:paraId="3B6BE58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7.363 €</w:t>
            </w:r>
          </w:p>
        </w:tc>
        <w:tc>
          <w:tcPr>
            <w:tcW w:w="1559" w:type="dxa"/>
            <w:tcBorders>
              <w:top w:val="nil"/>
              <w:left w:val="nil"/>
              <w:bottom w:val="single" w:sz="8" w:space="0" w:color="2E74B5"/>
              <w:right w:val="single" w:sz="8" w:space="0" w:color="2E74B5"/>
            </w:tcBorders>
            <w:shd w:val="clear" w:color="auto" w:fill="auto"/>
          </w:tcPr>
          <w:p w14:paraId="3551E52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1.917 €</w:t>
            </w:r>
          </w:p>
        </w:tc>
        <w:tc>
          <w:tcPr>
            <w:tcW w:w="1134" w:type="dxa"/>
            <w:tcBorders>
              <w:top w:val="nil"/>
              <w:left w:val="nil"/>
              <w:bottom w:val="single" w:sz="8" w:space="0" w:color="2E74B5"/>
              <w:right w:val="single" w:sz="8" w:space="0" w:color="2E74B5"/>
            </w:tcBorders>
            <w:shd w:val="clear" w:color="auto" w:fill="auto"/>
          </w:tcPr>
          <w:p w14:paraId="21D1EDD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23.004 €</w:t>
            </w:r>
          </w:p>
        </w:tc>
        <w:tc>
          <w:tcPr>
            <w:tcW w:w="1264" w:type="dxa"/>
            <w:tcBorders>
              <w:top w:val="nil"/>
              <w:left w:val="nil"/>
              <w:bottom w:val="single" w:sz="8" w:space="0" w:color="2E74B5"/>
              <w:right w:val="single" w:sz="8" w:space="0" w:color="2E74B5"/>
            </w:tcBorders>
            <w:shd w:val="clear" w:color="auto" w:fill="auto"/>
          </w:tcPr>
          <w:p w14:paraId="0D9DA8D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31%</w:t>
            </w:r>
          </w:p>
        </w:tc>
        <w:tc>
          <w:tcPr>
            <w:tcW w:w="1368" w:type="dxa"/>
            <w:tcBorders>
              <w:top w:val="nil"/>
              <w:left w:val="nil"/>
              <w:bottom w:val="single" w:sz="8" w:space="0" w:color="2E74B5"/>
              <w:right w:val="single" w:sz="8" w:space="0" w:color="2E74B5"/>
            </w:tcBorders>
            <w:shd w:val="clear" w:color="auto" w:fill="auto"/>
          </w:tcPr>
          <w:p w14:paraId="74643818"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32%</w:t>
            </w:r>
          </w:p>
        </w:tc>
      </w:tr>
      <w:tr w:rsidR="00F5315C" w14:paraId="10738FBA"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BC74267" w14:textId="77777777" w:rsidR="00F5315C" w:rsidRDefault="00000000">
            <w:pPr>
              <w:jc w:val="both"/>
              <w:rPr>
                <w:rFonts w:ascii="Open Sans" w:eastAsia="Open Sans" w:hAnsi="Open Sans" w:cs="Open Sans"/>
                <w:b/>
                <w:color w:val="000000"/>
                <w:sz w:val="20"/>
                <w:szCs w:val="20"/>
              </w:rPr>
            </w:pPr>
            <w:r>
              <w:rPr>
                <w:rFonts w:ascii="Open Sans" w:eastAsia="Open Sans" w:hAnsi="Open Sans" w:cs="Open Sans"/>
                <w:b/>
                <w:sz w:val="20"/>
                <w:szCs w:val="20"/>
              </w:rPr>
              <w:t>España</w:t>
            </w:r>
          </w:p>
        </w:tc>
        <w:tc>
          <w:tcPr>
            <w:tcW w:w="1134" w:type="dxa"/>
            <w:tcBorders>
              <w:top w:val="nil"/>
              <w:left w:val="nil"/>
              <w:bottom w:val="single" w:sz="8" w:space="0" w:color="2E74B5"/>
              <w:right w:val="single" w:sz="8" w:space="0" w:color="2E74B5"/>
            </w:tcBorders>
            <w:shd w:val="clear" w:color="auto" w:fill="9CC2E5"/>
          </w:tcPr>
          <w:p w14:paraId="764B238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11,03 €</w:t>
            </w:r>
          </w:p>
        </w:tc>
        <w:tc>
          <w:tcPr>
            <w:tcW w:w="1134" w:type="dxa"/>
            <w:tcBorders>
              <w:top w:val="nil"/>
              <w:left w:val="nil"/>
              <w:bottom w:val="single" w:sz="8" w:space="0" w:color="2E74B5"/>
              <w:right w:val="single" w:sz="8" w:space="0" w:color="2E74B5"/>
            </w:tcBorders>
            <w:shd w:val="clear" w:color="auto" w:fill="9CC2E5"/>
          </w:tcPr>
          <w:p w14:paraId="3BA0235B"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10.589 €</w:t>
            </w:r>
          </w:p>
        </w:tc>
        <w:tc>
          <w:tcPr>
            <w:tcW w:w="1559" w:type="dxa"/>
            <w:tcBorders>
              <w:top w:val="nil"/>
              <w:left w:val="nil"/>
              <w:bottom w:val="single" w:sz="8" w:space="0" w:color="2E74B5"/>
              <w:right w:val="single" w:sz="8" w:space="0" w:color="2E74B5"/>
            </w:tcBorders>
            <w:shd w:val="clear" w:color="auto" w:fill="9CC2E5"/>
          </w:tcPr>
          <w:p w14:paraId="09791E0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2.033 €</w:t>
            </w:r>
          </w:p>
        </w:tc>
        <w:tc>
          <w:tcPr>
            <w:tcW w:w="1134" w:type="dxa"/>
            <w:tcBorders>
              <w:top w:val="nil"/>
              <w:left w:val="nil"/>
              <w:bottom w:val="single" w:sz="8" w:space="0" w:color="2E74B5"/>
              <w:right w:val="single" w:sz="8" w:space="0" w:color="2E74B5"/>
            </w:tcBorders>
            <w:shd w:val="clear" w:color="auto" w:fill="9CC2E5"/>
          </w:tcPr>
          <w:p w14:paraId="068175F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24.395 €</w:t>
            </w:r>
          </w:p>
        </w:tc>
        <w:tc>
          <w:tcPr>
            <w:tcW w:w="1264" w:type="dxa"/>
            <w:tcBorders>
              <w:top w:val="nil"/>
              <w:left w:val="nil"/>
              <w:bottom w:val="single" w:sz="8" w:space="0" w:color="2E74B5"/>
              <w:right w:val="single" w:sz="8" w:space="0" w:color="2E74B5"/>
            </w:tcBorders>
            <w:shd w:val="clear" w:color="auto" w:fill="9CC2E5"/>
          </w:tcPr>
          <w:p w14:paraId="2F98526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40%</w:t>
            </w:r>
          </w:p>
        </w:tc>
        <w:tc>
          <w:tcPr>
            <w:tcW w:w="1368" w:type="dxa"/>
            <w:tcBorders>
              <w:top w:val="nil"/>
              <w:left w:val="nil"/>
              <w:bottom w:val="single" w:sz="8" w:space="0" w:color="2E74B5"/>
              <w:right w:val="single" w:sz="8" w:space="0" w:color="2E74B5"/>
            </w:tcBorders>
            <w:shd w:val="clear" w:color="auto" w:fill="9CC2E5"/>
          </w:tcPr>
          <w:p w14:paraId="019D73E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43%</w:t>
            </w:r>
          </w:p>
        </w:tc>
      </w:tr>
    </w:tbl>
    <w:p w14:paraId="3C5D9841" w14:textId="77777777" w:rsidR="00F5315C" w:rsidRDefault="00F5315C">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6DA6D81B" w14:textId="07B54CDB" w:rsidR="00F5315C" w:rsidRDefault="00000000" w:rsidP="0074741D">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hyperlink r:id="rId17" w:history="1">
        <w:r w:rsidR="0074741D" w:rsidRPr="0074741D">
          <w:rPr>
            <w:rStyle w:val="Hipervnculo"/>
            <w:rFonts w:ascii="National" w:eastAsia="National" w:hAnsi="National" w:cs="National"/>
            <w:b/>
            <w:sz w:val="30"/>
            <w:szCs w:val="30"/>
          </w:rPr>
          <w:t>Declaraciones de la directora de Estudios de Fotocasa</w:t>
        </w:r>
      </w:hyperlink>
    </w:p>
    <w:p w14:paraId="698F64E3" w14:textId="77777777" w:rsidR="0074741D" w:rsidRDefault="0074741D">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34BD67EA" w14:textId="589C5D3E" w:rsidR="00F5315C" w:rsidRDefault="0074741D">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noProof/>
        </w:rPr>
        <w:drawing>
          <wp:inline distT="0" distB="0" distL="0" distR="0" wp14:anchorId="244C04D6" wp14:editId="59A1A221">
            <wp:extent cx="5821680" cy="2973866"/>
            <wp:effectExtent l="0" t="0" r="7620" b="0"/>
            <wp:docPr id="1" name="Imagen 1" descr="Interfaz de usuario gráfica, Aplicación&#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3278" cy="2984899"/>
                    </a:xfrm>
                    <a:prstGeom prst="rect">
                      <a:avLst/>
                    </a:prstGeom>
                    <a:noFill/>
                    <a:ln>
                      <a:noFill/>
                    </a:ln>
                  </pic:spPr>
                </pic:pic>
              </a:graphicData>
            </a:graphic>
          </wp:inline>
        </w:drawing>
      </w:r>
    </w:p>
    <w:p w14:paraId="4E0CBC53" w14:textId="77777777" w:rsidR="0074741D" w:rsidRDefault="0074741D">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61484942" w14:textId="31CAD9A7" w:rsidR="00F5315C" w:rsidRDefault="00000000">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2D2F4D3B" w14:textId="77777777" w:rsidR="00F5315C"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último año, en 10 comunidades autónomas se ha incrementado el dinero destinado a pagar el alquiler, mientras que, en siete de ellas, el porcentaje ha disminuido. En Baleares, una de las comunidades que destina el mayor porcentaje de sueldo bruto al pago del alquiler, se ha pasado del 49% en 2021 al 58% en 2022, según el estudio de </w:t>
      </w:r>
      <w:hyperlink r:id="rId19">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AB2ABA0"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Baleares, vemos que el precio de la vivienda en alquiler cerró 2022 con un incremento anual del 18,2% y situó el precio de diciembre en 14,16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en Baleares registrado por InfoJobs, que en 2022 era de 23.292 euros (1.941 euros brutos mensuales si lo dividimos en 12 pagas); los baleares tuvieron que destinar el 58% de su sueldo bruto al pago del alquiler.  </w:t>
      </w:r>
    </w:p>
    <w:p w14:paraId="036ECEC7"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Viendo los datos en conjunto, el orden de las comunidades autónomas que dedican más dinero de sus sueldos a pagar el alquiler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cuadrados es: Baleares (58% del sueldo bruto), Cataluña</w:t>
      </w:r>
      <w:r>
        <w:rPr>
          <w:rFonts w:ascii="Open Sans" w:eastAsia="Open Sans" w:hAnsi="Open Sans" w:cs="Open Sans"/>
          <w:color w:val="000000"/>
          <w:sz w:val="22"/>
          <w:szCs w:val="22"/>
        </w:rPr>
        <w:tab/>
        <w:t>(58%), Madrid (57%), País Vasco (52%), Canarias (49%), Cantabria (43%), Comunitat Valenciana (42%), Navarra (40%), Andalucía (38%), Aragón (36%), Galicia (35%), Asturias (33%), Castilla y León (33%), La Rioja (33%), Región de Murcia (32%), Extremadura (25%) y Castilla-La Mancha (24%).</w:t>
      </w:r>
    </w:p>
    <w:p w14:paraId="2880D998" w14:textId="77777777" w:rsidR="0074741D" w:rsidRDefault="0074741D">
      <w:pPr>
        <w:spacing w:line="276" w:lineRule="auto"/>
        <w:ind w:right="-574"/>
        <w:rPr>
          <w:rFonts w:ascii="National" w:eastAsia="National" w:hAnsi="National" w:cs="National"/>
          <w:b/>
          <w:color w:val="303AB2"/>
          <w:sz w:val="30"/>
          <w:szCs w:val="30"/>
        </w:rPr>
      </w:pPr>
    </w:p>
    <w:p w14:paraId="4CFF5DDE" w14:textId="28D5ADFF" w:rsidR="00F5315C" w:rsidRDefault="00000000">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Por provincias</w:t>
      </w:r>
    </w:p>
    <w:p w14:paraId="7BC0E29D"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el salario medio de los españoles y el valor del metro cuadrado de las viviendas en alquiler en 2022, los residentes del 67% de las provincias destinaron más del 30% de su sueldo bruto al pago de una vivienda en alquiler de 80 metros cuadrados. Los residentes de las provincias de Zamora, Jaén, Cáceres y Ciudad Real son los únicos que destinaron menos del 25% de sus sueldos al alquiler. </w:t>
      </w:r>
    </w:p>
    <w:p w14:paraId="31C2A07D" w14:textId="77777777" w:rsidR="00F5315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analizamos al detalle las provincias, vemos </w:t>
      </w:r>
      <w:proofErr w:type="gramStart"/>
      <w:r>
        <w:rPr>
          <w:rFonts w:ascii="Open Sans" w:eastAsia="Open Sans" w:hAnsi="Open Sans" w:cs="Open Sans"/>
          <w:color w:val="000000"/>
          <w:sz w:val="22"/>
          <w:szCs w:val="22"/>
        </w:rPr>
        <w:t>que</w:t>
      </w:r>
      <w:proofErr w:type="gramEnd"/>
      <w:r>
        <w:rPr>
          <w:rFonts w:ascii="Open Sans" w:eastAsia="Open Sans" w:hAnsi="Open Sans" w:cs="Open Sans"/>
          <w:color w:val="000000"/>
          <w:sz w:val="22"/>
          <w:szCs w:val="22"/>
        </w:rPr>
        <w:t xml:space="preserve"> en Barcelona, la que tiene el metro cuadrado más caro de España, el precio de la vivienda en alquiler cerró 2022 con un incremento anual del 7,3% y situó el precio de diciembre en 16,10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en Barcelona registrado por InfoJobs, que en 2022 era de 24.876 euros (2.073 euros brutos mensuales si lo dividimos en 12 pagas); los barceloneses tuvieron que destinar el 62% de su sueldo a pagar su vivienda en alquiler. </w:t>
      </w:r>
    </w:p>
    <w:p w14:paraId="1293B434" w14:textId="77777777" w:rsidR="00F5315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Las 10 provincias </w:t>
      </w:r>
      <w:r>
        <w:rPr>
          <w:rFonts w:ascii="Open Sans" w:eastAsia="Open Sans" w:hAnsi="Open Sans" w:cs="Open Sans"/>
          <w:sz w:val="22"/>
          <w:szCs w:val="22"/>
        </w:rPr>
        <w:t>que dedican más sueldo al pago del alquiler por una vivienda de 80 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cuadrados son, por este orden: Barcelona (62% del sueldo bruto), Gipuzkoa (59%), Illes Balears (58%), Madrid (57%), Málaga (52%), Las Palmas (51%), Bizkaia (50%), Santa Cruz de Tenerife (47%), Girona (46%) y Araba - Álava (46%).</w:t>
      </w:r>
    </w:p>
    <w:p w14:paraId="4774EBBB" w14:textId="77777777" w:rsidR="00F5315C" w:rsidRDefault="00F5315C">
      <w:pPr>
        <w:spacing w:line="276" w:lineRule="auto"/>
        <w:ind w:right="-574"/>
        <w:jc w:val="both"/>
        <w:rPr>
          <w:rFonts w:ascii="Open Sans" w:eastAsia="Open Sans" w:hAnsi="Open Sans" w:cs="Open Sans"/>
          <w:sz w:val="22"/>
          <w:szCs w:val="22"/>
        </w:rPr>
      </w:pPr>
    </w:p>
    <w:p w14:paraId="6B8451A7" w14:textId="77777777" w:rsidR="00F5315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los residentes de las provincias que destinan menos sueldo bruto al pago de la vivienda en alquiler son: Ciudad Real (21%), Cáceres (23%), Jaén (23%), Zamora (24%), Albacete (25%), Teruel (26%), Badajoz (27%), León (27%), Ourense (27%) y Toledo (27%).</w:t>
      </w:r>
    </w:p>
    <w:p w14:paraId="4E3D6303" w14:textId="77777777" w:rsidR="00F5315C" w:rsidRDefault="00F5315C">
      <w:pPr>
        <w:spacing w:line="276" w:lineRule="auto"/>
        <w:ind w:right="-574"/>
        <w:jc w:val="both"/>
        <w:rPr>
          <w:rFonts w:ascii="Open Sans" w:eastAsia="Open Sans" w:hAnsi="Open Sans" w:cs="Open Sans"/>
          <w:sz w:val="22"/>
          <w:szCs w:val="22"/>
        </w:rPr>
      </w:pPr>
    </w:p>
    <w:p w14:paraId="240C40EF" w14:textId="77777777" w:rsidR="00F5315C" w:rsidRDefault="00F5315C">
      <w:pPr>
        <w:spacing w:line="276" w:lineRule="auto"/>
        <w:ind w:right="-574"/>
        <w:jc w:val="both"/>
        <w:rPr>
          <w:rFonts w:ascii="Open Sans" w:eastAsia="Open Sans" w:hAnsi="Open Sans" w:cs="Open Sans"/>
          <w:sz w:val="22"/>
          <w:szCs w:val="22"/>
        </w:rPr>
      </w:pPr>
    </w:p>
    <w:p w14:paraId="0523D84F" w14:textId="77777777" w:rsidR="00F5315C" w:rsidRDefault="00000000">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noProof/>
          <w:color w:val="303AB2"/>
          <w:sz w:val="30"/>
          <w:szCs w:val="30"/>
        </w:rPr>
        <w:lastRenderedPageBreak/>
        <w:drawing>
          <wp:inline distT="0" distB="0" distL="0" distR="0" wp14:anchorId="2F6EDAF5" wp14:editId="4AD2AE76">
            <wp:extent cx="5396230" cy="4121785"/>
            <wp:effectExtent l="0" t="0" r="0" b="0"/>
            <wp:docPr id="1999909463" name="image6.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Mapa&#10;&#10;Descripción generada automáticamente"/>
                    <pic:cNvPicPr preferRelativeResize="0"/>
                  </pic:nvPicPr>
                  <pic:blipFill>
                    <a:blip r:embed="rId21"/>
                    <a:srcRect/>
                    <a:stretch>
                      <a:fillRect/>
                    </a:stretch>
                  </pic:blipFill>
                  <pic:spPr>
                    <a:xfrm>
                      <a:off x="0" y="0"/>
                      <a:ext cx="5396230" cy="4121785"/>
                    </a:xfrm>
                    <a:prstGeom prst="rect">
                      <a:avLst/>
                    </a:prstGeom>
                    <a:ln/>
                  </pic:spPr>
                </pic:pic>
              </a:graphicData>
            </a:graphic>
          </wp:inline>
        </w:drawing>
      </w:r>
    </w:p>
    <w:p w14:paraId="40B9F723" w14:textId="77777777" w:rsidR="00F5315C" w:rsidRDefault="00F5315C">
      <w:pPr>
        <w:pBdr>
          <w:top w:val="nil"/>
          <w:left w:val="nil"/>
          <w:bottom w:val="nil"/>
          <w:right w:val="nil"/>
          <w:between w:val="nil"/>
        </w:pBdr>
        <w:spacing w:line="276" w:lineRule="auto"/>
        <w:ind w:right="-574"/>
        <w:rPr>
          <w:rFonts w:ascii="National" w:eastAsia="National" w:hAnsi="National" w:cs="National"/>
          <w:b/>
          <w:color w:val="303AB2"/>
          <w:sz w:val="30"/>
          <w:szCs w:val="30"/>
        </w:rPr>
      </w:pPr>
    </w:p>
    <w:p w14:paraId="394ADF3E" w14:textId="77777777" w:rsidR="00F5315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el precio de la vivienda en alquiler y salario bruto en 2022</w:t>
      </w:r>
    </w:p>
    <w:p w14:paraId="08632C16" w14:textId="77777777" w:rsidR="00F5315C" w:rsidRDefault="00F5315C">
      <w:pPr>
        <w:spacing w:line="276" w:lineRule="auto"/>
        <w:ind w:right="-574"/>
        <w:rPr>
          <w:rFonts w:ascii="Open Sans Light" w:eastAsia="Open Sans Light" w:hAnsi="Open Sans Light" w:cs="Open Sans Light"/>
          <w:b/>
          <w:color w:val="303AB2"/>
        </w:rPr>
      </w:pPr>
    </w:p>
    <w:tbl>
      <w:tblPr>
        <w:tblStyle w:val="a4"/>
        <w:tblW w:w="9883" w:type="dxa"/>
        <w:tblInd w:w="-572" w:type="dxa"/>
        <w:tblLayout w:type="fixed"/>
        <w:tblLook w:val="0400" w:firstRow="0" w:lastRow="0" w:firstColumn="0" w:lastColumn="0" w:noHBand="0" w:noVBand="1"/>
      </w:tblPr>
      <w:tblGrid>
        <w:gridCol w:w="1560"/>
        <w:gridCol w:w="1417"/>
        <w:gridCol w:w="1134"/>
        <w:gridCol w:w="1134"/>
        <w:gridCol w:w="1134"/>
        <w:gridCol w:w="1134"/>
        <w:gridCol w:w="1164"/>
        <w:gridCol w:w="1206"/>
      </w:tblGrid>
      <w:tr w:rsidR="00F5315C" w14:paraId="2D2459F2" w14:textId="77777777" w:rsidTr="0074741D">
        <w:trPr>
          <w:trHeight w:val="1447"/>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5F9F044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CC. AA.</w:t>
            </w:r>
          </w:p>
        </w:tc>
        <w:tc>
          <w:tcPr>
            <w:tcW w:w="1417" w:type="dxa"/>
            <w:tcBorders>
              <w:top w:val="single" w:sz="4" w:space="0" w:color="2E74B5"/>
              <w:left w:val="nil"/>
              <w:bottom w:val="single" w:sz="4" w:space="0" w:color="2E74B5"/>
              <w:right w:val="single" w:sz="4" w:space="0" w:color="2E74B5"/>
            </w:tcBorders>
            <w:shd w:val="clear" w:color="auto" w:fill="9CC2E5"/>
            <w:vAlign w:val="center"/>
          </w:tcPr>
          <w:p w14:paraId="72752D0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144C653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2022)</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51D2DCF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anual alquiler</w:t>
            </w:r>
            <w:r>
              <w:rPr>
                <w:rFonts w:ascii="Open Sans" w:eastAsia="Open Sans" w:hAnsi="Open Sans" w:cs="Open Sans"/>
                <w:sz w:val="20"/>
                <w:szCs w:val="20"/>
              </w:rPr>
              <w:t xml:space="preserve"> </w:t>
            </w:r>
            <w:r>
              <w:rPr>
                <w:rFonts w:ascii="Open Sans" w:eastAsia="Open Sans" w:hAnsi="Open Sans" w:cs="Open Sans"/>
                <w:color w:val="000000"/>
                <w:sz w:val="20"/>
                <w:szCs w:val="20"/>
              </w:rPr>
              <w:t>de 80 m</w:t>
            </w:r>
            <w:r>
              <w:rPr>
                <w:rFonts w:ascii="Open Sans" w:eastAsia="Open Sans" w:hAnsi="Open Sans" w:cs="Open Sans"/>
                <w:color w:val="000000"/>
                <w:sz w:val="20"/>
                <w:szCs w:val="20"/>
                <w:vertAlign w:val="superscript"/>
              </w:rPr>
              <w:t>2</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2173091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en 2022 (12 pagas)</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553023F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en 2022</w:t>
            </w:r>
          </w:p>
        </w:tc>
        <w:tc>
          <w:tcPr>
            <w:tcW w:w="1164" w:type="dxa"/>
            <w:tcBorders>
              <w:top w:val="single" w:sz="4" w:space="0" w:color="2E74B5"/>
              <w:left w:val="nil"/>
              <w:bottom w:val="single" w:sz="4" w:space="0" w:color="2E74B5"/>
              <w:right w:val="single" w:sz="4" w:space="0" w:color="2E74B5"/>
            </w:tcBorders>
            <w:shd w:val="clear" w:color="auto" w:fill="9CC2E5"/>
            <w:vAlign w:val="center"/>
          </w:tcPr>
          <w:p w14:paraId="32DFF96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Sueldo bruto (%) destinado al alquiler en 2021</w:t>
            </w:r>
          </w:p>
        </w:tc>
        <w:tc>
          <w:tcPr>
            <w:tcW w:w="1206" w:type="dxa"/>
            <w:tcBorders>
              <w:top w:val="single" w:sz="4" w:space="0" w:color="2E74B5"/>
              <w:left w:val="nil"/>
              <w:bottom w:val="single" w:sz="4" w:space="0" w:color="2E74B5"/>
              <w:right w:val="single" w:sz="4" w:space="0" w:color="2E74B5"/>
            </w:tcBorders>
            <w:shd w:val="clear" w:color="auto" w:fill="9CC2E5"/>
            <w:vAlign w:val="center"/>
          </w:tcPr>
          <w:p w14:paraId="556F628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Sueldo bruto (%) destinado al alquiler en 2022</w:t>
            </w:r>
          </w:p>
        </w:tc>
      </w:tr>
      <w:tr w:rsidR="00F5315C" w14:paraId="7FBE4DB3"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669B5E8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71860AB3"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134" w:type="dxa"/>
            <w:tcBorders>
              <w:top w:val="nil"/>
              <w:left w:val="nil"/>
              <w:bottom w:val="single" w:sz="4" w:space="0" w:color="2E74B5"/>
              <w:right w:val="single" w:sz="4" w:space="0" w:color="2E74B5"/>
            </w:tcBorders>
            <w:shd w:val="clear" w:color="auto" w:fill="auto"/>
          </w:tcPr>
          <w:p w14:paraId="3E5574E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7,54 €</w:t>
            </w:r>
          </w:p>
        </w:tc>
        <w:tc>
          <w:tcPr>
            <w:tcW w:w="1134" w:type="dxa"/>
            <w:tcBorders>
              <w:top w:val="nil"/>
              <w:left w:val="nil"/>
              <w:bottom w:val="single" w:sz="4" w:space="0" w:color="2E74B5"/>
              <w:right w:val="single" w:sz="4" w:space="0" w:color="2E74B5"/>
            </w:tcBorders>
            <w:shd w:val="clear" w:color="auto" w:fill="auto"/>
          </w:tcPr>
          <w:p w14:paraId="6F73AAB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7.238 €</w:t>
            </w:r>
          </w:p>
        </w:tc>
        <w:tc>
          <w:tcPr>
            <w:tcW w:w="1134" w:type="dxa"/>
            <w:tcBorders>
              <w:top w:val="nil"/>
              <w:left w:val="nil"/>
              <w:bottom w:val="single" w:sz="4" w:space="0" w:color="2E74B5"/>
              <w:right w:val="single" w:sz="4" w:space="0" w:color="2E74B5"/>
            </w:tcBorders>
            <w:shd w:val="clear" w:color="auto" w:fill="auto"/>
          </w:tcPr>
          <w:p w14:paraId="43685F8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2.014 €</w:t>
            </w:r>
          </w:p>
        </w:tc>
        <w:tc>
          <w:tcPr>
            <w:tcW w:w="1134" w:type="dxa"/>
            <w:tcBorders>
              <w:top w:val="nil"/>
              <w:left w:val="nil"/>
              <w:bottom w:val="single" w:sz="4" w:space="0" w:color="2E74B5"/>
              <w:right w:val="single" w:sz="4" w:space="0" w:color="2E74B5"/>
            </w:tcBorders>
            <w:shd w:val="clear" w:color="auto" w:fill="auto"/>
          </w:tcPr>
          <w:p w14:paraId="1624C6F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24.167 €</w:t>
            </w:r>
          </w:p>
        </w:tc>
        <w:tc>
          <w:tcPr>
            <w:tcW w:w="1164" w:type="dxa"/>
            <w:tcBorders>
              <w:top w:val="nil"/>
              <w:left w:val="nil"/>
              <w:bottom w:val="single" w:sz="4" w:space="0" w:color="2E74B5"/>
              <w:right w:val="single" w:sz="4" w:space="0" w:color="2E74B5"/>
            </w:tcBorders>
            <w:shd w:val="clear" w:color="auto" w:fill="auto"/>
          </w:tcPr>
          <w:p w14:paraId="1BF2735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29%</w:t>
            </w:r>
          </w:p>
        </w:tc>
        <w:tc>
          <w:tcPr>
            <w:tcW w:w="1206" w:type="dxa"/>
            <w:tcBorders>
              <w:top w:val="nil"/>
              <w:left w:val="nil"/>
              <w:bottom w:val="single" w:sz="4" w:space="0" w:color="2E74B5"/>
              <w:right w:val="single" w:sz="4" w:space="0" w:color="2E74B5"/>
            </w:tcBorders>
            <w:shd w:val="clear" w:color="auto" w:fill="auto"/>
          </w:tcPr>
          <w:p w14:paraId="3F3F7027"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30%</w:t>
            </w:r>
          </w:p>
        </w:tc>
      </w:tr>
      <w:tr w:rsidR="00F5315C" w14:paraId="1DDE6F1C"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42B7BB72"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1D9EE22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134" w:type="dxa"/>
            <w:tcBorders>
              <w:top w:val="nil"/>
              <w:left w:val="nil"/>
              <w:bottom w:val="single" w:sz="4" w:space="0" w:color="2E74B5"/>
              <w:right w:val="single" w:sz="4" w:space="0" w:color="2E74B5"/>
            </w:tcBorders>
            <w:shd w:val="clear" w:color="auto" w:fill="auto"/>
          </w:tcPr>
          <w:p w14:paraId="7356AE8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8,85 €</w:t>
            </w:r>
          </w:p>
        </w:tc>
        <w:tc>
          <w:tcPr>
            <w:tcW w:w="1134" w:type="dxa"/>
            <w:tcBorders>
              <w:top w:val="nil"/>
              <w:left w:val="nil"/>
              <w:bottom w:val="single" w:sz="4" w:space="0" w:color="2E74B5"/>
              <w:right w:val="single" w:sz="4" w:space="0" w:color="2E74B5"/>
            </w:tcBorders>
            <w:shd w:val="clear" w:color="auto" w:fill="auto"/>
          </w:tcPr>
          <w:p w14:paraId="5F738D3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8.496 €</w:t>
            </w:r>
          </w:p>
        </w:tc>
        <w:tc>
          <w:tcPr>
            <w:tcW w:w="1134" w:type="dxa"/>
            <w:tcBorders>
              <w:top w:val="nil"/>
              <w:left w:val="nil"/>
              <w:bottom w:val="single" w:sz="4" w:space="0" w:color="2E74B5"/>
              <w:right w:val="single" w:sz="4" w:space="0" w:color="2E74B5"/>
            </w:tcBorders>
            <w:shd w:val="clear" w:color="auto" w:fill="auto"/>
          </w:tcPr>
          <w:p w14:paraId="6EFDA57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1.954 €</w:t>
            </w:r>
          </w:p>
        </w:tc>
        <w:tc>
          <w:tcPr>
            <w:tcW w:w="1134" w:type="dxa"/>
            <w:tcBorders>
              <w:top w:val="nil"/>
              <w:left w:val="nil"/>
              <w:bottom w:val="single" w:sz="4" w:space="0" w:color="2E74B5"/>
              <w:right w:val="single" w:sz="4" w:space="0" w:color="2E74B5"/>
            </w:tcBorders>
            <w:shd w:val="clear" w:color="auto" w:fill="auto"/>
          </w:tcPr>
          <w:p w14:paraId="13C287D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23.447 €</w:t>
            </w:r>
          </w:p>
        </w:tc>
        <w:tc>
          <w:tcPr>
            <w:tcW w:w="1164" w:type="dxa"/>
            <w:tcBorders>
              <w:top w:val="nil"/>
              <w:left w:val="nil"/>
              <w:bottom w:val="single" w:sz="4" w:space="0" w:color="2E74B5"/>
              <w:right w:val="single" w:sz="4" w:space="0" w:color="2E74B5"/>
            </w:tcBorders>
            <w:shd w:val="clear" w:color="auto" w:fill="auto"/>
          </w:tcPr>
          <w:p w14:paraId="28E1743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35%</w:t>
            </w:r>
          </w:p>
        </w:tc>
        <w:tc>
          <w:tcPr>
            <w:tcW w:w="1206" w:type="dxa"/>
            <w:tcBorders>
              <w:top w:val="nil"/>
              <w:left w:val="nil"/>
              <w:bottom w:val="single" w:sz="4" w:space="0" w:color="2E74B5"/>
              <w:right w:val="single" w:sz="4" w:space="0" w:color="2E74B5"/>
            </w:tcBorders>
            <w:shd w:val="clear" w:color="auto" w:fill="auto"/>
          </w:tcPr>
          <w:p w14:paraId="6C33E4D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36%</w:t>
            </w:r>
          </w:p>
        </w:tc>
      </w:tr>
      <w:tr w:rsidR="00F5315C" w14:paraId="719A55B1"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795953C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72EF9B2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134" w:type="dxa"/>
            <w:tcBorders>
              <w:top w:val="nil"/>
              <w:left w:val="nil"/>
              <w:bottom w:val="single" w:sz="4" w:space="0" w:color="2E74B5"/>
              <w:right w:val="single" w:sz="4" w:space="0" w:color="2E74B5"/>
            </w:tcBorders>
            <w:shd w:val="clear" w:color="auto" w:fill="auto"/>
          </w:tcPr>
          <w:p w14:paraId="6D2051A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7,38 €</w:t>
            </w:r>
          </w:p>
        </w:tc>
        <w:tc>
          <w:tcPr>
            <w:tcW w:w="1134" w:type="dxa"/>
            <w:tcBorders>
              <w:top w:val="nil"/>
              <w:left w:val="nil"/>
              <w:bottom w:val="single" w:sz="4" w:space="0" w:color="2E74B5"/>
              <w:right w:val="single" w:sz="4" w:space="0" w:color="2E74B5"/>
            </w:tcBorders>
            <w:shd w:val="clear" w:color="auto" w:fill="auto"/>
          </w:tcPr>
          <w:p w14:paraId="0BE8705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7.085 €</w:t>
            </w:r>
          </w:p>
        </w:tc>
        <w:tc>
          <w:tcPr>
            <w:tcW w:w="1134" w:type="dxa"/>
            <w:tcBorders>
              <w:top w:val="nil"/>
              <w:left w:val="nil"/>
              <w:bottom w:val="single" w:sz="4" w:space="0" w:color="2E74B5"/>
              <w:right w:val="single" w:sz="4" w:space="0" w:color="2E74B5"/>
            </w:tcBorders>
            <w:shd w:val="clear" w:color="auto" w:fill="auto"/>
          </w:tcPr>
          <w:p w14:paraId="6F29C3B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1.892 €</w:t>
            </w:r>
          </w:p>
        </w:tc>
        <w:tc>
          <w:tcPr>
            <w:tcW w:w="1134" w:type="dxa"/>
            <w:tcBorders>
              <w:top w:val="nil"/>
              <w:left w:val="nil"/>
              <w:bottom w:val="single" w:sz="4" w:space="0" w:color="2E74B5"/>
              <w:right w:val="single" w:sz="4" w:space="0" w:color="2E74B5"/>
            </w:tcBorders>
            <w:shd w:val="clear" w:color="auto" w:fill="auto"/>
          </w:tcPr>
          <w:p w14:paraId="3047349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22.703 €</w:t>
            </w:r>
          </w:p>
        </w:tc>
        <w:tc>
          <w:tcPr>
            <w:tcW w:w="1164" w:type="dxa"/>
            <w:tcBorders>
              <w:top w:val="nil"/>
              <w:left w:val="nil"/>
              <w:bottom w:val="single" w:sz="4" w:space="0" w:color="2E74B5"/>
              <w:right w:val="single" w:sz="4" w:space="0" w:color="2E74B5"/>
            </w:tcBorders>
            <w:shd w:val="clear" w:color="auto" w:fill="auto"/>
          </w:tcPr>
          <w:p w14:paraId="36B8E29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31%</w:t>
            </w:r>
          </w:p>
        </w:tc>
        <w:tc>
          <w:tcPr>
            <w:tcW w:w="1206" w:type="dxa"/>
            <w:tcBorders>
              <w:top w:val="nil"/>
              <w:left w:val="nil"/>
              <w:bottom w:val="single" w:sz="4" w:space="0" w:color="2E74B5"/>
              <w:right w:val="single" w:sz="4" w:space="0" w:color="2E74B5"/>
            </w:tcBorders>
            <w:shd w:val="clear" w:color="auto" w:fill="auto"/>
          </w:tcPr>
          <w:p w14:paraId="6DDA7A7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31%</w:t>
            </w:r>
          </w:p>
        </w:tc>
      </w:tr>
      <w:tr w:rsidR="00F5315C" w14:paraId="08EC86A1"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48D6555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6195F0E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134" w:type="dxa"/>
            <w:tcBorders>
              <w:top w:val="nil"/>
              <w:left w:val="nil"/>
              <w:bottom w:val="single" w:sz="4" w:space="0" w:color="2E74B5"/>
              <w:right w:val="single" w:sz="4" w:space="0" w:color="2E74B5"/>
            </w:tcBorders>
            <w:shd w:val="clear" w:color="auto" w:fill="auto"/>
          </w:tcPr>
          <w:p w14:paraId="5047D47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8,41 €</w:t>
            </w:r>
          </w:p>
        </w:tc>
        <w:tc>
          <w:tcPr>
            <w:tcW w:w="1134" w:type="dxa"/>
            <w:tcBorders>
              <w:top w:val="nil"/>
              <w:left w:val="nil"/>
              <w:bottom w:val="single" w:sz="4" w:space="0" w:color="2E74B5"/>
              <w:right w:val="single" w:sz="4" w:space="0" w:color="2E74B5"/>
            </w:tcBorders>
            <w:shd w:val="clear" w:color="auto" w:fill="auto"/>
          </w:tcPr>
          <w:p w14:paraId="6EAFA1F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8.074 €</w:t>
            </w:r>
          </w:p>
        </w:tc>
        <w:tc>
          <w:tcPr>
            <w:tcW w:w="1134" w:type="dxa"/>
            <w:tcBorders>
              <w:top w:val="nil"/>
              <w:left w:val="nil"/>
              <w:bottom w:val="single" w:sz="4" w:space="0" w:color="2E74B5"/>
              <w:right w:val="single" w:sz="4" w:space="0" w:color="2E74B5"/>
            </w:tcBorders>
            <w:shd w:val="clear" w:color="auto" w:fill="auto"/>
          </w:tcPr>
          <w:p w14:paraId="62E46EE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1.968 €</w:t>
            </w:r>
          </w:p>
        </w:tc>
        <w:tc>
          <w:tcPr>
            <w:tcW w:w="1134" w:type="dxa"/>
            <w:tcBorders>
              <w:top w:val="nil"/>
              <w:left w:val="nil"/>
              <w:bottom w:val="single" w:sz="4" w:space="0" w:color="2E74B5"/>
              <w:right w:val="single" w:sz="4" w:space="0" w:color="2E74B5"/>
            </w:tcBorders>
            <w:shd w:val="clear" w:color="auto" w:fill="auto"/>
          </w:tcPr>
          <w:p w14:paraId="70801B9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23.622 €</w:t>
            </w:r>
          </w:p>
        </w:tc>
        <w:tc>
          <w:tcPr>
            <w:tcW w:w="1164" w:type="dxa"/>
            <w:tcBorders>
              <w:top w:val="nil"/>
              <w:left w:val="nil"/>
              <w:bottom w:val="single" w:sz="4" w:space="0" w:color="2E74B5"/>
              <w:right w:val="single" w:sz="4" w:space="0" w:color="2E74B5"/>
            </w:tcBorders>
            <w:shd w:val="clear" w:color="auto" w:fill="auto"/>
          </w:tcPr>
          <w:p w14:paraId="7DAF511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206" w:type="dxa"/>
            <w:tcBorders>
              <w:top w:val="nil"/>
              <w:left w:val="nil"/>
              <w:bottom w:val="single" w:sz="4" w:space="0" w:color="2E74B5"/>
              <w:right w:val="single" w:sz="4" w:space="0" w:color="2E74B5"/>
            </w:tcBorders>
            <w:shd w:val="clear" w:color="auto" w:fill="auto"/>
          </w:tcPr>
          <w:p w14:paraId="49C796A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34%</w:t>
            </w:r>
          </w:p>
        </w:tc>
      </w:tr>
      <w:tr w:rsidR="00F5315C" w14:paraId="38780121"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74F573CD"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07686AD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134" w:type="dxa"/>
            <w:tcBorders>
              <w:top w:val="nil"/>
              <w:left w:val="nil"/>
              <w:bottom w:val="single" w:sz="4" w:space="0" w:color="2E74B5"/>
              <w:right w:val="single" w:sz="4" w:space="0" w:color="2E74B5"/>
            </w:tcBorders>
            <w:shd w:val="clear" w:color="auto" w:fill="auto"/>
          </w:tcPr>
          <w:p w14:paraId="4BD7C58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8,76 €</w:t>
            </w:r>
          </w:p>
        </w:tc>
        <w:tc>
          <w:tcPr>
            <w:tcW w:w="1134" w:type="dxa"/>
            <w:tcBorders>
              <w:top w:val="nil"/>
              <w:left w:val="nil"/>
              <w:bottom w:val="single" w:sz="4" w:space="0" w:color="2E74B5"/>
              <w:right w:val="single" w:sz="4" w:space="0" w:color="2E74B5"/>
            </w:tcBorders>
            <w:shd w:val="clear" w:color="auto" w:fill="auto"/>
          </w:tcPr>
          <w:p w14:paraId="2FC266F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8.410 €</w:t>
            </w:r>
          </w:p>
        </w:tc>
        <w:tc>
          <w:tcPr>
            <w:tcW w:w="1134" w:type="dxa"/>
            <w:tcBorders>
              <w:top w:val="nil"/>
              <w:left w:val="nil"/>
              <w:bottom w:val="single" w:sz="4" w:space="0" w:color="2E74B5"/>
              <w:right w:val="single" w:sz="4" w:space="0" w:color="2E74B5"/>
            </w:tcBorders>
            <w:shd w:val="clear" w:color="auto" w:fill="auto"/>
          </w:tcPr>
          <w:p w14:paraId="4FF5338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1.962 €</w:t>
            </w:r>
          </w:p>
        </w:tc>
        <w:tc>
          <w:tcPr>
            <w:tcW w:w="1134" w:type="dxa"/>
            <w:tcBorders>
              <w:top w:val="nil"/>
              <w:left w:val="nil"/>
              <w:bottom w:val="single" w:sz="4" w:space="0" w:color="2E74B5"/>
              <w:right w:val="single" w:sz="4" w:space="0" w:color="2E74B5"/>
            </w:tcBorders>
            <w:shd w:val="clear" w:color="auto" w:fill="auto"/>
          </w:tcPr>
          <w:p w14:paraId="0CC5959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23.541 €</w:t>
            </w:r>
          </w:p>
        </w:tc>
        <w:tc>
          <w:tcPr>
            <w:tcW w:w="1164" w:type="dxa"/>
            <w:tcBorders>
              <w:top w:val="nil"/>
              <w:left w:val="nil"/>
              <w:bottom w:val="single" w:sz="4" w:space="0" w:color="2E74B5"/>
              <w:right w:val="single" w:sz="4" w:space="0" w:color="2E74B5"/>
            </w:tcBorders>
            <w:shd w:val="clear" w:color="auto" w:fill="auto"/>
          </w:tcPr>
          <w:p w14:paraId="1307638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36%</w:t>
            </w:r>
          </w:p>
        </w:tc>
        <w:tc>
          <w:tcPr>
            <w:tcW w:w="1206" w:type="dxa"/>
            <w:tcBorders>
              <w:top w:val="nil"/>
              <w:left w:val="nil"/>
              <w:bottom w:val="single" w:sz="4" w:space="0" w:color="2E74B5"/>
              <w:right w:val="single" w:sz="4" w:space="0" w:color="2E74B5"/>
            </w:tcBorders>
            <w:shd w:val="clear" w:color="auto" w:fill="auto"/>
          </w:tcPr>
          <w:p w14:paraId="1D82A81C"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36%</w:t>
            </w:r>
          </w:p>
        </w:tc>
      </w:tr>
      <w:tr w:rsidR="00F5315C" w14:paraId="44BA5A7E"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6ED0295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42CF3DC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134" w:type="dxa"/>
            <w:tcBorders>
              <w:top w:val="nil"/>
              <w:left w:val="nil"/>
              <w:bottom w:val="single" w:sz="4" w:space="0" w:color="2E74B5"/>
              <w:right w:val="single" w:sz="4" w:space="0" w:color="2E74B5"/>
            </w:tcBorders>
            <w:shd w:val="clear" w:color="auto" w:fill="auto"/>
          </w:tcPr>
          <w:p w14:paraId="238204A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5,49 €</w:t>
            </w:r>
          </w:p>
        </w:tc>
        <w:tc>
          <w:tcPr>
            <w:tcW w:w="1134" w:type="dxa"/>
            <w:tcBorders>
              <w:top w:val="nil"/>
              <w:left w:val="nil"/>
              <w:bottom w:val="single" w:sz="4" w:space="0" w:color="2E74B5"/>
              <w:right w:val="single" w:sz="4" w:space="0" w:color="2E74B5"/>
            </w:tcBorders>
            <w:shd w:val="clear" w:color="auto" w:fill="auto"/>
          </w:tcPr>
          <w:p w14:paraId="4DF8B90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5.270 €</w:t>
            </w:r>
          </w:p>
        </w:tc>
        <w:tc>
          <w:tcPr>
            <w:tcW w:w="1134" w:type="dxa"/>
            <w:tcBorders>
              <w:top w:val="nil"/>
              <w:left w:val="nil"/>
              <w:bottom w:val="single" w:sz="4" w:space="0" w:color="2E74B5"/>
              <w:right w:val="single" w:sz="4" w:space="0" w:color="2E74B5"/>
            </w:tcBorders>
            <w:shd w:val="clear" w:color="auto" w:fill="auto"/>
          </w:tcPr>
          <w:p w14:paraId="59DF3D4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1.918 €</w:t>
            </w:r>
          </w:p>
        </w:tc>
        <w:tc>
          <w:tcPr>
            <w:tcW w:w="1134" w:type="dxa"/>
            <w:tcBorders>
              <w:top w:val="nil"/>
              <w:left w:val="nil"/>
              <w:bottom w:val="single" w:sz="4" w:space="0" w:color="2E74B5"/>
              <w:right w:val="single" w:sz="4" w:space="0" w:color="2E74B5"/>
            </w:tcBorders>
            <w:shd w:val="clear" w:color="auto" w:fill="auto"/>
          </w:tcPr>
          <w:p w14:paraId="643D95D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23.021 €</w:t>
            </w:r>
          </w:p>
        </w:tc>
        <w:tc>
          <w:tcPr>
            <w:tcW w:w="1164" w:type="dxa"/>
            <w:tcBorders>
              <w:top w:val="nil"/>
              <w:left w:val="nil"/>
              <w:bottom w:val="single" w:sz="4" w:space="0" w:color="2E74B5"/>
              <w:right w:val="single" w:sz="4" w:space="0" w:color="2E74B5"/>
            </w:tcBorders>
            <w:shd w:val="clear" w:color="auto" w:fill="auto"/>
          </w:tcPr>
          <w:p w14:paraId="29A95D6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w:t>
            </w:r>
          </w:p>
        </w:tc>
        <w:tc>
          <w:tcPr>
            <w:tcW w:w="1206" w:type="dxa"/>
            <w:tcBorders>
              <w:top w:val="nil"/>
              <w:left w:val="nil"/>
              <w:bottom w:val="single" w:sz="4" w:space="0" w:color="2E74B5"/>
              <w:right w:val="single" w:sz="4" w:space="0" w:color="2E74B5"/>
            </w:tcBorders>
            <w:shd w:val="clear" w:color="auto" w:fill="auto"/>
          </w:tcPr>
          <w:p w14:paraId="6170F02A"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23%</w:t>
            </w:r>
          </w:p>
        </w:tc>
      </w:tr>
      <w:tr w:rsidR="00F5315C" w14:paraId="07E6137C"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center"/>
          </w:tcPr>
          <w:p w14:paraId="3C2E687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5B699AA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134" w:type="dxa"/>
            <w:tcBorders>
              <w:top w:val="nil"/>
              <w:left w:val="nil"/>
              <w:bottom w:val="single" w:sz="4" w:space="0" w:color="2E74B5"/>
              <w:right w:val="single" w:sz="4" w:space="0" w:color="2E74B5"/>
            </w:tcBorders>
            <w:shd w:val="clear" w:color="auto" w:fill="auto"/>
          </w:tcPr>
          <w:p w14:paraId="7D5DFBA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12,73 €</w:t>
            </w:r>
          </w:p>
        </w:tc>
        <w:tc>
          <w:tcPr>
            <w:tcW w:w="1134" w:type="dxa"/>
            <w:tcBorders>
              <w:top w:val="nil"/>
              <w:left w:val="nil"/>
              <w:bottom w:val="single" w:sz="4" w:space="0" w:color="2E74B5"/>
              <w:right w:val="single" w:sz="4" w:space="0" w:color="2E74B5"/>
            </w:tcBorders>
            <w:shd w:val="clear" w:color="auto" w:fill="auto"/>
          </w:tcPr>
          <w:p w14:paraId="198D69A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12.221 €</w:t>
            </w:r>
          </w:p>
        </w:tc>
        <w:tc>
          <w:tcPr>
            <w:tcW w:w="1134" w:type="dxa"/>
            <w:tcBorders>
              <w:top w:val="nil"/>
              <w:left w:val="nil"/>
              <w:bottom w:val="single" w:sz="4" w:space="0" w:color="2E74B5"/>
              <w:right w:val="single" w:sz="4" w:space="0" w:color="2E74B5"/>
            </w:tcBorders>
            <w:shd w:val="clear" w:color="auto" w:fill="auto"/>
          </w:tcPr>
          <w:p w14:paraId="611BEA7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1.974 €</w:t>
            </w:r>
          </w:p>
        </w:tc>
        <w:tc>
          <w:tcPr>
            <w:tcW w:w="1134" w:type="dxa"/>
            <w:tcBorders>
              <w:top w:val="nil"/>
              <w:left w:val="nil"/>
              <w:bottom w:val="single" w:sz="4" w:space="0" w:color="2E74B5"/>
              <w:right w:val="single" w:sz="4" w:space="0" w:color="2E74B5"/>
            </w:tcBorders>
            <w:shd w:val="clear" w:color="auto" w:fill="auto"/>
          </w:tcPr>
          <w:p w14:paraId="06FF92A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23.693 €</w:t>
            </w:r>
          </w:p>
        </w:tc>
        <w:tc>
          <w:tcPr>
            <w:tcW w:w="1164" w:type="dxa"/>
            <w:tcBorders>
              <w:top w:val="nil"/>
              <w:left w:val="nil"/>
              <w:bottom w:val="single" w:sz="4" w:space="0" w:color="2E74B5"/>
              <w:right w:val="single" w:sz="4" w:space="0" w:color="2E74B5"/>
            </w:tcBorders>
            <w:shd w:val="clear" w:color="auto" w:fill="auto"/>
          </w:tcPr>
          <w:p w14:paraId="15AAEBD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41%</w:t>
            </w:r>
          </w:p>
        </w:tc>
        <w:tc>
          <w:tcPr>
            <w:tcW w:w="1206" w:type="dxa"/>
            <w:tcBorders>
              <w:top w:val="nil"/>
              <w:left w:val="nil"/>
              <w:bottom w:val="single" w:sz="4" w:space="0" w:color="2E74B5"/>
              <w:right w:val="single" w:sz="4" w:space="0" w:color="2E74B5"/>
            </w:tcBorders>
            <w:shd w:val="clear" w:color="auto" w:fill="auto"/>
          </w:tcPr>
          <w:p w14:paraId="592552CB"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52%</w:t>
            </w:r>
          </w:p>
        </w:tc>
      </w:tr>
      <w:tr w:rsidR="00F5315C" w14:paraId="2D4C89A4"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2086387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4" w:space="0" w:color="2E74B5"/>
              <w:right w:val="single" w:sz="4" w:space="0" w:color="2E74B5"/>
            </w:tcBorders>
            <w:shd w:val="clear" w:color="auto" w:fill="auto"/>
            <w:vAlign w:val="bottom"/>
          </w:tcPr>
          <w:p w14:paraId="583009F6"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134" w:type="dxa"/>
            <w:tcBorders>
              <w:top w:val="nil"/>
              <w:left w:val="nil"/>
              <w:bottom w:val="single" w:sz="4" w:space="0" w:color="2E74B5"/>
              <w:right w:val="single" w:sz="4" w:space="0" w:color="2E74B5"/>
            </w:tcBorders>
            <w:shd w:val="clear" w:color="auto" w:fill="auto"/>
          </w:tcPr>
          <w:p w14:paraId="45FB041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10,15 €</w:t>
            </w:r>
          </w:p>
        </w:tc>
        <w:tc>
          <w:tcPr>
            <w:tcW w:w="1134" w:type="dxa"/>
            <w:tcBorders>
              <w:top w:val="nil"/>
              <w:left w:val="nil"/>
              <w:bottom w:val="single" w:sz="4" w:space="0" w:color="2E74B5"/>
              <w:right w:val="single" w:sz="4" w:space="0" w:color="2E74B5"/>
            </w:tcBorders>
            <w:shd w:val="clear" w:color="auto" w:fill="auto"/>
          </w:tcPr>
          <w:p w14:paraId="49D8215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9.744 €</w:t>
            </w:r>
          </w:p>
        </w:tc>
        <w:tc>
          <w:tcPr>
            <w:tcW w:w="1134" w:type="dxa"/>
            <w:tcBorders>
              <w:top w:val="nil"/>
              <w:left w:val="nil"/>
              <w:bottom w:val="single" w:sz="4" w:space="0" w:color="2E74B5"/>
              <w:right w:val="single" w:sz="4" w:space="0" w:color="2E74B5"/>
            </w:tcBorders>
            <w:shd w:val="clear" w:color="auto" w:fill="auto"/>
          </w:tcPr>
          <w:p w14:paraId="0384220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1.954 €</w:t>
            </w:r>
          </w:p>
        </w:tc>
        <w:tc>
          <w:tcPr>
            <w:tcW w:w="1134" w:type="dxa"/>
            <w:tcBorders>
              <w:top w:val="nil"/>
              <w:left w:val="nil"/>
              <w:bottom w:val="single" w:sz="4" w:space="0" w:color="2E74B5"/>
              <w:right w:val="single" w:sz="4" w:space="0" w:color="2E74B5"/>
            </w:tcBorders>
            <w:shd w:val="clear" w:color="auto" w:fill="auto"/>
          </w:tcPr>
          <w:p w14:paraId="7F1975E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23.447 €</w:t>
            </w:r>
          </w:p>
        </w:tc>
        <w:tc>
          <w:tcPr>
            <w:tcW w:w="1164" w:type="dxa"/>
            <w:tcBorders>
              <w:top w:val="nil"/>
              <w:left w:val="nil"/>
              <w:bottom w:val="single" w:sz="4" w:space="0" w:color="2E74B5"/>
              <w:right w:val="single" w:sz="4" w:space="0" w:color="2E74B5"/>
            </w:tcBorders>
            <w:shd w:val="clear" w:color="auto" w:fill="auto"/>
          </w:tcPr>
          <w:p w14:paraId="0ECDDEB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38%</w:t>
            </w:r>
          </w:p>
        </w:tc>
        <w:tc>
          <w:tcPr>
            <w:tcW w:w="1206" w:type="dxa"/>
            <w:tcBorders>
              <w:top w:val="nil"/>
              <w:left w:val="nil"/>
              <w:bottom w:val="single" w:sz="4" w:space="0" w:color="2E74B5"/>
              <w:right w:val="single" w:sz="4" w:space="0" w:color="2E74B5"/>
            </w:tcBorders>
            <w:shd w:val="clear" w:color="auto" w:fill="auto"/>
          </w:tcPr>
          <w:p w14:paraId="0AE5CF40"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42%</w:t>
            </w:r>
          </w:p>
        </w:tc>
      </w:tr>
      <w:tr w:rsidR="00F5315C" w14:paraId="1920283D"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6C4925AD"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4" w:space="0" w:color="2E74B5"/>
              <w:right w:val="single" w:sz="4" w:space="0" w:color="2E74B5"/>
            </w:tcBorders>
            <w:shd w:val="clear" w:color="auto" w:fill="auto"/>
            <w:vAlign w:val="bottom"/>
          </w:tcPr>
          <w:p w14:paraId="4D375A8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134" w:type="dxa"/>
            <w:tcBorders>
              <w:top w:val="nil"/>
              <w:left w:val="nil"/>
              <w:bottom w:val="single" w:sz="4" w:space="0" w:color="2E74B5"/>
              <w:right w:val="single" w:sz="4" w:space="0" w:color="2E74B5"/>
            </w:tcBorders>
            <w:shd w:val="clear" w:color="auto" w:fill="auto"/>
          </w:tcPr>
          <w:p w14:paraId="5F98D07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7,47 €</w:t>
            </w:r>
          </w:p>
        </w:tc>
        <w:tc>
          <w:tcPr>
            <w:tcW w:w="1134" w:type="dxa"/>
            <w:tcBorders>
              <w:top w:val="nil"/>
              <w:left w:val="nil"/>
              <w:bottom w:val="single" w:sz="4" w:space="0" w:color="2E74B5"/>
              <w:right w:val="single" w:sz="4" w:space="0" w:color="2E74B5"/>
            </w:tcBorders>
            <w:shd w:val="clear" w:color="auto" w:fill="auto"/>
          </w:tcPr>
          <w:p w14:paraId="04828D3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7.171 €</w:t>
            </w:r>
          </w:p>
        </w:tc>
        <w:tc>
          <w:tcPr>
            <w:tcW w:w="1134" w:type="dxa"/>
            <w:tcBorders>
              <w:top w:val="nil"/>
              <w:left w:val="nil"/>
              <w:bottom w:val="single" w:sz="4" w:space="0" w:color="2E74B5"/>
              <w:right w:val="single" w:sz="4" w:space="0" w:color="2E74B5"/>
            </w:tcBorders>
            <w:shd w:val="clear" w:color="auto" w:fill="auto"/>
          </w:tcPr>
          <w:p w14:paraId="1F70805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1.925 €</w:t>
            </w:r>
          </w:p>
        </w:tc>
        <w:tc>
          <w:tcPr>
            <w:tcW w:w="1134" w:type="dxa"/>
            <w:tcBorders>
              <w:top w:val="nil"/>
              <w:left w:val="nil"/>
              <w:bottom w:val="single" w:sz="4" w:space="0" w:color="2E74B5"/>
              <w:right w:val="single" w:sz="4" w:space="0" w:color="2E74B5"/>
            </w:tcBorders>
            <w:shd w:val="clear" w:color="auto" w:fill="auto"/>
          </w:tcPr>
          <w:p w14:paraId="39F7C7F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23.103 €</w:t>
            </w:r>
          </w:p>
        </w:tc>
        <w:tc>
          <w:tcPr>
            <w:tcW w:w="1164" w:type="dxa"/>
            <w:tcBorders>
              <w:top w:val="nil"/>
              <w:left w:val="nil"/>
              <w:bottom w:val="single" w:sz="4" w:space="0" w:color="2E74B5"/>
              <w:right w:val="single" w:sz="4" w:space="0" w:color="2E74B5"/>
            </w:tcBorders>
            <w:shd w:val="clear" w:color="auto" w:fill="auto"/>
          </w:tcPr>
          <w:p w14:paraId="71BF4A6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30%</w:t>
            </w:r>
          </w:p>
        </w:tc>
        <w:tc>
          <w:tcPr>
            <w:tcW w:w="1206" w:type="dxa"/>
            <w:tcBorders>
              <w:top w:val="nil"/>
              <w:left w:val="nil"/>
              <w:bottom w:val="single" w:sz="4" w:space="0" w:color="2E74B5"/>
              <w:right w:val="single" w:sz="4" w:space="0" w:color="2E74B5"/>
            </w:tcBorders>
            <w:shd w:val="clear" w:color="auto" w:fill="auto"/>
          </w:tcPr>
          <w:p w14:paraId="52978041"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31%</w:t>
            </w:r>
          </w:p>
        </w:tc>
      </w:tr>
      <w:tr w:rsidR="00F5315C" w14:paraId="49FECE34" w14:textId="77777777" w:rsidTr="0074741D">
        <w:trPr>
          <w:trHeight w:val="34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01B471D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4" w:space="0" w:color="2E74B5"/>
              <w:right w:val="single" w:sz="4" w:space="0" w:color="2E74B5"/>
            </w:tcBorders>
            <w:shd w:val="clear" w:color="auto" w:fill="auto"/>
            <w:vAlign w:val="bottom"/>
          </w:tcPr>
          <w:p w14:paraId="0280427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134" w:type="dxa"/>
            <w:tcBorders>
              <w:top w:val="nil"/>
              <w:left w:val="nil"/>
              <w:bottom w:val="single" w:sz="4" w:space="0" w:color="2E74B5"/>
              <w:right w:val="single" w:sz="4" w:space="0" w:color="2E74B5"/>
            </w:tcBorders>
            <w:shd w:val="clear" w:color="auto" w:fill="auto"/>
          </w:tcPr>
          <w:p w14:paraId="0D827E4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5,94 €</w:t>
            </w:r>
          </w:p>
        </w:tc>
        <w:tc>
          <w:tcPr>
            <w:tcW w:w="1134" w:type="dxa"/>
            <w:tcBorders>
              <w:top w:val="nil"/>
              <w:left w:val="nil"/>
              <w:bottom w:val="single" w:sz="4" w:space="0" w:color="2E74B5"/>
              <w:right w:val="single" w:sz="4" w:space="0" w:color="2E74B5"/>
            </w:tcBorders>
            <w:shd w:val="clear" w:color="auto" w:fill="auto"/>
          </w:tcPr>
          <w:p w14:paraId="6233AA0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5.702 €</w:t>
            </w:r>
          </w:p>
        </w:tc>
        <w:tc>
          <w:tcPr>
            <w:tcW w:w="1134" w:type="dxa"/>
            <w:tcBorders>
              <w:top w:val="nil"/>
              <w:left w:val="nil"/>
              <w:bottom w:val="single" w:sz="4" w:space="0" w:color="2E74B5"/>
              <w:right w:val="single" w:sz="4" w:space="0" w:color="2E74B5"/>
            </w:tcBorders>
            <w:shd w:val="clear" w:color="auto" w:fill="auto"/>
          </w:tcPr>
          <w:p w14:paraId="730FB0B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1.859 €</w:t>
            </w:r>
          </w:p>
        </w:tc>
        <w:tc>
          <w:tcPr>
            <w:tcW w:w="1134" w:type="dxa"/>
            <w:tcBorders>
              <w:top w:val="nil"/>
              <w:left w:val="nil"/>
              <w:bottom w:val="single" w:sz="4" w:space="0" w:color="2E74B5"/>
              <w:right w:val="single" w:sz="4" w:space="0" w:color="2E74B5"/>
            </w:tcBorders>
            <w:shd w:val="clear" w:color="auto" w:fill="auto"/>
          </w:tcPr>
          <w:p w14:paraId="3BFC78F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22.308 €</w:t>
            </w:r>
          </w:p>
        </w:tc>
        <w:tc>
          <w:tcPr>
            <w:tcW w:w="1164" w:type="dxa"/>
            <w:tcBorders>
              <w:top w:val="nil"/>
              <w:left w:val="nil"/>
              <w:bottom w:val="single" w:sz="4" w:space="0" w:color="2E74B5"/>
              <w:right w:val="single" w:sz="4" w:space="0" w:color="2E74B5"/>
            </w:tcBorders>
            <w:shd w:val="clear" w:color="auto" w:fill="auto"/>
          </w:tcPr>
          <w:p w14:paraId="5FB94CA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w:t>
            </w:r>
          </w:p>
        </w:tc>
        <w:tc>
          <w:tcPr>
            <w:tcW w:w="1206" w:type="dxa"/>
            <w:tcBorders>
              <w:top w:val="nil"/>
              <w:left w:val="nil"/>
              <w:bottom w:val="single" w:sz="4" w:space="0" w:color="2E74B5"/>
              <w:right w:val="single" w:sz="4" w:space="0" w:color="2E74B5"/>
            </w:tcBorders>
            <w:shd w:val="clear" w:color="auto" w:fill="auto"/>
          </w:tcPr>
          <w:p w14:paraId="62BEBA52"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26%</w:t>
            </w:r>
          </w:p>
        </w:tc>
      </w:tr>
      <w:tr w:rsidR="00F5315C" w14:paraId="60101085"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F3988B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4" w:space="0" w:color="2E74B5"/>
              <w:right w:val="single" w:sz="4" w:space="0" w:color="2E74B5"/>
            </w:tcBorders>
            <w:shd w:val="clear" w:color="auto" w:fill="auto"/>
            <w:vAlign w:val="bottom"/>
          </w:tcPr>
          <w:p w14:paraId="6D3FB16B"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134" w:type="dxa"/>
            <w:tcBorders>
              <w:top w:val="nil"/>
              <w:left w:val="nil"/>
              <w:bottom w:val="single" w:sz="4" w:space="0" w:color="2E74B5"/>
              <w:right w:val="single" w:sz="4" w:space="0" w:color="2E74B5"/>
            </w:tcBorders>
            <w:shd w:val="clear" w:color="auto" w:fill="auto"/>
          </w:tcPr>
          <w:p w14:paraId="3F86524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9,18 €</w:t>
            </w:r>
          </w:p>
        </w:tc>
        <w:tc>
          <w:tcPr>
            <w:tcW w:w="1134" w:type="dxa"/>
            <w:tcBorders>
              <w:top w:val="nil"/>
              <w:left w:val="nil"/>
              <w:bottom w:val="single" w:sz="4" w:space="0" w:color="2E74B5"/>
              <w:right w:val="single" w:sz="4" w:space="0" w:color="2E74B5"/>
            </w:tcBorders>
            <w:shd w:val="clear" w:color="auto" w:fill="auto"/>
          </w:tcPr>
          <w:p w14:paraId="1F0E4F2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8.813 €</w:t>
            </w:r>
          </w:p>
        </w:tc>
        <w:tc>
          <w:tcPr>
            <w:tcW w:w="1134" w:type="dxa"/>
            <w:tcBorders>
              <w:top w:val="nil"/>
              <w:left w:val="nil"/>
              <w:bottom w:val="single" w:sz="4" w:space="0" w:color="2E74B5"/>
              <w:right w:val="single" w:sz="4" w:space="0" w:color="2E74B5"/>
            </w:tcBorders>
            <w:shd w:val="clear" w:color="auto" w:fill="auto"/>
          </w:tcPr>
          <w:p w14:paraId="0300105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1.953 €</w:t>
            </w:r>
          </w:p>
        </w:tc>
        <w:tc>
          <w:tcPr>
            <w:tcW w:w="1134" w:type="dxa"/>
            <w:tcBorders>
              <w:top w:val="nil"/>
              <w:left w:val="nil"/>
              <w:bottom w:val="single" w:sz="4" w:space="0" w:color="2E74B5"/>
              <w:right w:val="single" w:sz="4" w:space="0" w:color="2E74B5"/>
            </w:tcBorders>
            <w:shd w:val="clear" w:color="auto" w:fill="auto"/>
          </w:tcPr>
          <w:p w14:paraId="3480C7A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23.438 €</w:t>
            </w:r>
          </w:p>
        </w:tc>
        <w:tc>
          <w:tcPr>
            <w:tcW w:w="1164" w:type="dxa"/>
            <w:tcBorders>
              <w:top w:val="nil"/>
              <w:left w:val="nil"/>
              <w:bottom w:val="single" w:sz="4" w:space="0" w:color="2E74B5"/>
              <w:right w:val="single" w:sz="4" w:space="0" w:color="2E74B5"/>
            </w:tcBorders>
            <w:shd w:val="clear" w:color="auto" w:fill="auto"/>
          </w:tcPr>
          <w:p w14:paraId="4B77516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37%</w:t>
            </w:r>
          </w:p>
        </w:tc>
        <w:tc>
          <w:tcPr>
            <w:tcW w:w="1206" w:type="dxa"/>
            <w:tcBorders>
              <w:top w:val="nil"/>
              <w:left w:val="nil"/>
              <w:bottom w:val="single" w:sz="4" w:space="0" w:color="2E74B5"/>
              <w:right w:val="single" w:sz="4" w:space="0" w:color="2E74B5"/>
            </w:tcBorders>
            <w:shd w:val="clear" w:color="auto" w:fill="auto"/>
          </w:tcPr>
          <w:p w14:paraId="3B7A5B5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38%</w:t>
            </w:r>
          </w:p>
        </w:tc>
      </w:tr>
      <w:tr w:rsidR="00F5315C" w14:paraId="63DBF575"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6356A35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7" w:type="dxa"/>
            <w:tcBorders>
              <w:top w:val="nil"/>
              <w:left w:val="nil"/>
              <w:bottom w:val="single" w:sz="4" w:space="0" w:color="2E74B5"/>
              <w:right w:val="single" w:sz="4" w:space="0" w:color="2E74B5"/>
            </w:tcBorders>
            <w:shd w:val="clear" w:color="auto" w:fill="auto"/>
            <w:vAlign w:val="bottom"/>
          </w:tcPr>
          <w:p w14:paraId="0DC454F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134" w:type="dxa"/>
            <w:tcBorders>
              <w:top w:val="nil"/>
              <w:left w:val="nil"/>
              <w:bottom w:val="single" w:sz="4" w:space="0" w:color="2E74B5"/>
              <w:right w:val="single" w:sz="4" w:space="0" w:color="2E74B5"/>
            </w:tcBorders>
            <w:shd w:val="clear" w:color="auto" w:fill="auto"/>
          </w:tcPr>
          <w:p w14:paraId="3FFB2DF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8,38 €</w:t>
            </w:r>
          </w:p>
        </w:tc>
        <w:tc>
          <w:tcPr>
            <w:tcW w:w="1134" w:type="dxa"/>
            <w:tcBorders>
              <w:top w:val="nil"/>
              <w:left w:val="nil"/>
              <w:bottom w:val="single" w:sz="4" w:space="0" w:color="2E74B5"/>
              <w:right w:val="single" w:sz="4" w:space="0" w:color="2E74B5"/>
            </w:tcBorders>
            <w:shd w:val="clear" w:color="auto" w:fill="auto"/>
          </w:tcPr>
          <w:p w14:paraId="2220229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8.045 €</w:t>
            </w:r>
          </w:p>
        </w:tc>
        <w:tc>
          <w:tcPr>
            <w:tcW w:w="1134" w:type="dxa"/>
            <w:tcBorders>
              <w:top w:val="nil"/>
              <w:left w:val="nil"/>
              <w:bottom w:val="single" w:sz="4" w:space="0" w:color="2E74B5"/>
              <w:right w:val="single" w:sz="4" w:space="0" w:color="2E74B5"/>
            </w:tcBorders>
            <w:shd w:val="clear" w:color="auto" w:fill="auto"/>
          </w:tcPr>
          <w:p w14:paraId="45DBF95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2.006 €</w:t>
            </w:r>
          </w:p>
        </w:tc>
        <w:tc>
          <w:tcPr>
            <w:tcW w:w="1134" w:type="dxa"/>
            <w:tcBorders>
              <w:top w:val="nil"/>
              <w:left w:val="nil"/>
              <w:bottom w:val="single" w:sz="4" w:space="0" w:color="2E74B5"/>
              <w:right w:val="single" w:sz="4" w:space="0" w:color="2E74B5"/>
            </w:tcBorders>
            <w:shd w:val="clear" w:color="auto" w:fill="auto"/>
          </w:tcPr>
          <w:p w14:paraId="22F9231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24.069 €</w:t>
            </w:r>
          </w:p>
        </w:tc>
        <w:tc>
          <w:tcPr>
            <w:tcW w:w="1164" w:type="dxa"/>
            <w:tcBorders>
              <w:top w:val="nil"/>
              <w:left w:val="nil"/>
              <w:bottom w:val="single" w:sz="4" w:space="0" w:color="2E74B5"/>
              <w:right w:val="single" w:sz="4" w:space="0" w:color="2E74B5"/>
            </w:tcBorders>
            <w:shd w:val="clear" w:color="auto" w:fill="auto"/>
          </w:tcPr>
          <w:p w14:paraId="4AC43B2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33%</w:t>
            </w:r>
          </w:p>
        </w:tc>
        <w:tc>
          <w:tcPr>
            <w:tcW w:w="1206" w:type="dxa"/>
            <w:tcBorders>
              <w:top w:val="nil"/>
              <w:left w:val="nil"/>
              <w:bottom w:val="single" w:sz="4" w:space="0" w:color="2E74B5"/>
              <w:right w:val="single" w:sz="4" w:space="0" w:color="2E74B5"/>
            </w:tcBorders>
            <w:shd w:val="clear" w:color="auto" w:fill="auto"/>
          </w:tcPr>
          <w:p w14:paraId="651EA63A"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33%</w:t>
            </w:r>
          </w:p>
        </w:tc>
      </w:tr>
      <w:tr w:rsidR="00F5315C" w14:paraId="3923E794"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0864630C"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417" w:type="dxa"/>
            <w:tcBorders>
              <w:top w:val="nil"/>
              <w:left w:val="nil"/>
              <w:bottom w:val="single" w:sz="4" w:space="0" w:color="2E74B5"/>
              <w:right w:val="single" w:sz="4" w:space="0" w:color="2E74B5"/>
            </w:tcBorders>
            <w:shd w:val="clear" w:color="auto" w:fill="auto"/>
            <w:vAlign w:val="bottom"/>
          </w:tcPr>
          <w:p w14:paraId="0E38792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134" w:type="dxa"/>
            <w:tcBorders>
              <w:top w:val="nil"/>
              <w:left w:val="nil"/>
              <w:bottom w:val="single" w:sz="4" w:space="0" w:color="2E74B5"/>
              <w:right w:val="single" w:sz="4" w:space="0" w:color="2E74B5"/>
            </w:tcBorders>
            <w:shd w:val="clear" w:color="auto" w:fill="auto"/>
          </w:tcPr>
          <w:p w14:paraId="278CDD6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14,16 €</w:t>
            </w:r>
          </w:p>
        </w:tc>
        <w:tc>
          <w:tcPr>
            <w:tcW w:w="1134" w:type="dxa"/>
            <w:tcBorders>
              <w:top w:val="nil"/>
              <w:left w:val="nil"/>
              <w:bottom w:val="single" w:sz="4" w:space="0" w:color="2E74B5"/>
              <w:right w:val="single" w:sz="4" w:space="0" w:color="2E74B5"/>
            </w:tcBorders>
            <w:shd w:val="clear" w:color="auto" w:fill="auto"/>
          </w:tcPr>
          <w:p w14:paraId="6216AB8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13.594 €</w:t>
            </w:r>
          </w:p>
        </w:tc>
        <w:tc>
          <w:tcPr>
            <w:tcW w:w="1134" w:type="dxa"/>
            <w:tcBorders>
              <w:top w:val="nil"/>
              <w:left w:val="nil"/>
              <w:bottom w:val="single" w:sz="4" w:space="0" w:color="2E74B5"/>
              <w:right w:val="single" w:sz="4" w:space="0" w:color="2E74B5"/>
            </w:tcBorders>
            <w:shd w:val="clear" w:color="auto" w:fill="auto"/>
          </w:tcPr>
          <w:p w14:paraId="1ABE741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1.941 €</w:t>
            </w:r>
          </w:p>
        </w:tc>
        <w:tc>
          <w:tcPr>
            <w:tcW w:w="1134" w:type="dxa"/>
            <w:tcBorders>
              <w:top w:val="nil"/>
              <w:left w:val="nil"/>
              <w:bottom w:val="single" w:sz="4" w:space="0" w:color="2E74B5"/>
              <w:right w:val="single" w:sz="4" w:space="0" w:color="2E74B5"/>
            </w:tcBorders>
            <w:shd w:val="clear" w:color="auto" w:fill="auto"/>
          </w:tcPr>
          <w:p w14:paraId="177781D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23.292 €</w:t>
            </w:r>
          </w:p>
        </w:tc>
        <w:tc>
          <w:tcPr>
            <w:tcW w:w="1164" w:type="dxa"/>
            <w:tcBorders>
              <w:top w:val="nil"/>
              <w:left w:val="nil"/>
              <w:bottom w:val="single" w:sz="4" w:space="0" w:color="2E74B5"/>
              <w:right w:val="single" w:sz="4" w:space="0" w:color="2E74B5"/>
            </w:tcBorders>
            <w:shd w:val="clear" w:color="auto" w:fill="auto"/>
          </w:tcPr>
          <w:p w14:paraId="5EBD3B3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49%</w:t>
            </w:r>
          </w:p>
        </w:tc>
        <w:tc>
          <w:tcPr>
            <w:tcW w:w="1206" w:type="dxa"/>
            <w:tcBorders>
              <w:top w:val="nil"/>
              <w:left w:val="nil"/>
              <w:bottom w:val="single" w:sz="4" w:space="0" w:color="2E74B5"/>
              <w:right w:val="single" w:sz="4" w:space="0" w:color="2E74B5"/>
            </w:tcBorders>
            <w:shd w:val="clear" w:color="auto" w:fill="auto"/>
          </w:tcPr>
          <w:p w14:paraId="1C95C7E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58%</w:t>
            </w:r>
          </w:p>
        </w:tc>
      </w:tr>
      <w:tr w:rsidR="00F5315C" w14:paraId="40EE0F4F"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3177E4B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Canarias</w:t>
            </w:r>
          </w:p>
        </w:tc>
        <w:tc>
          <w:tcPr>
            <w:tcW w:w="1417" w:type="dxa"/>
            <w:tcBorders>
              <w:top w:val="nil"/>
              <w:left w:val="nil"/>
              <w:bottom w:val="single" w:sz="4" w:space="0" w:color="2E74B5"/>
              <w:right w:val="single" w:sz="4" w:space="0" w:color="2E74B5"/>
            </w:tcBorders>
            <w:shd w:val="clear" w:color="auto" w:fill="auto"/>
            <w:vAlign w:val="bottom"/>
          </w:tcPr>
          <w:p w14:paraId="5F8F2DE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134" w:type="dxa"/>
            <w:tcBorders>
              <w:top w:val="nil"/>
              <w:left w:val="nil"/>
              <w:bottom w:val="single" w:sz="4" w:space="0" w:color="2E74B5"/>
              <w:right w:val="single" w:sz="4" w:space="0" w:color="2E74B5"/>
            </w:tcBorders>
            <w:shd w:val="clear" w:color="auto" w:fill="auto"/>
          </w:tcPr>
          <w:p w14:paraId="12E0F1C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11,61 €</w:t>
            </w:r>
          </w:p>
        </w:tc>
        <w:tc>
          <w:tcPr>
            <w:tcW w:w="1134" w:type="dxa"/>
            <w:tcBorders>
              <w:top w:val="nil"/>
              <w:left w:val="nil"/>
              <w:bottom w:val="single" w:sz="4" w:space="0" w:color="2E74B5"/>
              <w:right w:val="single" w:sz="4" w:space="0" w:color="2E74B5"/>
            </w:tcBorders>
            <w:shd w:val="clear" w:color="auto" w:fill="auto"/>
          </w:tcPr>
          <w:p w14:paraId="5AA91B1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11.146 €</w:t>
            </w:r>
          </w:p>
        </w:tc>
        <w:tc>
          <w:tcPr>
            <w:tcW w:w="1134" w:type="dxa"/>
            <w:tcBorders>
              <w:top w:val="nil"/>
              <w:left w:val="nil"/>
              <w:bottom w:val="single" w:sz="4" w:space="0" w:color="2E74B5"/>
              <w:right w:val="single" w:sz="4" w:space="0" w:color="2E74B5"/>
            </w:tcBorders>
            <w:shd w:val="clear" w:color="auto" w:fill="auto"/>
          </w:tcPr>
          <w:p w14:paraId="248218F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1.811 €</w:t>
            </w:r>
          </w:p>
        </w:tc>
        <w:tc>
          <w:tcPr>
            <w:tcW w:w="1134" w:type="dxa"/>
            <w:tcBorders>
              <w:top w:val="nil"/>
              <w:left w:val="nil"/>
              <w:bottom w:val="single" w:sz="4" w:space="0" w:color="2E74B5"/>
              <w:right w:val="single" w:sz="4" w:space="0" w:color="2E74B5"/>
            </w:tcBorders>
            <w:shd w:val="clear" w:color="auto" w:fill="auto"/>
          </w:tcPr>
          <w:p w14:paraId="2E0508D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21.726 €</w:t>
            </w:r>
          </w:p>
        </w:tc>
        <w:tc>
          <w:tcPr>
            <w:tcW w:w="1164" w:type="dxa"/>
            <w:tcBorders>
              <w:top w:val="nil"/>
              <w:left w:val="nil"/>
              <w:bottom w:val="single" w:sz="4" w:space="0" w:color="2E74B5"/>
              <w:right w:val="single" w:sz="4" w:space="0" w:color="2E74B5"/>
            </w:tcBorders>
            <w:shd w:val="clear" w:color="auto" w:fill="auto"/>
          </w:tcPr>
          <w:p w14:paraId="122FCCD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41%</w:t>
            </w:r>
          </w:p>
        </w:tc>
        <w:tc>
          <w:tcPr>
            <w:tcW w:w="1206" w:type="dxa"/>
            <w:tcBorders>
              <w:top w:val="nil"/>
              <w:left w:val="nil"/>
              <w:bottom w:val="single" w:sz="4" w:space="0" w:color="2E74B5"/>
              <w:right w:val="single" w:sz="4" w:space="0" w:color="2E74B5"/>
            </w:tcBorders>
            <w:shd w:val="clear" w:color="auto" w:fill="auto"/>
          </w:tcPr>
          <w:p w14:paraId="4ED0F259"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51%</w:t>
            </w:r>
          </w:p>
        </w:tc>
      </w:tr>
      <w:tr w:rsidR="00F5315C" w14:paraId="7F506B39"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07CE0E6A"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417" w:type="dxa"/>
            <w:tcBorders>
              <w:top w:val="nil"/>
              <w:left w:val="nil"/>
              <w:bottom w:val="single" w:sz="4" w:space="0" w:color="2E74B5"/>
              <w:right w:val="single" w:sz="4" w:space="0" w:color="2E74B5"/>
            </w:tcBorders>
            <w:shd w:val="clear" w:color="auto" w:fill="auto"/>
            <w:vAlign w:val="bottom"/>
          </w:tcPr>
          <w:p w14:paraId="070B9B4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134" w:type="dxa"/>
            <w:tcBorders>
              <w:top w:val="nil"/>
              <w:left w:val="nil"/>
              <w:bottom w:val="single" w:sz="4" w:space="0" w:color="2E74B5"/>
              <w:right w:val="single" w:sz="4" w:space="0" w:color="2E74B5"/>
            </w:tcBorders>
            <w:shd w:val="clear" w:color="auto" w:fill="auto"/>
          </w:tcPr>
          <w:p w14:paraId="6350B10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10,80 €</w:t>
            </w:r>
          </w:p>
        </w:tc>
        <w:tc>
          <w:tcPr>
            <w:tcW w:w="1134" w:type="dxa"/>
            <w:tcBorders>
              <w:top w:val="nil"/>
              <w:left w:val="nil"/>
              <w:bottom w:val="single" w:sz="4" w:space="0" w:color="2E74B5"/>
              <w:right w:val="single" w:sz="4" w:space="0" w:color="2E74B5"/>
            </w:tcBorders>
            <w:shd w:val="clear" w:color="auto" w:fill="auto"/>
          </w:tcPr>
          <w:p w14:paraId="29A5641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10.368 €</w:t>
            </w:r>
          </w:p>
        </w:tc>
        <w:tc>
          <w:tcPr>
            <w:tcW w:w="1134" w:type="dxa"/>
            <w:tcBorders>
              <w:top w:val="nil"/>
              <w:left w:val="nil"/>
              <w:bottom w:val="single" w:sz="4" w:space="0" w:color="2E74B5"/>
              <w:right w:val="single" w:sz="4" w:space="0" w:color="2E74B5"/>
            </w:tcBorders>
            <w:shd w:val="clear" w:color="auto" w:fill="auto"/>
          </w:tcPr>
          <w:p w14:paraId="48FE9A4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1.840 €</w:t>
            </w:r>
          </w:p>
        </w:tc>
        <w:tc>
          <w:tcPr>
            <w:tcW w:w="1134" w:type="dxa"/>
            <w:tcBorders>
              <w:top w:val="nil"/>
              <w:left w:val="nil"/>
              <w:bottom w:val="single" w:sz="4" w:space="0" w:color="2E74B5"/>
              <w:right w:val="single" w:sz="4" w:space="0" w:color="2E74B5"/>
            </w:tcBorders>
            <w:shd w:val="clear" w:color="auto" w:fill="auto"/>
          </w:tcPr>
          <w:p w14:paraId="6A7280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22.079 €</w:t>
            </w:r>
          </w:p>
        </w:tc>
        <w:tc>
          <w:tcPr>
            <w:tcW w:w="1164" w:type="dxa"/>
            <w:tcBorders>
              <w:top w:val="nil"/>
              <w:left w:val="nil"/>
              <w:bottom w:val="single" w:sz="4" w:space="0" w:color="2E74B5"/>
              <w:right w:val="single" w:sz="4" w:space="0" w:color="2E74B5"/>
            </w:tcBorders>
            <w:shd w:val="clear" w:color="auto" w:fill="auto"/>
          </w:tcPr>
          <w:p w14:paraId="45AAF52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39%</w:t>
            </w:r>
          </w:p>
        </w:tc>
        <w:tc>
          <w:tcPr>
            <w:tcW w:w="1206" w:type="dxa"/>
            <w:tcBorders>
              <w:top w:val="nil"/>
              <w:left w:val="nil"/>
              <w:bottom w:val="single" w:sz="4" w:space="0" w:color="2E74B5"/>
              <w:right w:val="single" w:sz="4" w:space="0" w:color="2E74B5"/>
            </w:tcBorders>
            <w:shd w:val="clear" w:color="auto" w:fill="auto"/>
          </w:tcPr>
          <w:p w14:paraId="4A8C3169"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47%</w:t>
            </w:r>
          </w:p>
        </w:tc>
      </w:tr>
      <w:tr w:rsidR="00F5315C" w14:paraId="1C0AFD64"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B2E60F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7" w:type="dxa"/>
            <w:tcBorders>
              <w:top w:val="nil"/>
              <w:left w:val="nil"/>
              <w:bottom w:val="single" w:sz="4" w:space="0" w:color="2E74B5"/>
              <w:right w:val="single" w:sz="4" w:space="0" w:color="2E74B5"/>
            </w:tcBorders>
            <w:shd w:val="clear" w:color="auto" w:fill="auto"/>
            <w:vAlign w:val="bottom"/>
          </w:tcPr>
          <w:p w14:paraId="4D4BD0B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134" w:type="dxa"/>
            <w:tcBorders>
              <w:top w:val="nil"/>
              <w:left w:val="nil"/>
              <w:bottom w:val="single" w:sz="4" w:space="0" w:color="2E74B5"/>
              <w:right w:val="single" w:sz="4" w:space="0" w:color="2E74B5"/>
            </w:tcBorders>
            <w:shd w:val="clear" w:color="auto" w:fill="auto"/>
          </w:tcPr>
          <w:p w14:paraId="709280D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10,32 €</w:t>
            </w:r>
          </w:p>
        </w:tc>
        <w:tc>
          <w:tcPr>
            <w:tcW w:w="1134" w:type="dxa"/>
            <w:tcBorders>
              <w:top w:val="nil"/>
              <w:left w:val="nil"/>
              <w:bottom w:val="single" w:sz="4" w:space="0" w:color="2E74B5"/>
              <w:right w:val="single" w:sz="4" w:space="0" w:color="2E74B5"/>
            </w:tcBorders>
            <w:shd w:val="clear" w:color="auto" w:fill="auto"/>
          </w:tcPr>
          <w:p w14:paraId="3F650D0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9.907 €</w:t>
            </w:r>
          </w:p>
        </w:tc>
        <w:tc>
          <w:tcPr>
            <w:tcW w:w="1134" w:type="dxa"/>
            <w:tcBorders>
              <w:top w:val="nil"/>
              <w:left w:val="nil"/>
              <w:bottom w:val="single" w:sz="4" w:space="0" w:color="2E74B5"/>
              <w:right w:val="single" w:sz="4" w:space="0" w:color="2E74B5"/>
            </w:tcBorders>
            <w:shd w:val="clear" w:color="auto" w:fill="auto"/>
          </w:tcPr>
          <w:p w14:paraId="22B1681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1.904 €</w:t>
            </w:r>
          </w:p>
        </w:tc>
        <w:tc>
          <w:tcPr>
            <w:tcW w:w="1134" w:type="dxa"/>
            <w:tcBorders>
              <w:top w:val="nil"/>
              <w:left w:val="nil"/>
              <w:bottom w:val="single" w:sz="4" w:space="0" w:color="2E74B5"/>
              <w:right w:val="single" w:sz="4" w:space="0" w:color="2E74B5"/>
            </w:tcBorders>
            <w:shd w:val="clear" w:color="auto" w:fill="auto"/>
          </w:tcPr>
          <w:p w14:paraId="0AF2E3B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22.844 €</w:t>
            </w:r>
          </w:p>
        </w:tc>
        <w:tc>
          <w:tcPr>
            <w:tcW w:w="1164" w:type="dxa"/>
            <w:tcBorders>
              <w:top w:val="nil"/>
              <w:left w:val="nil"/>
              <w:bottom w:val="single" w:sz="4" w:space="0" w:color="2E74B5"/>
              <w:right w:val="single" w:sz="4" w:space="0" w:color="2E74B5"/>
            </w:tcBorders>
            <w:shd w:val="clear" w:color="auto" w:fill="auto"/>
          </w:tcPr>
          <w:p w14:paraId="2316C78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40%</w:t>
            </w:r>
          </w:p>
        </w:tc>
        <w:tc>
          <w:tcPr>
            <w:tcW w:w="1206" w:type="dxa"/>
            <w:tcBorders>
              <w:top w:val="nil"/>
              <w:left w:val="nil"/>
              <w:bottom w:val="single" w:sz="4" w:space="0" w:color="2E74B5"/>
              <w:right w:val="single" w:sz="4" w:space="0" w:color="2E74B5"/>
            </w:tcBorders>
            <w:shd w:val="clear" w:color="auto" w:fill="auto"/>
          </w:tcPr>
          <w:p w14:paraId="3BF0B2E0"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43%</w:t>
            </w:r>
          </w:p>
        </w:tc>
      </w:tr>
      <w:tr w:rsidR="00F5315C" w14:paraId="32B48AA9" w14:textId="77777777" w:rsidTr="0074741D">
        <w:trPr>
          <w:trHeight w:val="34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6CA799C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74C346D3"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134" w:type="dxa"/>
            <w:tcBorders>
              <w:top w:val="nil"/>
              <w:left w:val="nil"/>
              <w:bottom w:val="single" w:sz="4" w:space="0" w:color="2E74B5"/>
              <w:right w:val="single" w:sz="4" w:space="0" w:color="2E74B5"/>
            </w:tcBorders>
            <w:shd w:val="clear" w:color="auto" w:fill="auto"/>
          </w:tcPr>
          <w:p w14:paraId="0280FD4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6,60 €</w:t>
            </w:r>
          </w:p>
        </w:tc>
        <w:tc>
          <w:tcPr>
            <w:tcW w:w="1134" w:type="dxa"/>
            <w:tcBorders>
              <w:top w:val="nil"/>
              <w:left w:val="nil"/>
              <w:bottom w:val="single" w:sz="4" w:space="0" w:color="2E74B5"/>
              <w:right w:val="single" w:sz="4" w:space="0" w:color="2E74B5"/>
            </w:tcBorders>
            <w:shd w:val="clear" w:color="auto" w:fill="auto"/>
          </w:tcPr>
          <w:p w14:paraId="29811A3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6.336 €</w:t>
            </w:r>
          </w:p>
        </w:tc>
        <w:tc>
          <w:tcPr>
            <w:tcW w:w="1134" w:type="dxa"/>
            <w:tcBorders>
              <w:top w:val="nil"/>
              <w:left w:val="nil"/>
              <w:bottom w:val="single" w:sz="4" w:space="0" w:color="2E74B5"/>
              <w:right w:val="single" w:sz="4" w:space="0" w:color="2E74B5"/>
            </w:tcBorders>
            <w:shd w:val="clear" w:color="auto" w:fill="auto"/>
          </w:tcPr>
          <w:p w14:paraId="58D72A7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1.888 €</w:t>
            </w:r>
          </w:p>
        </w:tc>
        <w:tc>
          <w:tcPr>
            <w:tcW w:w="1134" w:type="dxa"/>
            <w:tcBorders>
              <w:top w:val="nil"/>
              <w:left w:val="nil"/>
              <w:bottom w:val="single" w:sz="4" w:space="0" w:color="2E74B5"/>
              <w:right w:val="single" w:sz="4" w:space="0" w:color="2E74B5"/>
            </w:tcBorders>
            <w:shd w:val="clear" w:color="auto" w:fill="auto"/>
          </w:tcPr>
          <w:p w14:paraId="5183EA9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22.659 €</w:t>
            </w:r>
          </w:p>
        </w:tc>
        <w:tc>
          <w:tcPr>
            <w:tcW w:w="1164" w:type="dxa"/>
            <w:tcBorders>
              <w:top w:val="nil"/>
              <w:left w:val="nil"/>
              <w:bottom w:val="single" w:sz="4" w:space="0" w:color="2E74B5"/>
              <w:right w:val="single" w:sz="4" w:space="0" w:color="2E74B5"/>
            </w:tcBorders>
            <w:shd w:val="clear" w:color="auto" w:fill="auto"/>
          </w:tcPr>
          <w:p w14:paraId="4CCBB63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27%</w:t>
            </w:r>
          </w:p>
        </w:tc>
        <w:tc>
          <w:tcPr>
            <w:tcW w:w="1206" w:type="dxa"/>
            <w:tcBorders>
              <w:top w:val="nil"/>
              <w:left w:val="nil"/>
              <w:bottom w:val="single" w:sz="4" w:space="0" w:color="2E74B5"/>
              <w:right w:val="single" w:sz="4" w:space="0" w:color="2E74B5"/>
            </w:tcBorders>
            <w:shd w:val="clear" w:color="auto" w:fill="auto"/>
          </w:tcPr>
          <w:p w14:paraId="3E1B2704"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28%</w:t>
            </w:r>
          </w:p>
        </w:tc>
      </w:tr>
      <w:tr w:rsidR="00F5315C" w14:paraId="22184CA2"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533856CD"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3366D56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134" w:type="dxa"/>
            <w:tcBorders>
              <w:top w:val="nil"/>
              <w:left w:val="nil"/>
              <w:bottom w:val="single" w:sz="4" w:space="0" w:color="2E74B5"/>
              <w:right w:val="single" w:sz="4" w:space="0" w:color="2E74B5"/>
            </w:tcBorders>
            <w:shd w:val="clear" w:color="auto" w:fill="auto"/>
          </w:tcPr>
          <w:p w14:paraId="0B15D5F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7,65 €</w:t>
            </w:r>
          </w:p>
        </w:tc>
        <w:tc>
          <w:tcPr>
            <w:tcW w:w="1134" w:type="dxa"/>
            <w:tcBorders>
              <w:top w:val="nil"/>
              <w:left w:val="nil"/>
              <w:bottom w:val="single" w:sz="4" w:space="0" w:color="2E74B5"/>
              <w:right w:val="single" w:sz="4" w:space="0" w:color="2E74B5"/>
            </w:tcBorders>
            <w:shd w:val="clear" w:color="auto" w:fill="auto"/>
          </w:tcPr>
          <w:p w14:paraId="5FBD4C4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7.344 €</w:t>
            </w:r>
          </w:p>
        </w:tc>
        <w:tc>
          <w:tcPr>
            <w:tcW w:w="1134" w:type="dxa"/>
            <w:tcBorders>
              <w:top w:val="nil"/>
              <w:left w:val="nil"/>
              <w:bottom w:val="single" w:sz="4" w:space="0" w:color="2E74B5"/>
              <w:right w:val="single" w:sz="4" w:space="0" w:color="2E74B5"/>
            </w:tcBorders>
            <w:shd w:val="clear" w:color="auto" w:fill="auto"/>
          </w:tcPr>
          <w:p w14:paraId="7C231AF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1.911 €</w:t>
            </w:r>
          </w:p>
        </w:tc>
        <w:tc>
          <w:tcPr>
            <w:tcW w:w="1134" w:type="dxa"/>
            <w:tcBorders>
              <w:top w:val="nil"/>
              <w:left w:val="nil"/>
              <w:bottom w:val="single" w:sz="4" w:space="0" w:color="2E74B5"/>
              <w:right w:val="single" w:sz="4" w:space="0" w:color="2E74B5"/>
            </w:tcBorders>
            <w:shd w:val="clear" w:color="auto" w:fill="auto"/>
          </w:tcPr>
          <w:p w14:paraId="69CDC51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22.937 €</w:t>
            </w:r>
          </w:p>
        </w:tc>
        <w:tc>
          <w:tcPr>
            <w:tcW w:w="1164" w:type="dxa"/>
            <w:tcBorders>
              <w:top w:val="nil"/>
              <w:left w:val="nil"/>
              <w:bottom w:val="single" w:sz="4" w:space="0" w:color="2E74B5"/>
              <w:right w:val="single" w:sz="4" w:space="0" w:color="2E74B5"/>
            </w:tcBorders>
            <w:shd w:val="clear" w:color="auto" w:fill="auto"/>
          </w:tcPr>
          <w:p w14:paraId="160F54C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31%</w:t>
            </w:r>
          </w:p>
        </w:tc>
        <w:tc>
          <w:tcPr>
            <w:tcW w:w="1206" w:type="dxa"/>
            <w:tcBorders>
              <w:top w:val="nil"/>
              <w:left w:val="nil"/>
              <w:bottom w:val="single" w:sz="4" w:space="0" w:color="2E74B5"/>
              <w:right w:val="single" w:sz="4" w:space="0" w:color="2E74B5"/>
            </w:tcBorders>
            <w:shd w:val="clear" w:color="auto" w:fill="auto"/>
          </w:tcPr>
          <w:p w14:paraId="65344A6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32%</w:t>
            </w:r>
          </w:p>
        </w:tc>
      </w:tr>
      <w:tr w:rsidR="00F5315C" w14:paraId="0A5257F1"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1940A132"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5F74B36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134" w:type="dxa"/>
            <w:tcBorders>
              <w:top w:val="nil"/>
              <w:left w:val="nil"/>
              <w:bottom w:val="single" w:sz="4" w:space="0" w:color="2E74B5"/>
              <w:right w:val="single" w:sz="4" w:space="0" w:color="2E74B5"/>
            </w:tcBorders>
            <w:shd w:val="clear" w:color="auto" w:fill="auto"/>
          </w:tcPr>
          <w:p w14:paraId="1B1492F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6,11 €</w:t>
            </w:r>
          </w:p>
        </w:tc>
        <w:tc>
          <w:tcPr>
            <w:tcW w:w="1134" w:type="dxa"/>
            <w:tcBorders>
              <w:top w:val="nil"/>
              <w:left w:val="nil"/>
              <w:bottom w:val="single" w:sz="4" w:space="0" w:color="2E74B5"/>
              <w:right w:val="single" w:sz="4" w:space="0" w:color="2E74B5"/>
            </w:tcBorders>
            <w:shd w:val="clear" w:color="auto" w:fill="auto"/>
          </w:tcPr>
          <w:p w14:paraId="7F5738A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5.866 €</w:t>
            </w:r>
          </w:p>
        </w:tc>
        <w:tc>
          <w:tcPr>
            <w:tcW w:w="1134" w:type="dxa"/>
            <w:tcBorders>
              <w:top w:val="nil"/>
              <w:left w:val="nil"/>
              <w:bottom w:val="single" w:sz="4" w:space="0" w:color="2E74B5"/>
              <w:right w:val="single" w:sz="4" w:space="0" w:color="2E74B5"/>
            </w:tcBorders>
            <w:shd w:val="clear" w:color="auto" w:fill="auto"/>
          </w:tcPr>
          <w:p w14:paraId="5024D1C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1.806 €</w:t>
            </w:r>
          </w:p>
        </w:tc>
        <w:tc>
          <w:tcPr>
            <w:tcW w:w="1134" w:type="dxa"/>
            <w:tcBorders>
              <w:top w:val="nil"/>
              <w:left w:val="nil"/>
              <w:bottom w:val="single" w:sz="4" w:space="0" w:color="2E74B5"/>
              <w:right w:val="single" w:sz="4" w:space="0" w:color="2E74B5"/>
            </w:tcBorders>
            <w:shd w:val="clear" w:color="auto" w:fill="auto"/>
          </w:tcPr>
          <w:p w14:paraId="2F90B63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21.673 €</w:t>
            </w:r>
          </w:p>
        </w:tc>
        <w:tc>
          <w:tcPr>
            <w:tcW w:w="1164" w:type="dxa"/>
            <w:tcBorders>
              <w:top w:val="nil"/>
              <w:left w:val="nil"/>
              <w:bottom w:val="single" w:sz="4" w:space="0" w:color="2E74B5"/>
              <w:right w:val="single" w:sz="4" w:space="0" w:color="2E74B5"/>
            </w:tcBorders>
            <w:shd w:val="clear" w:color="auto" w:fill="auto"/>
          </w:tcPr>
          <w:p w14:paraId="5DAACCD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28%</w:t>
            </w:r>
          </w:p>
        </w:tc>
        <w:tc>
          <w:tcPr>
            <w:tcW w:w="1206" w:type="dxa"/>
            <w:tcBorders>
              <w:top w:val="nil"/>
              <w:left w:val="nil"/>
              <w:bottom w:val="single" w:sz="4" w:space="0" w:color="2E74B5"/>
              <w:right w:val="single" w:sz="4" w:space="0" w:color="2E74B5"/>
            </w:tcBorders>
            <w:shd w:val="clear" w:color="auto" w:fill="auto"/>
          </w:tcPr>
          <w:p w14:paraId="7C816025"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27%</w:t>
            </w:r>
          </w:p>
        </w:tc>
      </w:tr>
      <w:tr w:rsidR="00F5315C" w14:paraId="6A4ECB35"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14046CA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08C8192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134" w:type="dxa"/>
            <w:tcBorders>
              <w:top w:val="nil"/>
              <w:left w:val="nil"/>
              <w:bottom w:val="single" w:sz="4" w:space="0" w:color="2E74B5"/>
              <w:right w:val="single" w:sz="4" w:space="0" w:color="2E74B5"/>
            </w:tcBorders>
            <w:shd w:val="clear" w:color="auto" w:fill="auto"/>
          </w:tcPr>
          <w:p w14:paraId="7F7AD87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6,38 €</w:t>
            </w:r>
          </w:p>
        </w:tc>
        <w:tc>
          <w:tcPr>
            <w:tcW w:w="1134" w:type="dxa"/>
            <w:tcBorders>
              <w:top w:val="nil"/>
              <w:left w:val="nil"/>
              <w:bottom w:val="single" w:sz="4" w:space="0" w:color="2E74B5"/>
              <w:right w:val="single" w:sz="4" w:space="0" w:color="2E74B5"/>
            </w:tcBorders>
            <w:shd w:val="clear" w:color="auto" w:fill="auto"/>
          </w:tcPr>
          <w:p w14:paraId="26D0515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6.125 €</w:t>
            </w:r>
          </w:p>
        </w:tc>
        <w:tc>
          <w:tcPr>
            <w:tcW w:w="1134" w:type="dxa"/>
            <w:tcBorders>
              <w:top w:val="nil"/>
              <w:left w:val="nil"/>
              <w:bottom w:val="single" w:sz="4" w:space="0" w:color="2E74B5"/>
              <w:right w:val="single" w:sz="4" w:space="0" w:color="2E74B5"/>
            </w:tcBorders>
            <w:shd w:val="clear" w:color="auto" w:fill="auto"/>
          </w:tcPr>
          <w:p w14:paraId="20CE0C5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1.854 €</w:t>
            </w:r>
          </w:p>
        </w:tc>
        <w:tc>
          <w:tcPr>
            <w:tcW w:w="1134" w:type="dxa"/>
            <w:tcBorders>
              <w:top w:val="nil"/>
              <w:left w:val="nil"/>
              <w:bottom w:val="single" w:sz="4" w:space="0" w:color="2E74B5"/>
              <w:right w:val="single" w:sz="4" w:space="0" w:color="2E74B5"/>
            </w:tcBorders>
            <w:shd w:val="clear" w:color="auto" w:fill="auto"/>
          </w:tcPr>
          <w:p w14:paraId="1BBD32B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22.251 €</w:t>
            </w:r>
          </w:p>
        </w:tc>
        <w:tc>
          <w:tcPr>
            <w:tcW w:w="1164" w:type="dxa"/>
            <w:tcBorders>
              <w:top w:val="nil"/>
              <w:left w:val="nil"/>
              <w:bottom w:val="single" w:sz="4" w:space="0" w:color="2E74B5"/>
              <w:right w:val="single" w:sz="4" w:space="0" w:color="2E74B5"/>
            </w:tcBorders>
            <w:shd w:val="clear" w:color="auto" w:fill="auto"/>
          </w:tcPr>
          <w:p w14:paraId="4450462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27%</w:t>
            </w:r>
          </w:p>
        </w:tc>
        <w:tc>
          <w:tcPr>
            <w:tcW w:w="1206" w:type="dxa"/>
            <w:tcBorders>
              <w:top w:val="nil"/>
              <w:left w:val="nil"/>
              <w:bottom w:val="single" w:sz="4" w:space="0" w:color="2E74B5"/>
              <w:right w:val="single" w:sz="4" w:space="0" w:color="2E74B5"/>
            </w:tcBorders>
            <w:shd w:val="clear" w:color="auto" w:fill="auto"/>
          </w:tcPr>
          <w:p w14:paraId="56A09A5D"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28%</w:t>
            </w:r>
          </w:p>
        </w:tc>
      </w:tr>
      <w:tr w:rsidR="00F5315C" w14:paraId="5EF3F120"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6BD69FE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23C106C2"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134" w:type="dxa"/>
            <w:tcBorders>
              <w:top w:val="nil"/>
              <w:left w:val="nil"/>
              <w:bottom w:val="single" w:sz="4" w:space="0" w:color="2E74B5"/>
              <w:right w:val="single" w:sz="4" w:space="0" w:color="2E74B5"/>
            </w:tcBorders>
            <w:shd w:val="clear" w:color="auto" w:fill="auto"/>
          </w:tcPr>
          <w:p w14:paraId="3F2D0FF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8,69 €</w:t>
            </w:r>
          </w:p>
        </w:tc>
        <w:tc>
          <w:tcPr>
            <w:tcW w:w="1134" w:type="dxa"/>
            <w:tcBorders>
              <w:top w:val="nil"/>
              <w:left w:val="nil"/>
              <w:bottom w:val="single" w:sz="4" w:space="0" w:color="2E74B5"/>
              <w:right w:val="single" w:sz="4" w:space="0" w:color="2E74B5"/>
            </w:tcBorders>
            <w:shd w:val="clear" w:color="auto" w:fill="auto"/>
          </w:tcPr>
          <w:p w14:paraId="3ECAB8F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8.342 €</w:t>
            </w:r>
          </w:p>
        </w:tc>
        <w:tc>
          <w:tcPr>
            <w:tcW w:w="1134" w:type="dxa"/>
            <w:tcBorders>
              <w:top w:val="nil"/>
              <w:left w:val="nil"/>
              <w:bottom w:val="single" w:sz="4" w:space="0" w:color="2E74B5"/>
              <w:right w:val="single" w:sz="4" w:space="0" w:color="2E74B5"/>
            </w:tcBorders>
            <w:shd w:val="clear" w:color="auto" w:fill="auto"/>
          </w:tcPr>
          <w:p w14:paraId="0225EE9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1.942 €</w:t>
            </w:r>
          </w:p>
        </w:tc>
        <w:tc>
          <w:tcPr>
            <w:tcW w:w="1134" w:type="dxa"/>
            <w:tcBorders>
              <w:top w:val="nil"/>
              <w:left w:val="nil"/>
              <w:bottom w:val="single" w:sz="4" w:space="0" w:color="2E74B5"/>
              <w:right w:val="single" w:sz="4" w:space="0" w:color="2E74B5"/>
            </w:tcBorders>
            <w:shd w:val="clear" w:color="auto" w:fill="auto"/>
          </w:tcPr>
          <w:p w14:paraId="043DCB3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23.306 €</w:t>
            </w:r>
          </w:p>
        </w:tc>
        <w:tc>
          <w:tcPr>
            <w:tcW w:w="1164" w:type="dxa"/>
            <w:tcBorders>
              <w:top w:val="nil"/>
              <w:left w:val="nil"/>
              <w:bottom w:val="single" w:sz="4" w:space="0" w:color="2E74B5"/>
              <w:right w:val="single" w:sz="4" w:space="0" w:color="2E74B5"/>
            </w:tcBorders>
            <w:shd w:val="clear" w:color="auto" w:fill="auto"/>
          </w:tcPr>
          <w:p w14:paraId="51A948E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33%</w:t>
            </w:r>
          </w:p>
        </w:tc>
        <w:tc>
          <w:tcPr>
            <w:tcW w:w="1206" w:type="dxa"/>
            <w:tcBorders>
              <w:top w:val="nil"/>
              <w:left w:val="nil"/>
              <w:bottom w:val="single" w:sz="4" w:space="0" w:color="2E74B5"/>
              <w:right w:val="single" w:sz="4" w:space="0" w:color="2E74B5"/>
            </w:tcBorders>
            <w:shd w:val="clear" w:color="auto" w:fill="auto"/>
          </w:tcPr>
          <w:p w14:paraId="665ED3E5"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36%</w:t>
            </w:r>
          </w:p>
        </w:tc>
      </w:tr>
      <w:tr w:rsidR="00F5315C" w14:paraId="2B71BB27"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F7638E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057205C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134" w:type="dxa"/>
            <w:tcBorders>
              <w:top w:val="nil"/>
              <w:left w:val="nil"/>
              <w:bottom w:val="single" w:sz="4" w:space="0" w:color="2E74B5"/>
              <w:right w:val="single" w:sz="4" w:space="0" w:color="2E74B5"/>
            </w:tcBorders>
            <w:shd w:val="clear" w:color="auto" w:fill="auto"/>
          </w:tcPr>
          <w:p w14:paraId="025499E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8,83 €</w:t>
            </w:r>
          </w:p>
        </w:tc>
        <w:tc>
          <w:tcPr>
            <w:tcW w:w="1134" w:type="dxa"/>
            <w:tcBorders>
              <w:top w:val="nil"/>
              <w:left w:val="nil"/>
              <w:bottom w:val="single" w:sz="4" w:space="0" w:color="2E74B5"/>
              <w:right w:val="single" w:sz="4" w:space="0" w:color="2E74B5"/>
            </w:tcBorders>
            <w:shd w:val="clear" w:color="auto" w:fill="auto"/>
          </w:tcPr>
          <w:p w14:paraId="02A1215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8.477 €</w:t>
            </w:r>
          </w:p>
        </w:tc>
        <w:tc>
          <w:tcPr>
            <w:tcW w:w="1134" w:type="dxa"/>
            <w:tcBorders>
              <w:top w:val="nil"/>
              <w:left w:val="nil"/>
              <w:bottom w:val="single" w:sz="4" w:space="0" w:color="2E74B5"/>
              <w:right w:val="single" w:sz="4" w:space="0" w:color="2E74B5"/>
            </w:tcBorders>
            <w:shd w:val="clear" w:color="auto" w:fill="auto"/>
          </w:tcPr>
          <w:p w14:paraId="7A89BC9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1.828 €</w:t>
            </w:r>
          </w:p>
        </w:tc>
        <w:tc>
          <w:tcPr>
            <w:tcW w:w="1134" w:type="dxa"/>
            <w:tcBorders>
              <w:top w:val="nil"/>
              <w:left w:val="nil"/>
              <w:bottom w:val="single" w:sz="4" w:space="0" w:color="2E74B5"/>
              <w:right w:val="single" w:sz="4" w:space="0" w:color="2E74B5"/>
            </w:tcBorders>
            <w:shd w:val="clear" w:color="auto" w:fill="auto"/>
          </w:tcPr>
          <w:p w14:paraId="1114A22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21.930 €</w:t>
            </w:r>
          </w:p>
        </w:tc>
        <w:tc>
          <w:tcPr>
            <w:tcW w:w="1164" w:type="dxa"/>
            <w:tcBorders>
              <w:top w:val="nil"/>
              <w:left w:val="nil"/>
              <w:bottom w:val="single" w:sz="4" w:space="0" w:color="2E74B5"/>
              <w:right w:val="single" w:sz="4" w:space="0" w:color="2E74B5"/>
            </w:tcBorders>
            <w:shd w:val="clear" w:color="auto" w:fill="auto"/>
          </w:tcPr>
          <w:p w14:paraId="5F9C7D8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36%</w:t>
            </w:r>
          </w:p>
        </w:tc>
        <w:tc>
          <w:tcPr>
            <w:tcW w:w="1206" w:type="dxa"/>
            <w:tcBorders>
              <w:top w:val="nil"/>
              <w:left w:val="nil"/>
              <w:bottom w:val="single" w:sz="4" w:space="0" w:color="2E74B5"/>
              <w:right w:val="single" w:sz="4" w:space="0" w:color="2E74B5"/>
            </w:tcBorders>
            <w:shd w:val="clear" w:color="auto" w:fill="auto"/>
          </w:tcPr>
          <w:p w14:paraId="11880D45"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39%</w:t>
            </w:r>
          </w:p>
        </w:tc>
      </w:tr>
      <w:tr w:rsidR="00F5315C" w14:paraId="42D4E24D"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5258BA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4C6B604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134" w:type="dxa"/>
            <w:tcBorders>
              <w:top w:val="nil"/>
              <w:left w:val="nil"/>
              <w:bottom w:val="single" w:sz="4" w:space="0" w:color="2E74B5"/>
              <w:right w:val="single" w:sz="4" w:space="0" w:color="2E74B5"/>
            </w:tcBorders>
            <w:shd w:val="clear" w:color="auto" w:fill="auto"/>
          </w:tcPr>
          <w:p w14:paraId="4E588E9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w:t>
            </w:r>
          </w:p>
        </w:tc>
        <w:tc>
          <w:tcPr>
            <w:tcW w:w="1134" w:type="dxa"/>
            <w:tcBorders>
              <w:top w:val="nil"/>
              <w:left w:val="nil"/>
              <w:bottom w:val="single" w:sz="4" w:space="0" w:color="2E74B5"/>
              <w:right w:val="single" w:sz="4" w:space="0" w:color="2E74B5"/>
            </w:tcBorders>
            <w:shd w:val="clear" w:color="auto" w:fill="auto"/>
          </w:tcPr>
          <w:p w14:paraId="3663A6D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w:t>
            </w:r>
          </w:p>
        </w:tc>
        <w:tc>
          <w:tcPr>
            <w:tcW w:w="1134" w:type="dxa"/>
            <w:tcBorders>
              <w:top w:val="nil"/>
              <w:left w:val="nil"/>
              <w:bottom w:val="single" w:sz="4" w:space="0" w:color="2E74B5"/>
              <w:right w:val="single" w:sz="4" w:space="0" w:color="2E74B5"/>
            </w:tcBorders>
            <w:shd w:val="clear" w:color="auto" w:fill="auto"/>
          </w:tcPr>
          <w:p w14:paraId="2804CB2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1.853 €</w:t>
            </w:r>
          </w:p>
        </w:tc>
        <w:tc>
          <w:tcPr>
            <w:tcW w:w="1134" w:type="dxa"/>
            <w:tcBorders>
              <w:top w:val="nil"/>
              <w:left w:val="nil"/>
              <w:bottom w:val="single" w:sz="4" w:space="0" w:color="2E74B5"/>
              <w:right w:val="single" w:sz="4" w:space="0" w:color="2E74B5"/>
            </w:tcBorders>
            <w:shd w:val="clear" w:color="auto" w:fill="auto"/>
          </w:tcPr>
          <w:p w14:paraId="5AF2FF8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22.235 €</w:t>
            </w:r>
          </w:p>
        </w:tc>
        <w:tc>
          <w:tcPr>
            <w:tcW w:w="1164" w:type="dxa"/>
            <w:tcBorders>
              <w:top w:val="nil"/>
              <w:left w:val="nil"/>
              <w:bottom w:val="single" w:sz="4" w:space="0" w:color="2E74B5"/>
              <w:right w:val="single" w:sz="4" w:space="0" w:color="2E74B5"/>
            </w:tcBorders>
            <w:shd w:val="clear" w:color="auto" w:fill="auto"/>
          </w:tcPr>
          <w:p w14:paraId="3741756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w:t>
            </w:r>
          </w:p>
        </w:tc>
        <w:tc>
          <w:tcPr>
            <w:tcW w:w="1206" w:type="dxa"/>
            <w:tcBorders>
              <w:top w:val="nil"/>
              <w:left w:val="nil"/>
              <w:bottom w:val="single" w:sz="4" w:space="0" w:color="2E74B5"/>
              <w:right w:val="single" w:sz="4" w:space="0" w:color="2E74B5"/>
            </w:tcBorders>
            <w:shd w:val="clear" w:color="auto" w:fill="auto"/>
          </w:tcPr>
          <w:p w14:paraId="65427D7C"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w:t>
            </w:r>
          </w:p>
        </w:tc>
      </w:tr>
      <w:tr w:rsidR="00F5315C" w14:paraId="6493A399"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7BFA7F2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53ED23E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134" w:type="dxa"/>
            <w:tcBorders>
              <w:top w:val="nil"/>
              <w:left w:val="nil"/>
              <w:bottom w:val="single" w:sz="4" w:space="0" w:color="2E74B5"/>
              <w:right w:val="single" w:sz="4" w:space="0" w:color="2E74B5"/>
            </w:tcBorders>
            <w:shd w:val="clear" w:color="auto" w:fill="auto"/>
          </w:tcPr>
          <w:p w14:paraId="4B87573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7,54 €</w:t>
            </w:r>
          </w:p>
        </w:tc>
        <w:tc>
          <w:tcPr>
            <w:tcW w:w="1134" w:type="dxa"/>
            <w:tcBorders>
              <w:top w:val="nil"/>
              <w:left w:val="nil"/>
              <w:bottom w:val="single" w:sz="4" w:space="0" w:color="2E74B5"/>
              <w:right w:val="single" w:sz="4" w:space="0" w:color="2E74B5"/>
            </w:tcBorders>
            <w:shd w:val="clear" w:color="auto" w:fill="auto"/>
          </w:tcPr>
          <w:p w14:paraId="2229D45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7.238 €</w:t>
            </w:r>
          </w:p>
        </w:tc>
        <w:tc>
          <w:tcPr>
            <w:tcW w:w="1134" w:type="dxa"/>
            <w:tcBorders>
              <w:top w:val="nil"/>
              <w:left w:val="nil"/>
              <w:bottom w:val="single" w:sz="4" w:space="0" w:color="2E74B5"/>
              <w:right w:val="single" w:sz="4" w:space="0" w:color="2E74B5"/>
            </w:tcBorders>
            <w:shd w:val="clear" w:color="auto" w:fill="auto"/>
          </w:tcPr>
          <w:p w14:paraId="39C2DA2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1.875 €</w:t>
            </w:r>
          </w:p>
        </w:tc>
        <w:tc>
          <w:tcPr>
            <w:tcW w:w="1134" w:type="dxa"/>
            <w:tcBorders>
              <w:top w:val="nil"/>
              <w:left w:val="nil"/>
              <w:bottom w:val="single" w:sz="4" w:space="0" w:color="2E74B5"/>
              <w:right w:val="single" w:sz="4" w:space="0" w:color="2E74B5"/>
            </w:tcBorders>
            <w:shd w:val="clear" w:color="auto" w:fill="auto"/>
          </w:tcPr>
          <w:p w14:paraId="0337E2E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22.504 €</w:t>
            </w:r>
          </w:p>
        </w:tc>
        <w:tc>
          <w:tcPr>
            <w:tcW w:w="1164" w:type="dxa"/>
            <w:tcBorders>
              <w:top w:val="nil"/>
              <w:left w:val="nil"/>
              <w:bottom w:val="single" w:sz="4" w:space="0" w:color="2E74B5"/>
              <w:right w:val="single" w:sz="4" w:space="0" w:color="2E74B5"/>
            </w:tcBorders>
            <w:shd w:val="clear" w:color="auto" w:fill="auto"/>
          </w:tcPr>
          <w:p w14:paraId="1207D45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206" w:type="dxa"/>
            <w:tcBorders>
              <w:top w:val="nil"/>
              <w:left w:val="nil"/>
              <w:bottom w:val="single" w:sz="4" w:space="0" w:color="2E74B5"/>
              <w:right w:val="single" w:sz="4" w:space="0" w:color="2E74B5"/>
            </w:tcBorders>
            <w:shd w:val="clear" w:color="auto" w:fill="auto"/>
          </w:tcPr>
          <w:p w14:paraId="5169D81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32%</w:t>
            </w:r>
          </w:p>
        </w:tc>
      </w:tr>
      <w:tr w:rsidR="00F5315C" w14:paraId="4DEC5E49"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0EF81C1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4" w:space="0" w:color="2E74B5"/>
              <w:right w:val="single" w:sz="4" w:space="0" w:color="2E74B5"/>
            </w:tcBorders>
            <w:shd w:val="clear" w:color="auto" w:fill="auto"/>
            <w:vAlign w:val="bottom"/>
          </w:tcPr>
          <w:p w14:paraId="5F5A93B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134" w:type="dxa"/>
            <w:tcBorders>
              <w:top w:val="nil"/>
              <w:left w:val="nil"/>
              <w:bottom w:val="single" w:sz="4" w:space="0" w:color="2E74B5"/>
              <w:right w:val="single" w:sz="4" w:space="0" w:color="2E74B5"/>
            </w:tcBorders>
            <w:shd w:val="clear" w:color="auto" w:fill="auto"/>
          </w:tcPr>
          <w:p w14:paraId="30E0D86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5,67 €</w:t>
            </w:r>
          </w:p>
        </w:tc>
        <w:tc>
          <w:tcPr>
            <w:tcW w:w="1134" w:type="dxa"/>
            <w:tcBorders>
              <w:top w:val="nil"/>
              <w:left w:val="nil"/>
              <w:bottom w:val="single" w:sz="4" w:space="0" w:color="2E74B5"/>
              <w:right w:val="single" w:sz="4" w:space="0" w:color="2E74B5"/>
            </w:tcBorders>
            <w:shd w:val="clear" w:color="auto" w:fill="auto"/>
          </w:tcPr>
          <w:p w14:paraId="3CD9A40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5.443 €</w:t>
            </w:r>
          </w:p>
        </w:tc>
        <w:tc>
          <w:tcPr>
            <w:tcW w:w="1134" w:type="dxa"/>
            <w:tcBorders>
              <w:top w:val="nil"/>
              <w:left w:val="nil"/>
              <w:bottom w:val="single" w:sz="4" w:space="0" w:color="2E74B5"/>
              <w:right w:val="single" w:sz="4" w:space="0" w:color="2E74B5"/>
            </w:tcBorders>
            <w:shd w:val="clear" w:color="auto" w:fill="auto"/>
          </w:tcPr>
          <w:p w14:paraId="04759EF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1.873 €</w:t>
            </w:r>
          </w:p>
        </w:tc>
        <w:tc>
          <w:tcPr>
            <w:tcW w:w="1134" w:type="dxa"/>
            <w:tcBorders>
              <w:top w:val="nil"/>
              <w:left w:val="nil"/>
              <w:bottom w:val="single" w:sz="4" w:space="0" w:color="2E74B5"/>
              <w:right w:val="single" w:sz="4" w:space="0" w:color="2E74B5"/>
            </w:tcBorders>
            <w:shd w:val="clear" w:color="auto" w:fill="auto"/>
          </w:tcPr>
          <w:p w14:paraId="2F614DF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22.470 €</w:t>
            </w:r>
          </w:p>
        </w:tc>
        <w:tc>
          <w:tcPr>
            <w:tcW w:w="1164" w:type="dxa"/>
            <w:tcBorders>
              <w:top w:val="nil"/>
              <w:left w:val="nil"/>
              <w:bottom w:val="single" w:sz="4" w:space="0" w:color="2E74B5"/>
              <w:right w:val="single" w:sz="4" w:space="0" w:color="2E74B5"/>
            </w:tcBorders>
            <w:shd w:val="clear" w:color="auto" w:fill="auto"/>
          </w:tcPr>
          <w:p w14:paraId="42F7DDF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0%</w:t>
            </w:r>
          </w:p>
        </w:tc>
        <w:tc>
          <w:tcPr>
            <w:tcW w:w="1206" w:type="dxa"/>
            <w:tcBorders>
              <w:top w:val="nil"/>
              <w:left w:val="nil"/>
              <w:bottom w:val="single" w:sz="4" w:space="0" w:color="2E74B5"/>
              <w:right w:val="single" w:sz="4" w:space="0" w:color="2E74B5"/>
            </w:tcBorders>
            <w:shd w:val="clear" w:color="auto" w:fill="auto"/>
          </w:tcPr>
          <w:p w14:paraId="3A0ADDD1"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24%</w:t>
            </w:r>
          </w:p>
        </w:tc>
      </w:tr>
      <w:tr w:rsidR="00F5315C" w14:paraId="54212A1D"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7FE9FBAB"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4E68D79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134" w:type="dxa"/>
            <w:tcBorders>
              <w:top w:val="nil"/>
              <w:left w:val="nil"/>
              <w:bottom w:val="single" w:sz="4" w:space="0" w:color="2E74B5"/>
              <w:right w:val="single" w:sz="4" w:space="0" w:color="2E74B5"/>
            </w:tcBorders>
            <w:shd w:val="clear" w:color="auto" w:fill="auto"/>
          </w:tcPr>
          <w:p w14:paraId="2722A6A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6,35 €</w:t>
            </w:r>
          </w:p>
        </w:tc>
        <w:tc>
          <w:tcPr>
            <w:tcW w:w="1134" w:type="dxa"/>
            <w:tcBorders>
              <w:top w:val="nil"/>
              <w:left w:val="nil"/>
              <w:bottom w:val="single" w:sz="4" w:space="0" w:color="2E74B5"/>
              <w:right w:val="single" w:sz="4" w:space="0" w:color="2E74B5"/>
            </w:tcBorders>
            <w:shd w:val="clear" w:color="auto" w:fill="auto"/>
          </w:tcPr>
          <w:p w14:paraId="7760FBE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6.096 €</w:t>
            </w:r>
          </w:p>
        </w:tc>
        <w:tc>
          <w:tcPr>
            <w:tcW w:w="1134" w:type="dxa"/>
            <w:tcBorders>
              <w:top w:val="nil"/>
              <w:left w:val="nil"/>
              <w:bottom w:val="single" w:sz="4" w:space="0" w:color="2E74B5"/>
              <w:right w:val="single" w:sz="4" w:space="0" w:color="2E74B5"/>
            </w:tcBorders>
            <w:shd w:val="clear" w:color="auto" w:fill="auto"/>
          </w:tcPr>
          <w:p w14:paraId="5EAC006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2.038 €</w:t>
            </w:r>
          </w:p>
        </w:tc>
        <w:tc>
          <w:tcPr>
            <w:tcW w:w="1134" w:type="dxa"/>
            <w:tcBorders>
              <w:top w:val="nil"/>
              <w:left w:val="nil"/>
              <w:bottom w:val="single" w:sz="4" w:space="0" w:color="2E74B5"/>
              <w:right w:val="single" w:sz="4" w:space="0" w:color="2E74B5"/>
            </w:tcBorders>
            <w:shd w:val="clear" w:color="auto" w:fill="auto"/>
          </w:tcPr>
          <w:p w14:paraId="0798D15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24.457 €</w:t>
            </w:r>
          </w:p>
        </w:tc>
        <w:tc>
          <w:tcPr>
            <w:tcW w:w="1164" w:type="dxa"/>
            <w:tcBorders>
              <w:top w:val="nil"/>
              <w:left w:val="nil"/>
              <w:bottom w:val="single" w:sz="4" w:space="0" w:color="2E74B5"/>
              <w:right w:val="single" w:sz="4" w:space="0" w:color="2E74B5"/>
            </w:tcBorders>
            <w:shd w:val="clear" w:color="auto" w:fill="auto"/>
          </w:tcPr>
          <w:p w14:paraId="0CA34FC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26%</w:t>
            </w:r>
          </w:p>
        </w:tc>
        <w:tc>
          <w:tcPr>
            <w:tcW w:w="1206" w:type="dxa"/>
            <w:tcBorders>
              <w:top w:val="nil"/>
              <w:left w:val="nil"/>
              <w:bottom w:val="single" w:sz="4" w:space="0" w:color="2E74B5"/>
              <w:right w:val="single" w:sz="4" w:space="0" w:color="2E74B5"/>
            </w:tcBorders>
            <w:shd w:val="clear" w:color="auto" w:fill="auto"/>
          </w:tcPr>
          <w:p w14:paraId="7038F52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25%</w:t>
            </w:r>
          </w:p>
        </w:tc>
      </w:tr>
      <w:tr w:rsidR="00F5315C" w14:paraId="1C5D57BB"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175971A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5D6ADD33"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134" w:type="dxa"/>
            <w:tcBorders>
              <w:top w:val="nil"/>
              <w:left w:val="nil"/>
              <w:bottom w:val="single" w:sz="4" w:space="0" w:color="2E74B5"/>
              <w:right w:val="single" w:sz="4" w:space="0" w:color="2E74B5"/>
            </w:tcBorders>
            <w:shd w:val="clear" w:color="auto" w:fill="auto"/>
          </w:tcPr>
          <w:p w14:paraId="67B4E82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5,37 €</w:t>
            </w:r>
          </w:p>
        </w:tc>
        <w:tc>
          <w:tcPr>
            <w:tcW w:w="1134" w:type="dxa"/>
            <w:tcBorders>
              <w:top w:val="nil"/>
              <w:left w:val="nil"/>
              <w:bottom w:val="single" w:sz="4" w:space="0" w:color="2E74B5"/>
              <w:right w:val="single" w:sz="4" w:space="0" w:color="2E74B5"/>
            </w:tcBorders>
            <w:shd w:val="clear" w:color="auto" w:fill="auto"/>
          </w:tcPr>
          <w:p w14:paraId="223C3A2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5.155 €</w:t>
            </w:r>
          </w:p>
        </w:tc>
        <w:tc>
          <w:tcPr>
            <w:tcW w:w="1134" w:type="dxa"/>
            <w:tcBorders>
              <w:top w:val="nil"/>
              <w:left w:val="nil"/>
              <w:bottom w:val="single" w:sz="4" w:space="0" w:color="2E74B5"/>
              <w:right w:val="single" w:sz="4" w:space="0" w:color="2E74B5"/>
            </w:tcBorders>
            <w:shd w:val="clear" w:color="auto" w:fill="auto"/>
          </w:tcPr>
          <w:p w14:paraId="7B90A7C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2.083 €</w:t>
            </w:r>
          </w:p>
        </w:tc>
        <w:tc>
          <w:tcPr>
            <w:tcW w:w="1134" w:type="dxa"/>
            <w:tcBorders>
              <w:top w:val="nil"/>
              <w:left w:val="nil"/>
              <w:bottom w:val="single" w:sz="4" w:space="0" w:color="2E74B5"/>
              <w:right w:val="single" w:sz="4" w:space="0" w:color="2E74B5"/>
            </w:tcBorders>
            <w:shd w:val="clear" w:color="auto" w:fill="auto"/>
          </w:tcPr>
          <w:p w14:paraId="7781C93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24.997 €</w:t>
            </w:r>
          </w:p>
        </w:tc>
        <w:tc>
          <w:tcPr>
            <w:tcW w:w="1164" w:type="dxa"/>
            <w:tcBorders>
              <w:top w:val="nil"/>
              <w:left w:val="nil"/>
              <w:bottom w:val="single" w:sz="4" w:space="0" w:color="2E74B5"/>
              <w:right w:val="single" w:sz="4" w:space="0" w:color="2E74B5"/>
            </w:tcBorders>
            <w:shd w:val="clear" w:color="auto" w:fill="auto"/>
          </w:tcPr>
          <w:p w14:paraId="4912603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w:t>
            </w:r>
          </w:p>
        </w:tc>
        <w:tc>
          <w:tcPr>
            <w:tcW w:w="1206" w:type="dxa"/>
            <w:tcBorders>
              <w:top w:val="nil"/>
              <w:left w:val="nil"/>
              <w:bottom w:val="single" w:sz="4" w:space="0" w:color="2E74B5"/>
              <w:right w:val="single" w:sz="4" w:space="0" w:color="2E74B5"/>
            </w:tcBorders>
            <w:shd w:val="clear" w:color="auto" w:fill="auto"/>
          </w:tcPr>
          <w:p w14:paraId="6101C7DD"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21%</w:t>
            </w:r>
          </w:p>
        </w:tc>
      </w:tr>
      <w:tr w:rsidR="00F5315C" w14:paraId="46FFC20A"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3FB70BB"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2020A0E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134" w:type="dxa"/>
            <w:tcBorders>
              <w:top w:val="nil"/>
              <w:left w:val="nil"/>
              <w:bottom w:val="single" w:sz="4" w:space="0" w:color="2E74B5"/>
              <w:right w:val="single" w:sz="4" w:space="0" w:color="2E74B5"/>
            </w:tcBorders>
            <w:shd w:val="clear" w:color="auto" w:fill="auto"/>
          </w:tcPr>
          <w:p w14:paraId="1ECAB2F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7,21 €</w:t>
            </w:r>
          </w:p>
        </w:tc>
        <w:tc>
          <w:tcPr>
            <w:tcW w:w="1134" w:type="dxa"/>
            <w:tcBorders>
              <w:top w:val="nil"/>
              <w:left w:val="nil"/>
              <w:bottom w:val="single" w:sz="4" w:space="0" w:color="2E74B5"/>
              <w:right w:val="single" w:sz="4" w:space="0" w:color="2E74B5"/>
            </w:tcBorders>
            <w:shd w:val="clear" w:color="auto" w:fill="auto"/>
          </w:tcPr>
          <w:p w14:paraId="6141564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6.922 €</w:t>
            </w:r>
          </w:p>
        </w:tc>
        <w:tc>
          <w:tcPr>
            <w:tcW w:w="1134" w:type="dxa"/>
            <w:tcBorders>
              <w:top w:val="nil"/>
              <w:left w:val="nil"/>
              <w:bottom w:val="single" w:sz="4" w:space="0" w:color="2E74B5"/>
              <w:right w:val="single" w:sz="4" w:space="0" w:color="2E74B5"/>
            </w:tcBorders>
            <w:shd w:val="clear" w:color="auto" w:fill="auto"/>
          </w:tcPr>
          <w:p w14:paraId="229878E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2.010 €</w:t>
            </w:r>
          </w:p>
        </w:tc>
        <w:tc>
          <w:tcPr>
            <w:tcW w:w="1134" w:type="dxa"/>
            <w:tcBorders>
              <w:top w:val="nil"/>
              <w:left w:val="nil"/>
              <w:bottom w:val="single" w:sz="4" w:space="0" w:color="2E74B5"/>
              <w:right w:val="single" w:sz="4" w:space="0" w:color="2E74B5"/>
            </w:tcBorders>
            <w:shd w:val="clear" w:color="auto" w:fill="auto"/>
          </w:tcPr>
          <w:p w14:paraId="4E6300D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24.118 €</w:t>
            </w:r>
          </w:p>
        </w:tc>
        <w:tc>
          <w:tcPr>
            <w:tcW w:w="1164" w:type="dxa"/>
            <w:tcBorders>
              <w:top w:val="nil"/>
              <w:left w:val="nil"/>
              <w:bottom w:val="single" w:sz="4" w:space="0" w:color="2E74B5"/>
              <w:right w:val="single" w:sz="4" w:space="0" w:color="2E74B5"/>
            </w:tcBorders>
            <w:shd w:val="clear" w:color="auto" w:fill="auto"/>
          </w:tcPr>
          <w:p w14:paraId="472450E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w:t>
            </w:r>
          </w:p>
        </w:tc>
        <w:tc>
          <w:tcPr>
            <w:tcW w:w="1206" w:type="dxa"/>
            <w:tcBorders>
              <w:top w:val="nil"/>
              <w:left w:val="nil"/>
              <w:bottom w:val="single" w:sz="4" w:space="0" w:color="2E74B5"/>
              <w:right w:val="single" w:sz="4" w:space="0" w:color="2E74B5"/>
            </w:tcBorders>
            <w:shd w:val="clear" w:color="auto" w:fill="auto"/>
          </w:tcPr>
          <w:p w14:paraId="573FD5F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29%</w:t>
            </w:r>
          </w:p>
        </w:tc>
      </w:tr>
      <w:tr w:rsidR="00F5315C" w14:paraId="5B1D3B67"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5CC3CFA6"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5F02013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134" w:type="dxa"/>
            <w:tcBorders>
              <w:top w:val="nil"/>
              <w:left w:val="nil"/>
              <w:bottom w:val="single" w:sz="4" w:space="0" w:color="2E74B5"/>
              <w:right w:val="single" w:sz="4" w:space="0" w:color="2E74B5"/>
            </w:tcBorders>
            <w:shd w:val="clear" w:color="auto" w:fill="auto"/>
          </w:tcPr>
          <w:p w14:paraId="6AF5D37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7,53 €</w:t>
            </w:r>
          </w:p>
        </w:tc>
        <w:tc>
          <w:tcPr>
            <w:tcW w:w="1134" w:type="dxa"/>
            <w:tcBorders>
              <w:top w:val="nil"/>
              <w:left w:val="nil"/>
              <w:bottom w:val="single" w:sz="4" w:space="0" w:color="2E74B5"/>
              <w:right w:val="single" w:sz="4" w:space="0" w:color="2E74B5"/>
            </w:tcBorders>
            <w:shd w:val="clear" w:color="auto" w:fill="auto"/>
          </w:tcPr>
          <w:p w14:paraId="73BDEA9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7.229 €</w:t>
            </w:r>
          </w:p>
        </w:tc>
        <w:tc>
          <w:tcPr>
            <w:tcW w:w="1134" w:type="dxa"/>
            <w:tcBorders>
              <w:top w:val="nil"/>
              <w:left w:val="nil"/>
              <w:bottom w:val="single" w:sz="4" w:space="0" w:color="2E74B5"/>
              <w:right w:val="single" w:sz="4" w:space="0" w:color="2E74B5"/>
            </w:tcBorders>
            <w:shd w:val="clear" w:color="auto" w:fill="auto"/>
          </w:tcPr>
          <w:p w14:paraId="57DEBBB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1.873 €</w:t>
            </w:r>
          </w:p>
        </w:tc>
        <w:tc>
          <w:tcPr>
            <w:tcW w:w="1134" w:type="dxa"/>
            <w:tcBorders>
              <w:top w:val="nil"/>
              <w:left w:val="nil"/>
              <w:bottom w:val="single" w:sz="4" w:space="0" w:color="2E74B5"/>
              <w:right w:val="single" w:sz="4" w:space="0" w:color="2E74B5"/>
            </w:tcBorders>
            <w:shd w:val="clear" w:color="auto" w:fill="auto"/>
          </w:tcPr>
          <w:p w14:paraId="16D523B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22.470 €</w:t>
            </w:r>
          </w:p>
        </w:tc>
        <w:tc>
          <w:tcPr>
            <w:tcW w:w="1164" w:type="dxa"/>
            <w:tcBorders>
              <w:top w:val="nil"/>
              <w:left w:val="nil"/>
              <w:bottom w:val="single" w:sz="4" w:space="0" w:color="2E74B5"/>
              <w:right w:val="single" w:sz="4" w:space="0" w:color="2E74B5"/>
            </w:tcBorders>
            <w:shd w:val="clear" w:color="auto" w:fill="auto"/>
          </w:tcPr>
          <w:p w14:paraId="09C900F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31%</w:t>
            </w:r>
          </w:p>
        </w:tc>
        <w:tc>
          <w:tcPr>
            <w:tcW w:w="1206" w:type="dxa"/>
            <w:tcBorders>
              <w:top w:val="nil"/>
              <w:left w:val="nil"/>
              <w:bottom w:val="single" w:sz="4" w:space="0" w:color="2E74B5"/>
              <w:right w:val="single" w:sz="4" w:space="0" w:color="2E74B5"/>
            </w:tcBorders>
            <w:shd w:val="clear" w:color="auto" w:fill="auto"/>
          </w:tcPr>
          <w:p w14:paraId="7F362458"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32%</w:t>
            </w:r>
          </w:p>
        </w:tc>
      </w:tr>
      <w:tr w:rsidR="00F5315C" w14:paraId="340C1622"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0B7CCCF1"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4DCEE9F4"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134" w:type="dxa"/>
            <w:tcBorders>
              <w:top w:val="nil"/>
              <w:left w:val="nil"/>
              <w:bottom w:val="single" w:sz="4" w:space="0" w:color="2E74B5"/>
              <w:right w:val="single" w:sz="4" w:space="0" w:color="2E74B5"/>
            </w:tcBorders>
            <w:shd w:val="clear" w:color="auto" w:fill="auto"/>
          </w:tcPr>
          <w:p w14:paraId="15F21C8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6,51 €</w:t>
            </w:r>
          </w:p>
        </w:tc>
        <w:tc>
          <w:tcPr>
            <w:tcW w:w="1134" w:type="dxa"/>
            <w:tcBorders>
              <w:top w:val="nil"/>
              <w:left w:val="nil"/>
              <w:bottom w:val="single" w:sz="4" w:space="0" w:color="2E74B5"/>
              <w:right w:val="single" w:sz="4" w:space="0" w:color="2E74B5"/>
            </w:tcBorders>
            <w:shd w:val="clear" w:color="auto" w:fill="auto"/>
          </w:tcPr>
          <w:p w14:paraId="043CDCD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6.250 €</w:t>
            </w:r>
          </w:p>
        </w:tc>
        <w:tc>
          <w:tcPr>
            <w:tcW w:w="1134" w:type="dxa"/>
            <w:tcBorders>
              <w:top w:val="nil"/>
              <w:left w:val="nil"/>
              <w:bottom w:val="single" w:sz="4" w:space="0" w:color="2E74B5"/>
              <w:right w:val="single" w:sz="4" w:space="0" w:color="2E74B5"/>
            </w:tcBorders>
            <w:shd w:val="clear" w:color="auto" w:fill="auto"/>
          </w:tcPr>
          <w:p w14:paraId="2DF17C6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1.900 €</w:t>
            </w:r>
          </w:p>
        </w:tc>
        <w:tc>
          <w:tcPr>
            <w:tcW w:w="1134" w:type="dxa"/>
            <w:tcBorders>
              <w:top w:val="nil"/>
              <w:left w:val="nil"/>
              <w:bottom w:val="single" w:sz="4" w:space="0" w:color="2E74B5"/>
              <w:right w:val="single" w:sz="4" w:space="0" w:color="2E74B5"/>
            </w:tcBorders>
            <w:shd w:val="clear" w:color="auto" w:fill="auto"/>
          </w:tcPr>
          <w:p w14:paraId="243F244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22.806 €</w:t>
            </w:r>
          </w:p>
        </w:tc>
        <w:tc>
          <w:tcPr>
            <w:tcW w:w="1164" w:type="dxa"/>
            <w:tcBorders>
              <w:top w:val="nil"/>
              <w:left w:val="nil"/>
              <w:bottom w:val="single" w:sz="4" w:space="0" w:color="2E74B5"/>
              <w:right w:val="single" w:sz="4" w:space="0" w:color="2E74B5"/>
            </w:tcBorders>
            <w:shd w:val="clear" w:color="auto" w:fill="auto"/>
          </w:tcPr>
          <w:p w14:paraId="255FD15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29%</w:t>
            </w:r>
          </w:p>
        </w:tc>
        <w:tc>
          <w:tcPr>
            <w:tcW w:w="1206" w:type="dxa"/>
            <w:tcBorders>
              <w:top w:val="nil"/>
              <w:left w:val="nil"/>
              <w:bottom w:val="single" w:sz="4" w:space="0" w:color="2E74B5"/>
              <w:right w:val="single" w:sz="4" w:space="0" w:color="2E74B5"/>
            </w:tcBorders>
            <w:shd w:val="clear" w:color="auto" w:fill="auto"/>
          </w:tcPr>
          <w:p w14:paraId="67EE1798"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27%</w:t>
            </w:r>
          </w:p>
        </w:tc>
      </w:tr>
      <w:tr w:rsidR="00F5315C" w14:paraId="2B504572"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EB9F01D"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4" w:space="0" w:color="2E74B5"/>
              <w:right w:val="single" w:sz="4" w:space="0" w:color="2E74B5"/>
            </w:tcBorders>
            <w:shd w:val="clear" w:color="auto" w:fill="auto"/>
            <w:vAlign w:val="bottom"/>
          </w:tcPr>
          <w:p w14:paraId="4E3D799A"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134" w:type="dxa"/>
            <w:tcBorders>
              <w:top w:val="nil"/>
              <w:left w:val="nil"/>
              <w:bottom w:val="single" w:sz="4" w:space="0" w:color="2E74B5"/>
              <w:right w:val="single" w:sz="4" w:space="0" w:color="2E74B5"/>
            </w:tcBorders>
            <w:shd w:val="clear" w:color="auto" w:fill="auto"/>
          </w:tcPr>
          <w:p w14:paraId="276EE67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16,10 €</w:t>
            </w:r>
          </w:p>
        </w:tc>
        <w:tc>
          <w:tcPr>
            <w:tcW w:w="1134" w:type="dxa"/>
            <w:tcBorders>
              <w:top w:val="nil"/>
              <w:left w:val="nil"/>
              <w:bottom w:val="single" w:sz="4" w:space="0" w:color="2E74B5"/>
              <w:right w:val="single" w:sz="4" w:space="0" w:color="2E74B5"/>
            </w:tcBorders>
            <w:shd w:val="clear" w:color="auto" w:fill="auto"/>
          </w:tcPr>
          <w:p w14:paraId="648BE45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15.456 €</w:t>
            </w:r>
          </w:p>
        </w:tc>
        <w:tc>
          <w:tcPr>
            <w:tcW w:w="1134" w:type="dxa"/>
            <w:tcBorders>
              <w:top w:val="nil"/>
              <w:left w:val="nil"/>
              <w:bottom w:val="single" w:sz="4" w:space="0" w:color="2E74B5"/>
              <w:right w:val="single" w:sz="4" w:space="0" w:color="2E74B5"/>
            </w:tcBorders>
            <w:shd w:val="clear" w:color="auto" w:fill="auto"/>
          </w:tcPr>
          <w:p w14:paraId="65C4465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2.073 €</w:t>
            </w:r>
          </w:p>
        </w:tc>
        <w:tc>
          <w:tcPr>
            <w:tcW w:w="1134" w:type="dxa"/>
            <w:tcBorders>
              <w:top w:val="nil"/>
              <w:left w:val="nil"/>
              <w:bottom w:val="single" w:sz="4" w:space="0" w:color="2E74B5"/>
              <w:right w:val="single" w:sz="4" w:space="0" w:color="2E74B5"/>
            </w:tcBorders>
            <w:shd w:val="clear" w:color="auto" w:fill="auto"/>
          </w:tcPr>
          <w:p w14:paraId="35CB0B7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24.876 €</w:t>
            </w:r>
          </w:p>
        </w:tc>
        <w:tc>
          <w:tcPr>
            <w:tcW w:w="1164" w:type="dxa"/>
            <w:tcBorders>
              <w:top w:val="nil"/>
              <w:left w:val="nil"/>
              <w:bottom w:val="single" w:sz="4" w:space="0" w:color="2E74B5"/>
              <w:right w:val="single" w:sz="4" w:space="0" w:color="2E74B5"/>
            </w:tcBorders>
            <w:shd w:val="clear" w:color="auto" w:fill="auto"/>
          </w:tcPr>
          <w:p w14:paraId="49838CE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57%</w:t>
            </w:r>
          </w:p>
        </w:tc>
        <w:tc>
          <w:tcPr>
            <w:tcW w:w="1206" w:type="dxa"/>
            <w:tcBorders>
              <w:top w:val="nil"/>
              <w:left w:val="nil"/>
              <w:bottom w:val="single" w:sz="4" w:space="0" w:color="2E74B5"/>
              <w:right w:val="single" w:sz="4" w:space="0" w:color="2E74B5"/>
            </w:tcBorders>
            <w:shd w:val="clear" w:color="auto" w:fill="auto"/>
          </w:tcPr>
          <w:p w14:paraId="56C05380"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62%</w:t>
            </w:r>
          </w:p>
        </w:tc>
      </w:tr>
      <w:tr w:rsidR="00F5315C" w14:paraId="2BA6BA67"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184E82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4" w:space="0" w:color="2E74B5"/>
              <w:right w:val="single" w:sz="4" w:space="0" w:color="2E74B5"/>
            </w:tcBorders>
            <w:shd w:val="clear" w:color="auto" w:fill="auto"/>
            <w:vAlign w:val="bottom"/>
          </w:tcPr>
          <w:p w14:paraId="22C9F8E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134" w:type="dxa"/>
            <w:tcBorders>
              <w:top w:val="nil"/>
              <w:left w:val="nil"/>
              <w:bottom w:val="single" w:sz="4" w:space="0" w:color="2E74B5"/>
              <w:right w:val="single" w:sz="4" w:space="0" w:color="2E74B5"/>
            </w:tcBorders>
            <w:shd w:val="clear" w:color="auto" w:fill="auto"/>
          </w:tcPr>
          <w:p w14:paraId="395F8C1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11,15 €</w:t>
            </w:r>
          </w:p>
        </w:tc>
        <w:tc>
          <w:tcPr>
            <w:tcW w:w="1134" w:type="dxa"/>
            <w:tcBorders>
              <w:top w:val="nil"/>
              <w:left w:val="nil"/>
              <w:bottom w:val="single" w:sz="4" w:space="0" w:color="2E74B5"/>
              <w:right w:val="single" w:sz="4" w:space="0" w:color="2E74B5"/>
            </w:tcBorders>
            <w:shd w:val="clear" w:color="auto" w:fill="auto"/>
          </w:tcPr>
          <w:p w14:paraId="218F239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10.704 €</w:t>
            </w:r>
          </w:p>
        </w:tc>
        <w:tc>
          <w:tcPr>
            <w:tcW w:w="1134" w:type="dxa"/>
            <w:tcBorders>
              <w:top w:val="nil"/>
              <w:left w:val="nil"/>
              <w:bottom w:val="single" w:sz="4" w:space="0" w:color="2E74B5"/>
              <w:right w:val="single" w:sz="4" w:space="0" w:color="2E74B5"/>
            </w:tcBorders>
            <w:shd w:val="clear" w:color="auto" w:fill="auto"/>
          </w:tcPr>
          <w:p w14:paraId="0B54C5F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1.927 €</w:t>
            </w:r>
          </w:p>
        </w:tc>
        <w:tc>
          <w:tcPr>
            <w:tcW w:w="1134" w:type="dxa"/>
            <w:tcBorders>
              <w:top w:val="nil"/>
              <w:left w:val="nil"/>
              <w:bottom w:val="single" w:sz="4" w:space="0" w:color="2E74B5"/>
              <w:right w:val="single" w:sz="4" w:space="0" w:color="2E74B5"/>
            </w:tcBorders>
            <w:shd w:val="clear" w:color="auto" w:fill="auto"/>
          </w:tcPr>
          <w:p w14:paraId="4E3AC54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23.129 €</w:t>
            </w:r>
          </w:p>
        </w:tc>
        <w:tc>
          <w:tcPr>
            <w:tcW w:w="1164" w:type="dxa"/>
            <w:tcBorders>
              <w:top w:val="nil"/>
              <w:left w:val="nil"/>
              <w:bottom w:val="single" w:sz="4" w:space="0" w:color="2E74B5"/>
              <w:right w:val="single" w:sz="4" w:space="0" w:color="2E74B5"/>
            </w:tcBorders>
            <w:shd w:val="clear" w:color="auto" w:fill="auto"/>
          </w:tcPr>
          <w:p w14:paraId="3FB02CD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41%</w:t>
            </w:r>
          </w:p>
        </w:tc>
        <w:tc>
          <w:tcPr>
            <w:tcW w:w="1206" w:type="dxa"/>
            <w:tcBorders>
              <w:top w:val="nil"/>
              <w:left w:val="nil"/>
              <w:bottom w:val="single" w:sz="4" w:space="0" w:color="2E74B5"/>
              <w:right w:val="single" w:sz="4" w:space="0" w:color="2E74B5"/>
            </w:tcBorders>
            <w:shd w:val="clear" w:color="auto" w:fill="auto"/>
          </w:tcPr>
          <w:p w14:paraId="64B5C07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46%</w:t>
            </w:r>
          </w:p>
        </w:tc>
      </w:tr>
      <w:tr w:rsidR="00F5315C" w14:paraId="33D1FE8C"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3649DB5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4" w:space="0" w:color="2E74B5"/>
              <w:right w:val="single" w:sz="4" w:space="0" w:color="2E74B5"/>
            </w:tcBorders>
            <w:shd w:val="clear" w:color="auto" w:fill="auto"/>
            <w:vAlign w:val="bottom"/>
          </w:tcPr>
          <w:p w14:paraId="4A70248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134" w:type="dxa"/>
            <w:tcBorders>
              <w:top w:val="nil"/>
              <w:left w:val="nil"/>
              <w:bottom w:val="single" w:sz="4" w:space="0" w:color="2E74B5"/>
              <w:right w:val="single" w:sz="4" w:space="0" w:color="2E74B5"/>
            </w:tcBorders>
            <w:shd w:val="clear" w:color="auto" w:fill="auto"/>
          </w:tcPr>
          <w:p w14:paraId="4B35D79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7,29 €</w:t>
            </w:r>
          </w:p>
        </w:tc>
        <w:tc>
          <w:tcPr>
            <w:tcW w:w="1134" w:type="dxa"/>
            <w:tcBorders>
              <w:top w:val="nil"/>
              <w:left w:val="nil"/>
              <w:bottom w:val="single" w:sz="4" w:space="0" w:color="2E74B5"/>
              <w:right w:val="single" w:sz="4" w:space="0" w:color="2E74B5"/>
            </w:tcBorders>
            <w:shd w:val="clear" w:color="auto" w:fill="auto"/>
          </w:tcPr>
          <w:p w14:paraId="6B9C641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6.998 €</w:t>
            </w:r>
          </w:p>
        </w:tc>
        <w:tc>
          <w:tcPr>
            <w:tcW w:w="1134" w:type="dxa"/>
            <w:tcBorders>
              <w:top w:val="nil"/>
              <w:left w:val="nil"/>
              <w:bottom w:val="single" w:sz="4" w:space="0" w:color="2E74B5"/>
              <w:right w:val="single" w:sz="4" w:space="0" w:color="2E74B5"/>
            </w:tcBorders>
            <w:shd w:val="clear" w:color="auto" w:fill="auto"/>
          </w:tcPr>
          <w:p w14:paraId="69B8B4F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1.903 €</w:t>
            </w:r>
          </w:p>
        </w:tc>
        <w:tc>
          <w:tcPr>
            <w:tcW w:w="1134" w:type="dxa"/>
            <w:tcBorders>
              <w:top w:val="nil"/>
              <w:left w:val="nil"/>
              <w:bottom w:val="single" w:sz="4" w:space="0" w:color="2E74B5"/>
              <w:right w:val="single" w:sz="4" w:space="0" w:color="2E74B5"/>
            </w:tcBorders>
            <w:shd w:val="clear" w:color="auto" w:fill="auto"/>
          </w:tcPr>
          <w:p w14:paraId="6E02AC0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22.839 €</w:t>
            </w:r>
          </w:p>
        </w:tc>
        <w:tc>
          <w:tcPr>
            <w:tcW w:w="1164" w:type="dxa"/>
            <w:tcBorders>
              <w:top w:val="nil"/>
              <w:left w:val="nil"/>
              <w:bottom w:val="single" w:sz="4" w:space="0" w:color="2E74B5"/>
              <w:right w:val="single" w:sz="4" w:space="0" w:color="2E74B5"/>
            </w:tcBorders>
            <w:shd w:val="clear" w:color="auto" w:fill="auto"/>
          </w:tcPr>
          <w:p w14:paraId="778DD1D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30%</w:t>
            </w:r>
          </w:p>
        </w:tc>
        <w:tc>
          <w:tcPr>
            <w:tcW w:w="1206" w:type="dxa"/>
            <w:tcBorders>
              <w:top w:val="nil"/>
              <w:left w:val="nil"/>
              <w:bottom w:val="single" w:sz="4" w:space="0" w:color="2E74B5"/>
              <w:right w:val="single" w:sz="4" w:space="0" w:color="2E74B5"/>
            </w:tcBorders>
            <w:shd w:val="clear" w:color="auto" w:fill="auto"/>
          </w:tcPr>
          <w:p w14:paraId="16B834E5"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31%</w:t>
            </w:r>
          </w:p>
        </w:tc>
      </w:tr>
      <w:tr w:rsidR="00F5315C" w14:paraId="1710B2FF"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1A1F140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4" w:space="0" w:color="2E74B5"/>
              <w:right w:val="single" w:sz="4" w:space="0" w:color="2E74B5"/>
            </w:tcBorders>
            <w:shd w:val="clear" w:color="auto" w:fill="auto"/>
            <w:vAlign w:val="bottom"/>
          </w:tcPr>
          <w:p w14:paraId="35504236"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134" w:type="dxa"/>
            <w:tcBorders>
              <w:top w:val="nil"/>
              <w:left w:val="nil"/>
              <w:bottom w:val="single" w:sz="4" w:space="0" w:color="2E74B5"/>
              <w:right w:val="single" w:sz="4" w:space="0" w:color="2E74B5"/>
            </w:tcBorders>
            <w:shd w:val="clear" w:color="auto" w:fill="auto"/>
          </w:tcPr>
          <w:p w14:paraId="6308DA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9,15 €</w:t>
            </w:r>
          </w:p>
        </w:tc>
        <w:tc>
          <w:tcPr>
            <w:tcW w:w="1134" w:type="dxa"/>
            <w:tcBorders>
              <w:top w:val="nil"/>
              <w:left w:val="nil"/>
              <w:bottom w:val="single" w:sz="4" w:space="0" w:color="2E74B5"/>
              <w:right w:val="single" w:sz="4" w:space="0" w:color="2E74B5"/>
            </w:tcBorders>
            <w:shd w:val="clear" w:color="auto" w:fill="auto"/>
          </w:tcPr>
          <w:p w14:paraId="65A5B70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8.784 €</w:t>
            </w:r>
          </w:p>
        </w:tc>
        <w:tc>
          <w:tcPr>
            <w:tcW w:w="1134" w:type="dxa"/>
            <w:tcBorders>
              <w:top w:val="nil"/>
              <w:left w:val="nil"/>
              <w:bottom w:val="single" w:sz="4" w:space="0" w:color="2E74B5"/>
              <w:right w:val="single" w:sz="4" w:space="0" w:color="2E74B5"/>
            </w:tcBorders>
            <w:shd w:val="clear" w:color="auto" w:fill="auto"/>
          </w:tcPr>
          <w:p w14:paraId="216C3FF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1.962 €</w:t>
            </w:r>
          </w:p>
        </w:tc>
        <w:tc>
          <w:tcPr>
            <w:tcW w:w="1134" w:type="dxa"/>
            <w:tcBorders>
              <w:top w:val="nil"/>
              <w:left w:val="nil"/>
              <w:bottom w:val="single" w:sz="4" w:space="0" w:color="2E74B5"/>
              <w:right w:val="single" w:sz="4" w:space="0" w:color="2E74B5"/>
            </w:tcBorders>
            <w:shd w:val="clear" w:color="auto" w:fill="auto"/>
          </w:tcPr>
          <w:p w14:paraId="50DFDE0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23.541 €</w:t>
            </w:r>
          </w:p>
        </w:tc>
        <w:tc>
          <w:tcPr>
            <w:tcW w:w="1164" w:type="dxa"/>
            <w:tcBorders>
              <w:top w:val="nil"/>
              <w:left w:val="nil"/>
              <w:bottom w:val="single" w:sz="4" w:space="0" w:color="2E74B5"/>
              <w:right w:val="single" w:sz="4" w:space="0" w:color="2E74B5"/>
            </w:tcBorders>
            <w:shd w:val="clear" w:color="auto" w:fill="auto"/>
          </w:tcPr>
          <w:p w14:paraId="375645F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33%</w:t>
            </w:r>
          </w:p>
        </w:tc>
        <w:tc>
          <w:tcPr>
            <w:tcW w:w="1206" w:type="dxa"/>
            <w:tcBorders>
              <w:top w:val="nil"/>
              <w:left w:val="nil"/>
              <w:bottom w:val="single" w:sz="4" w:space="0" w:color="2E74B5"/>
              <w:right w:val="single" w:sz="4" w:space="0" w:color="2E74B5"/>
            </w:tcBorders>
            <w:shd w:val="clear" w:color="auto" w:fill="auto"/>
          </w:tcPr>
          <w:p w14:paraId="03C77CF0"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37%</w:t>
            </w:r>
          </w:p>
        </w:tc>
      </w:tr>
      <w:tr w:rsidR="00F5315C" w14:paraId="33785264"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76AF8FC3"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417" w:type="dxa"/>
            <w:tcBorders>
              <w:top w:val="nil"/>
              <w:left w:val="nil"/>
              <w:bottom w:val="single" w:sz="4" w:space="0" w:color="2E74B5"/>
              <w:right w:val="single" w:sz="4" w:space="0" w:color="2E74B5"/>
            </w:tcBorders>
            <w:shd w:val="clear" w:color="auto" w:fill="auto"/>
            <w:vAlign w:val="bottom"/>
          </w:tcPr>
          <w:p w14:paraId="482B35B5"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134" w:type="dxa"/>
            <w:tcBorders>
              <w:top w:val="nil"/>
              <w:left w:val="nil"/>
              <w:bottom w:val="single" w:sz="4" w:space="0" w:color="2E74B5"/>
              <w:right w:val="single" w:sz="4" w:space="0" w:color="2E74B5"/>
            </w:tcBorders>
            <w:shd w:val="clear" w:color="auto" w:fill="auto"/>
          </w:tcPr>
          <w:p w14:paraId="3CB842F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9,82 €</w:t>
            </w:r>
          </w:p>
        </w:tc>
        <w:tc>
          <w:tcPr>
            <w:tcW w:w="1134" w:type="dxa"/>
            <w:tcBorders>
              <w:top w:val="nil"/>
              <w:left w:val="nil"/>
              <w:bottom w:val="single" w:sz="4" w:space="0" w:color="2E74B5"/>
              <w:right w:val="single" w:sz="4" w:space="0" w:color="2E74B5"/>
            </w:tcBorders>
            <w:shd w:val="clear" w:color="auto" w:fill="auto"/>
          </w:tcPr>
          <w:p w14:paraId="03EE9C6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9.427 €</w:t>
            </w:r>
          </w:p>
        </w:tc>
        <w:tc>
          <w:tcPr>
            <w:tcW w:w="1134" w:type="dxa"/>
            <w:tcBorders>
              <w:top w:val="nil"/>
              <w:left w:val="nil"/>
              <w:bottom w:val="single" w:sz="4" w:space="0" w:color="2E74B5"/>
              <w:right w:val="single" w:sz="4" w:space="0" w:color="2E74B5"/>
            </w:tcBorders>
            <w:shd w:val="clear" w:color="auto" w:fill="auto"/>
          </w:tcPr>
          <w:p w14:paraId="73F319F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1.851 €</w:t>
            </w:r>
          </w:p>
        </w:tc>
        <w:tc>
          <w:tcPr>
            <w:tcW w:w="1134" w:type="dxa"/>
            <w:tcBorders>
              <w:top w:val="nil"/>
              <w:left w:val="nil"/>
              <w:bottom w:val="single" w:sz="4" w:space="0" w:color="2E74B5"/>
              <w:right w:val="single" w:sz="4" w:space="0" w:color="2E74B5"/>
            </w:tcBorders>
            <w:shd w:val="clear" w:color="auto" w:fill="auto"/>
          </w:tcPr>
          <w:p w14:paraId="5038374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22.208 €</w:t>
            </w:r>
          </w:p>
        </w:tc>
        <w:tc>
          <w:tcPr>
            <w:tcW w:w="1164" w:type="dxa"/>
            <w:tcBorders>
              <w:top w:val="nil"/>
              <w:left w:val="nil"/>
              <w:bottom w:val="single" w:sz="4" w:space="0" w:color="2E74B5"/>
              <w:right w:val="single" w:sz="4" w:space="0" w:color="2E74B5"/>
            </w:tcBorders>
            <w:shd w:val="clear" w:color="auto" w:fill="auto"/>
          </w:tcPr>
          <w:p w14:paraId="17AD861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33%</w:t>
            </w:r>
          </w:p>
        </w:tc>
        <w:tc>
          <w:tcPr>
            <w:tcW w:w="1206" w:type="dxa"/>
            <w:tcBorders>
              <w:top w:val="nil"/>
              <w:left w:val="nil"/>
              <w:bottom w:val="single" w:sz="4" w:space="0" w:color="2E74B5"/>
              <w:right w:val="single" w:sz="4" w:space="0" w:color="2E74B5"/>
            </w:tcBorders>
            <w:shd w:val="clear" w:color="auto" w:fill="auto"/>
          </w:tcPr>
          <w:p w14:paraId="76FF193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42%</w:t>
            </w:r>
          </w:p>
        </w:tc>
      </w:tr>
      <w:tr w:rsidR="00F5315C" w14:paraId="0D287E95"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29FD8B5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417" w:type="dxa"/>
            <w:tcBorders>
              <w:top w:val="nil"/>
              <w:left w:val="nil"/>
              <w:bottom w:val="single" w:sz="4" w:space="0" w:color="2E74B5"/>
              <w:right w:val="single" w:sz="4" w:space="0" w:color="2E74B5"/>
            </w:tcBorders>
            <w:shd w:val="clear" w:color="auto" w:fill="auto"/>
            <w:vAlign w:val="bottom"/>
          </w:tcPr>
          <w:p w14:paraId="7ED7473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134" w:type="dxa"/>
            <w:tcBorders>
              <w:top w:val="nil"/>
              <w:left w:val="nil"/>
              <w:bottom w:val="single" w:sz="4" w:space="0" w:color="2E74B5"/>
              <w:right w:val="single" w:sz="4" w:space="0" w:color="2E74B5"/>
            </w:tcBorders>
            <w:shd w:val="clear" w:color="auto" w:fill="auto"/>
          </w:tcPr>
          <w:p w14:paraId="23D5100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7,07 €</w:t>
            </w:r>
          </w:p>
        </w:tc>
        <w:tc>
          <w:tcPr>
            <w:tcW w:w="1134" w:type="dxa"/>
            <w:tcBorders>
              <w:top w:val="nil"/>
              <w:left w:val="nil"/>
              <w:bottom w:val="single" w:sz="4" w:space="0" w:color="2E74B5"/>
              <w:right w:val="single" w:sz="4" w:space="0" w:color="2E74B5"/>
            </w:tcBorders>
            <w:shd w:val="clear" w:color="auto" w:fill="auto"/>
          </w:tcPr>
          <w:p w14:paraId="3FD4DC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6.787 €</w:t>
            </w:r>
          </w:p>
        </w:tc>
        <w:tc>
          <w:tcPr>
            <w:tcW w:w="1134" w:type="dxa"/>
            <w:tcBorders>
              <w:top w:val="nil"/>
              <w:left w:val="nil"/>
              <w:bottom w:val="single" w:sz="4" w:space="0" w:color="2E74B5"/>
              <w:right w:val="single" w:sz="4" w:space="0" w:color="2E74B5"/>
            </w:tcBorders>
            <w:shd w:val="clear" w:color="auto" w:fill="auto"/>
          </w:tcPr>
          <w:p w14:paraId="640E5E1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2.021 €</w:t>
            </w:r>
          </w:p>
        </w:tc>
        <w:tc>
          <w:tcPr>
            <w:tcW w:w="1134" w:type="dxa"/>
            <w:tcBorders>
              <w:top w:val="nil"/>
              <w:left w:val="nil"/>
              <w:bottom w:val="single" w:sz="4" w:space="0" w:color="2E74B5"/>
              <w:right w:val="single" w:sz="4" w:space="0" w:color="2E74B5"/>
            </w:tcBorders>
            <w:shd w:val="clear" w:color="auto" w:fill="auto"/>
          </w:tcPr>
          <w:p w14:paraId="163C92B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24.253 €</w:t>
            </w:r>
          </w:p>
        </w:tc>
        <w:tc>
          <w:tcPr>
            <w:tcW w:w="1164" w:type="dxa"/>
            <w:tcBorders>
              <w:top w:val="nil"/>
              <w:left w:val="nil"/>
              <w:bottom w:val="single" w:sz="4" w:space="0" w:color="2E74B5"/>
              <w:right w:val="single" w:sz="4" w:space="0" w:color="2E74B5"/>
            </w:tcBorders>
            <w:shd w:val="clear" w:color="auto" w:fill="auto"/>
          </w:tcPr>
          <w:p w14:paraId="2CD541B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28%</w:t>
            </w:r>
          </w:p>
        </w:tc>
        <w:tc>
          <w:tcPr>
            <w:tcW w:w="1206" w:type="dxa"/>
            <w:tcBorders>
              <w:top w:val="nil"/>
              <w:left w:val="nil"/>
              <w:bottom w:val="single" w:sz="4" w:space="0" w:color="2E74B5"/>
              <w:right w:val="single" w:sz="4" w:space="0" w:color="2E74B5"/>
            </w:tcBorders>
            <w:shd w:val="clear" w:color="auto" w:fill="auto"/>
          </w:tcPr>
          <w:p w14:paraId="0C46A4A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28%</w:t>
            </w:r>
          </w:p>
        </w:tc>
      </w:tr>
      <w:tr w:rsidR="00F5315C" w14:paraId="427EB456"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658CC5A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417" w:type="dxa"/>
            <w:tcBorders>
              <w:top w:val="nil"/>
              <w:left w:val="nil"/>
              <w:bottom w:val="single" w:sz="4" w:space="0" w:color="2E74B5"/>
              <w:right w:val="single" w:sz="4" w:space="0" w:color="2E74B5"/>
            </w:tcBorders>
            <w:shd w:val="clear" w:color="auto" w:fill="auto"/>
            <w:vAlign w:val="bottom"/>
          </w:tcPr>
          <w:p w14:paraId="6487D2B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134" w:type="dxa"/>
            <w:tcBorders>
              <w:top w:val="nil"/>
              <w:left w:val="nil"/>
              <w:bottom w:val="single" w:sz="4" w:space="0" w:color="2E74B5"/>
              <w:right w:val="single" w:sz="4" w:space="0" w:color="2E74B5"/>
            </w:tcBorders>
            <w:shd w:val="clear" w:color="auto" w:fill="auto"/>
          </w:tcPr>
          <w:p w14:paraId="49AA922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10,94 €</w:t>
            </w:r>
          </w:p>
        </w:tc>
        <w:tc>
          <w:tcPr>
            <w:tcW w:w="1134" w:type="dxa"/>
            <w:tcBorders>
              <w:top w:val="nil"/>
              <w:left w:val="nil"/>
              <w:bottom w:val="single" w:sz="4" w:space="0" w:color="2E74B5"/>
              <w:right w:val="single" w:sz="4" w:space="0" w:color="2E74B5"/>
            </w:tcBorders>
            <w:shd w:val="clear" w:color="auto" w:fill="auto"/>
          </w:tcPr>
          <w:p w14:paraId="2FB6222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10.502 €</w:t>
            </w:r>
          </w:p>
        </w:tc>
        <w:tc>
          <w:tcPr>
            <w:tcW w:w="1134" w:type="dxa"/>
            <w:tcBorders>
              <w:top w:val="nil"/>
              <w:left w:val="nil"/>
              <w:bottom w:val="single" w:sz="4" w:space="0" w:color="2E74B5"/>
              <w:right w:val="single" w:sz="4" w:space="0" w:color="2E74B5"/>
            </w:tcBorders>
            <w:shd w:val="clear" w:color="auto" w:fill="auto"/>
          </w:tcPr>
          <w:p w14:paraId="79485A2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1.927 €</w:t>
            </w:r>
          </w:p>
        </w:tc>
        <w:tc>
          <w:tcPr>
            <w:tcW w:w="1134" w:type="dxa"/>
            <w:tcBorders>
              <w:top w:val="nil"/>
              <w:left w:val="nil"/>
              <w:bottom w:val="single" w:sz="4" w:space="0" w:color="2E74B5"/>
              <w:right w:val="single" w:sz="4" w:space="0" w:color="2E74B5"/>
            </w:tcBorders>
            <w:shd w:val="clear" w:color="auto" w:fill="auto"/>
          </w:tcPr>
          <w:p w14:paraId="67B66D6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23.126 €</w:t>
            </w:r>
          </w:p>
        </w:tc>
        <w:tc>
          <w:tcPr>
            <w:tcW w:w="1164" w:type="dxa"/>
            <w:tcBorders>
              <w:top w:val="nil"/>
              <w:left w:val="nil"/>
              <w:bottom w:val="single" w:sz="4" w:space="0" w:color="2E74B5"/>
              <w:right w:val="single" w:sz="4" w:space="0" w:color="2E74B5"/>
            </w:tcBorders>
            <w:shd w:val="clear" w:color="auto" w:fill="auto"/>
          </w:tcPr>
          <w:p w14:paraId="5C907C0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40%</w:t>
            </w:r>
          </w:p>
        </w:tc>
        <w:tc>
          <w:tcPr>
            <w:tcW w:w="1206" w:type="dxa"/>
            <w:tcBorders>
              <w:top w:val="nil"/>
              <w:left w:val="nil"/>
              <w:bottom w:val="single" w:sz="4" w:space="0" w:color="2E74B5"/>
              <w:right w:val="single" w:sz="4" w:space="0" w:color="2E74B5"/>
            </w:tcBorders>
            <w:shd w:val="clear" w:color="auto" w:fill="auto"/>
          </w:tcPr>
          <w:p w14:paraId="2DF2464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45%</w:t>
            </w:r>
          </w:p>
        </w:tc>
      </w:tr>
      <w:tr w:rsidR="00F5315C" w14:paraId="0DD7DBAB"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11D916F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tcBorders>
              <w:top w:val="nil"/>
              <w:left w:val="nil"/>
              <w:bottom w:val="single" w:sz="4" w:space="0" w:color="2E74B5"/>
              <w:right w:val="single" w:sz="4" w:space="0" w:color="2E74B5"/>
            </w:tcBorders>
            <w:shd w:val="clear" w:color="auto" w:fill="auto"/>
            <w:vAlign w:val="bottom"/>
          </w:tcPr>
          <w:p w14:paraId="5052E5C2"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134" w:type="dxa"/>
            <w:tcBorders>
              <w:top w:val="nil"/>
              <w:left w:val="nil"/>
              <w:bottom w:val="single" w:sz="4" w:space="0" w:color="2E74B5"/>
              <w:right w:val="single" w:sz="4" w:space="0" w:color="2E74B5"/>
            </w:tcBorders>
            <w:shd w:val="clear" w:color="auto" w:fill="auto"/>
          </w:tcPr>
          <w:p w14:paraId="1745302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6,33 €</w:t>
            </w:r>
          </w:p>
        </w:tc>
        <w:tc>
          <w:tcPr>
            <w:tcW w:w="1134" w:type="dxa"/>
            <w:tcBorders>
              <w:top w:val="nil"/>
              <w:left w:val="nil"/>
              <w:bottom w:val="single" w:sz="4" w:space="0" w:color="2E74B5"/>
              <w:right w:val="single" w:sz="4" w:space="0" w:color="2E74B5"/>
            </w:tcBorders>
            <w:shd w:val="clear" w:color="auto" w:fill="auto"/>
          </w:tcPr>
          <w:p w14:paraId="5453FDA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6.077 €</w:t>
            </w:r>
          </w:p>
        </w:tc>
        <w:tc>
          <w:tcPr>
            <w:tcW w:w="1134" w:type="dxa"/>
            <w:tcBorders>
              <w:top w:val="nil"/>
              <w:left w:val="nil"/>
              <w:bottom w:val="single" w:sz="4" w:space="0" w:color="2E74B5"/>
              <w:right w:val="single" w:sz="4" w:space="0" w:color="2E74B5"/>
            </w:tcBorders>
            <w:shd w:val="clear" w:color="auto" w:fill="auto"/>
          </w:tcPr>
          <w:p w14:paraId="3536310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1.887 €</w:t>
            </w:r>
          </w:p>
        </w:tc>
        <w:tc>
          <w:tcPr>
            <w:tcW w:w="1134" w:type="dxa"/>
            <w:tcBorders>
              <w:top w:val="nil"/>
              <w:left w:val="nil"/>
              <w:bottom w:val="single" w:sz="4" w:space="0" w:color="2E74B5"/>
              <w:right w:val="single" w:sz="4" w:space="0" w:color="2E74B5"/>
            </w:tcBorders>
            <w:shd w:val="clear" w:color="auto" w:fill="auto"/>
          </w:tcPr>
          <w:p w14:paraId="7B03B91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22.639 €</w:t>
            </w:r>
          </w:p>
        </w:tc>
        <w:tc>
          <w:tcPr>
            <w:tcW w:w="1164" w:type="dxa"/>
            <w:tcBorders>
              <w:top w:val="nil"/>
              <w:left w:val="nil"/>
              <w:bottom w:val="single" w:sz="4" w:space="0" w:color="2E74B5"/>
              <w:right w:val="single" w:sz="4" w:space="0" w:color="2E74B5"/>
            </w:tcBorders>
            <w:shd w:val="clear" w:color="auto" w:fill="auto"/>
          </w:tcPr>
          <w:p w14:paraId="58DFFE7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26%</w:t>
            </w:r>
          </w:p>
        </w:tc>
        <w:tc>
          <w:tcPr>
            <w:tcW w:w="1206" w:type="dxa"/>
            <w:tcBorders>
              <w:top w:val="nil"/>
              <w:left w:val="nil"/>
              <w:bottom w:val="single" w:sz="4" w:space="0" w:color="2E74B5"/>
              <w:right w:val="single" w:sz="4" w:space="0" w:color="2E74B5"/>
            </w:tcBorders>
            <w:shd w:val="clear" w:color="auto" w:fill="auto"/>
          </w:tcPr>
          <w:p w14:paraId="24312EA9"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27%</w:t>
            </w:r>
          </w:p>
        </w:tc>
      </w:tr>
      <w:tr w:rsidR="00F5315C" w14:paraId="06503CF6"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2D12F38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tcBorders>
              <w:top w:val="nil"/>
              <w:left w:val="nil"/>
              <w:bottom w:val="single" w:sz="4" w:space="0" w:color="2E74B5"/>
              <w:right w:val="single" w:sz="4" w:space="0" w:color="2E74B5"/>
            </w:tcBorders>
            <w:shd w:val="clear" w:color="auto" w:fill="auto"/>
            <w:vAlign w:val="bottom"/>
          </w:tcPr>
          <w:p w14:paraId="4B157C0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134" w:type="dxa"/>
            <w:tcBorders>
              <w:top w:val="nil"/>
              <w:left w:val="nil"/>
              <w:bottom w:val="single" w:sz="4" w:space="0" w:color="2E74B5"/>
              <w:right w:val="single" w:sz="4" w:space="0" w:color="2E74B5"/>
            </w:tcBorders>
            <w:shd w:val="clear" w:color="auto" w:fill="auto"/>
          </w:tcPr>
          <w:p w14:paraId="1243E74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5,51 €</w:t>
            </w:r>
          </w:p>
        </w:tc>
        <w:tc>
          <w:tcPr>
            <w:tcW w:w="1134" w:type="dxa"/>
            <w:tcBorders>
              <w:top w:val="nil"/>
              <w:left w:val="nil"/>
              <w:bottom w:val="single" w:sz="4" w:space="0" w:color="2E74B5"/>
              <w:right w:val="single" w:sz="4" w:space="0" w:color="2E74B5"/>
            </w:tcBorders>
            <w:shd w:val="clear" w:color="auto" w:fill="auto"/>
          </w:tcPr>
          <w:p w14:paraId="520CFE6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5.290 €</w:t>
            </w:r>
          </w:p>
        </w:tc>
        <w:tc>
          <w:tcPr>
            <w:tcW w:w="1134" w:type="dxa"/>
            <w:tcBorders>
              <w:top w:val="nil"/>
              <w:left w:val="nil"/>
              <w:bottom w:val="single" w:sz="4" w:space="0" w:color="2E74B5"/>
              <w:right w:val="single" w:sz="4" w:space="0" w:color="2E74B5"/>
            </w:tcBorders>
            <w:shd w:val="clear" w:color="auto" w:fill="auto"/>
          </w:tcPr>
          <w:p w14:paraId="5788FE0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1.945 €</w:t>
            </w:r>
          </w:p>
        </w:tc>
        <w:tc>
          <w:tcPr>
            <w:tcW w:w="1134" w:type="dxa"/>
            <w:tcBorders>
              <w:top w:val="nil"/>
              <w:left w:val="nil"/>
              <w:bottom w:val="single" w:sz="4" w:space="0" w:color="2E74B5"/>
              <w:right w:val="single" w:sz="4" w:space="0" w:color="2E74B5"/>
            </w:tcBorders>
            <w:shd w:val="clear" w:color="auto" w:fill="auto"/>
          </w:tcPr>
          <w:p w14:paraId="3D85298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23.336 €</w:t>
            </w:r>
          </w:p>
        </w:tc>
        <w:tc>
          <w:tcPr>
            <w:tcW w:w="1164" w:type="dxa"/>
            <w:tcBorders>
              <w:top w:val="nil"/>
              <w:left w:val="nil"/>
              <w:bottom w:val="single" w:sz="4" w:space="0" w:color="2E74B5"/>
              <w:right w:val="single" w:sz="4" w:space="0" w:color="2E74B5"/>
            </w:tcBorders>
            <w:shd w:val="clear" w:color="auto" w:fill="auto"/>
          </w:tcPr>
          <w:p w14:paraId="38961C1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w:t>
            </w:r>
          </w:p>
        </w:tc>
        <w:tc>
          <w:tcPr>
            <w:tcW w:w="1206" w:type="dxa"/>
            <w:tcBorders>
              <w:top w:val="nil"/>
              <w:left w:val="nil"/>
              <w:bottom w:val="single" w:sz="4" w:space="0" w:color="2E74B5"/>
              <w:right w:val="single" w:sz="4" w:space="0" w:color="2E74B5"/>
            </w:tcBorders>
            <w:shd w:val="clear" w:color="auto" w:fill="auto"/>
          </w:tcPr>
          <w:p w14:paraId="71C0A39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23%</w:t>
            </w:r>
          </w:p>
        </w:tc>
      </w:tr>
      <w:tr w:rsidR="00F5315C" w14:paraId="13DB41B4"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4F3F54E6"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4" w:space="0" w:color="2E74B5"/>
              <w:right w:val="single" w:sz="4" w:space="0" w:color="2E74B5"/>
            </w:tcBorders>
            <w:shd w:val="clear" w:color="auto" w:fill="auto"/>
            <w:vAlign w:val="bottom"/>
          </w:tcPr>
          <w:p w14:paraId="4BA8E9D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134" w:type="dxa"/>
            <w:tcBorders>
              <w:top w:val="nil"/>
              <w:left w:val="nil"/>
              <w:bottom w:val="single" w:sz="4" w:space="0" w:color="2E74B5"/>
              <w:right w:val="single" w:sz="4" w:space="0" w:color="2E74B5"/>
            </w:tcBorders>
            <w:shd w:val="clear" w:color="auto" w:fill="auto"/>
          </w:tcPr>
          <w:p w14:paraId="2A20120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7,85 €</w:t>
            </w:r>
          </w:p>
        </w:tc>
        <w:tc>
          <w:tcPr>
            <w:tcW w:w="1134" w:type="dxa"/>
            <w:tcBorders>
              <w:top w:val="nil"/>
              <w:left w:val="nil"/>
              <w:bottom w:val="single" w:sz="4" w:space="0" w:color="2E74B5"/>
              <w:right w:val="single" w:sz="4" w:space="0" w:color="2E74B5"/>
            </w:tcBorders>
            <w:shd w:val="clear" w:color="auto" w:fill="auto"/>
          </w:tcPr>
          <w:p w14:paraId="2B61965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7.536 €</w:t>
            </w:r>
          </w:p>
        </w:tc>
        <w:tc>
          <w:tcPr>
            <w:tcW w:w="1134" w:type="dxa"/>
            <w:tcBorders>
              <w:top w:val="nil"/>
              <w:left w:val="nil"/>
              <w:bottom w:val="single" w:sz="4" w:space="0" w:color="2E74B5"/>
              <w:right w:val="single" w:sz="4" w:space="0" w:color="2E74B5"/>
            </w:tcBorders>
            <w:shd w:val="clear" w:color="auto" w:fill="auto"/>
          </w:tcPr>
          <w:p w14:paraId="59D0D5E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1.869 €</w:t>
            </w:r>
          </w:p>
        </w:tc>
        <w:tc>
          <w:tcPr>
            <w:tcW w:w="1134" w:type="dxa"/>
            <w:tcBorders>
              <w:top w:val="nil"/>
              <w:left w:val="nil"/>
              <w:bottom w:val="single" w:sz="4" w:space="0" w:color="2E74B5"/>
              <w:right w:val="single" w:sz="4" w:space="0" w:color="2E74B5"/>
            </w:tcBorders>
            <w:shd w:val="clear" w:color="auto" w:fill="auto"/>
          </w:tcPr>
          <w:p w14:paraId="3BABD4E4"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22.429 €</w:t>
            </w:r>
          </w:p>
        </w:tc>
        <w:tc>
          <w:tcPr>
            <w:tcW w:w="1164" w:type="dxa"/>
            <w:tcBorders>
              <w:top w:val="nil"/>
              <w:left w:val="nil"/>
              <w:bottom w:val="single" w:sz="4" w:space="0" w:color="2E74B5"/>
              <w:right w:val="single" w:sz="4" w:space="0" w:color="2E74B5"/>
            </w:tcBorders>
            <w:shd w:val="clear" w:color="auto" w:fill="auto"/>
          </w:tcPr>
          <w:p w14:paraId="4A1308F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206" w:type="dxa"/>
            <w:tcBorders>
              <w:top w:val="nil"/>
              <w:left w:val="nil"/>
              <w:bottom w:val="single" w:sz="4" w:space="0" w:color="2E74B5"/>
              <w:right w:val="single" w:sz="4" w:space="0" w:color="2E74B5"/>
            </w:tcBorders>
            <w:shd w:val="clear" w:color="auto" w:fill="auto"/>
          </w:tcPr>
          <w:p w14:paraId="574BD94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34%</w:t>
            </w:r>
          </w:p>
        </w:tc>
      </w:tr>
      <w:tr w:rsidR="00F5315C" w14:paraId="09B15A57"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5D743FC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4" w:space="0" w:color="2E74B5"/>
              <w:right w:val="single" w:sz="4" w:space="0" w:color="2E74B5"/>
            </w:tcBorders>
            <w:shd w:val="clear" w:color="auto" w:fill="auto"/>
            <w:vAlign w:val="bottom"/>
          </w:tcPr>
          <w:p w14:paraId="4FBE8CC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134" w:type="dxa"/>
            <w:tcBorders>
              <w:top w:val="nil"/>
              <w:left w:val="nil"/>
              <w:bottom w:val="single" w:sz="4" w:space="0" w:color="2E74B5"/>
              <w:right w:val="single" w:sz="4" w:space="0" w:color="2E74B5"/>
            </w:tcBorders>
            <w:shd w:val="clear" w:color="auto" w:fill="auto"/>
          </w:tcPr>
          <w:p w14:paraId="5C2B9AF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6,51 €</w:t>
            </w:r>
          </w:p>
        </w:tc>
        <w:tc>
          <w:tcPr>
            <w:tcW w:w="1134" w:type="dxa"/>
            <w:tcBorders>
              <w:top w:val="nil"/>
              <w:left w:val="nil"/>
              <w:bottom w:val="single" w:sz="4" w:space="0" w:color="2E74B5"/>
              <w:right w:val="single" w:sz="4" w:space="0" w:color="2E74B5"/>
            </w:tcBorders>
            <w:shd w:val="clear" w:color="auto" w:fill="auto"/>
          </w:tcPr>
          <w:p w14:paraId="0FE3D19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6.250 €</w:t>
            </w:r>
          </w:p>
        </w:tc>
        <w:tc>
          <w:tcPr>
            <w:tcW w:w="1134" w:type="dxa"/>
            <w:tcBorders>
              <w:top w:val="nil"/>
              <w:left w:val="nil"/>
              <w:bottom w:val="single" w:sz="4" w:space="0" w:color="2E74B5"/>
              <w:right w:val="single" w:sz="4" w:space="0" w:color="2E74B5"/>
            </w:tcBorders>
            <w:shd w:val="clear" w:color="auto" w:fill="auto"/>
          </w:tcPr>
          <w:p w14:paraId="31EB5C2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1.759 €</w:t>
            </w:r>
          </w:p>
        </w:tc>
        <w:tc>
          <w:tcPr>
            <w:tcW w:w="1134" w:type="dxa"/>
            <w:tcBorders>
              <w:top w:val="nil"/>
              <w:left w:val="nil"/>
              <w:bottom w:val="single" w:sz="4" w:space="0" w:color="2E74B5"/>
              <w:right w:val="single" w:sz="4" w:space="0" w:color="2E74B5"/>
            </w:tcBorders>
            <w:shd w:val="clear" w:color="auto" w:fill="auto"/>
          </w:tcPr>
          <w:p w14:paraId="2D3A172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21.109 €</w:t>
            </w:r>
          </w:p>
        </w:tc>
        <w:tc>
          <w:tcPr>
            <w:tcW w:w="1164" w:type="dxa"/>
            <w:tcBorders>
              <w:top w:val="nil"/>
              <w:left w:val="nil"/>
              <w:bottom w:val="single" w:sz="4" w:space="0" w:color="2E74B5"/>
              <w:right w:val="single" w:sz="4" w:space="0" w:color="2E74B5"/>
            </w:tcBorders>
            <w:shd w:val="clear" w:color="auto" w:fill="auto"/>
          </w:tcPr>
          <w:p w14:paraId="28974A1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28%</w:t>
            </w:r>
          </w:p>
        </w:tc>
        <w:tc>
          <w:tcPr>
            <w:tcW w:w="1206" w:type="dxa"/>
            <w:tcBorders>
              <w:top w:val="nil"/>
              <w:left w:val="nil"/>
              <w:bottom w:val="single" w:sz="4" w:space="0" w:color="2E74B5"/>
              <w:right w:val="single" w:sz="4" w:space="0" w:color="2E74B5"/>
            </w:tcBorders>
            <w:shd w:val="clear" w:color="auto" w:fill="auto"/>
          </w:tcPr>
          <w:p w14:paraId="4F018DF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30%</w:t>
            </w:r>
          </w:p>
        </w:tc>
      </w:tr>
      <w:tr w:rsidR="00F5315C" w14:paraId="4C128952" w14:textId="77777777" w:rsidTr="0074741D">
        <w:trPr>
          <w:trHeight w:val="253"/>
        </w:trPr>
        <w:tc>
          <w:tcPr>
            <w:tcW w:w="1560" w:type="dxa"/>
            <w:tcBorders>
              <w:top w:val="nil"/>
              <w:left w:val="single" w:sz="4" w:space="0" w:color="2E74B5"/>
              <w:bottom w:val="single" w:sz="4" w:space="0" w:color="2E74B5"/>
              <w:right w:val="single" w:sz="4" w:space="0" w:color="2E74B5"/>
            </w:tcBorders>
            <w:shd w:val="clear" w:color="auto" w:fill="9CC2E5"/>
            <w:vAlign w:val="bottom"/>
          </w:tcPr>
          <w:p w14:paraId="73E361E4"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4" w:space="0" w:color="2E74B5"/>
              <w:right w:val="single" w:sz="4" w:space="0" w:color="2E74B5"/>
            </w:tcBorders>
            <w:shd w:val="clear" w:color="auto" w:fill="auto"/>
            <w:vAlign w:val="bottom"/>
          </w:tcPr>
          <w:p w14:paraId="752F610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134" w:type="dxa"/>
            <w:tcBorders>
              <w:top w:val="nil"/>
              <w:left w:val="nil"/>
              <w:bottom w:val="single" w:sz="4" w:space="0" w:color="2E74B5"/>
              <w:right w:val="single" w:sz="4" w:space="0" w:color="2E74B5"/>
            </w:tcBorders>
            <w:shd w:val="clear" w:color="auto" w:fill="auto"/>
          </w:tcPr>
          <w:p w14:paraId="35AB78C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6,35 €</w:t>
            </w:r>
          </w:p>
        </w:tc>
        <w:tc>
          <w:tcPr>
            <w:tcW w:w="1134" w:type="dxa"/>
            <w:tcBorders>
              <w:top w:val="nil"/>
              <w:left w:val="nil"/>
              <w:bottom w:val="single" w:sz="4" w:space="0" w:color="2E74B5"/>
              <w:right w:val="single" w:sz="4" w:space="0" w:color="2E74B5"/>
            </w:tcBorders>
            <w:shd w:val="clear" w:color="auto" w:fill="auto"/>
          </w:tcPr>
          <w:p w14:paraId="0E446B2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6.096 €</w:t>
            </w:r>
          </w:p>
        </w:tc>
        <w:tc>
          <w:tcPr>
            <w:tcW w:w="1134" w:type="dxa"/>
            <w:tcBorders>
              <w:top w:val="nil"/>
              <w:left w:val="nil"/>
              <w:bottom w:val="single" w:sz="4" w:space="0" w:color="2E74B5"/>
              <w:right w:val="single" w:sz="4" w:space="0" w:color="2E74B5"/>
            </w:tcBorders>
            <w:shd w:val="clear" w:color="auto" w:fill="auto"/>
          </w:tcPr>
          <w:p w14:paraId="71CF148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1.872 €</w:t>
            </w:r>
          </w:p>
        </w:tc>
        <w:tc>
          <w:tcPr>
            <w:tcW w:w="1134" w:type="dxa"/>
            <w:tcBorders>
              <w:top w:val="nil"/>
              <w:left w:val="nil"/>
              <w:bottom w:val="single" w:sz="4" w:space="0" w:color="2E74B5"/>
              <w:right w:val="single" w:sz="4" w:space="0" w:color="2E74B5"/>
            </w:tcBorders>
            <w:shd w:val="clear" w:color="auto" w:fill="auto"/>
          </w:tcPr>
          <w:p w14:paraId="3054423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22.464 €</w:t>
            </w:r>
          </w:p>
        </w:tc>
        <w:tc>
          <w:tcPr>
            <w:tcW w:w="1164" w:type="dxa"/>
            <w:tcBorders>
              <w:top w:val="nil"/>
              <w:left w:val="nil"/>
              <w:bottom w:val="single" w:sz="4" w:space="0" w:color="2E74B5"/>
              <w:right w:val="single" w:sz="4" w:space="0" w:color="2E74B5"/>
            </w:tcBorders>
            <w:shd w:val="clear" w:color="auto" w:fill="auto"/>
          </w:tcPr>
          <w:p w14:paraId="2B7CD52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w:t>
            </w:r>
          </w:p>
        </w:tc>
        <w:tc>
          <w:tcPr>
            <w:tcW w:w="1206" w:type="dxa"/>
            <w:tcBorders>
              <w:top w:val="nil"/>
              <w:left w:val="nil"/>
              <w:bottom w:val="single" w:sz="4" w:space="0" w:color="2E74B5"/>
              <w:right w:val="single" w:sz="4" w:space="0" w:color="2E74B5"/>
            </w:tcBorders>
            <w:shd w:val="clear" w:color="auto" w:fill="auto"/>
          </w:tcPr>
          <w:p w14:paraId="6F091FB6"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27%</w:t>
            </w:r>
          </w:p>
        </w:tc>
      </w:tr>
      <w:tr w:rsidR="00F5315C" w14:paraId="094077D3"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7E2AE088"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4DF4C82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134" w:type="dxa"/>
            <w:tcBorders>
              <w:top w:val="single" w:sz="4" w:space="0" w:color="2E74B5"/>
              <w:left w:val="nil"/>
              <w:bottom w:val="single" w:sz="4" w:space="0" w:color="2E74B5"/>
              <w:right w:val="single" w:sz="4" w:space="0" w:color="2E74B5"/>
            </w:tcBorders>
            <w:shd w:val="clear" w:color="auto" w:fill="auto"/>
          </w:tcPr>
          <w:p w14:paraId="42AE643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8,98 €</w:t>
            </w:r>
          </w:p>
        </w:tc>
        <w:tc>
          <w:tcPr>
            <w:tcW w:w="1134" w:type="dxa"/>
            <w:tcBorders>
              <w:top w:val="single" w:sz="4" w:space="0" w:color="2E74B5"/>
              <w:left w:val="nil"/>
              <w:bottom w:val="single" w:sz="4" w:space="0" w:color="2E74B5"/>
              <w:right w:val="single" w:sz="4" w:space="0" w:color="2E74B5"/>
            </w:tcBorders>
            <w:shd w:val="clear" w:color="auto" w:fill="auto"/>
          </w:tcPr>
          <w:p w14:paraId="3748789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8.621 €</w:t>
            </w:r>
          </w:p>
        </w:tc>
        <w:tc>
          <w:tcPr>
            <w:tcW w:w="1134" w:type="dxa"/>
            <w:tcBorders>
              <w:top w:val="single" w:sz="4" w:space="0" w:color="2E74B5"/>
              <w:left w:val="nil"/>
              <w:bottom w:val="single" w:sz="4" w:space="0" w:color="2E74B5"/>
              <w:right w:val="single" w:sz="4" w:space="0" w:color="2E74B5"/>
            </w:tcBorders>
            <w:shd w:val="clear" w:color="auto" w:fill="auto"/>
          </w:tcPr>
          <w:p w14:paraId="7246F91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1.810 €</w:t>
            </w:r>
          </w:p>
        </w:tc>
        <w:tc>
          <w:tcPr>
            <w:tcW w:w="1134" w:type="dxa"/>
            <w:tcBorders>
              <w:top w:val="single" w:sz="4" w:space="0" w:color="2E74B5"/>
              <w:left w:val="nil"/>
              <w:bottom w:val="single" w:sz="4" w:space="0" w:color="2E74B5"/>
              <w:right w:val="single" w:sz="4" w:space="0" w:color="2E74B5"/>
            </w:tcBorders>
            <w:shd w:val="clear" w:color="auto" w:fill="auto"/>
          </w:tcPr>
          <w:p w14:paraId="27CDF49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21.723 €</w:t>
            </w:r>
          </w:p>
        </w:tc>
        <w:tc>
          <w:tcPr>
            <w:tcW w:w="1164" w:type="dxa"/>
            <w:tcBorders>
              <w:top w:val="single" w:sz="4" w:space="0" w:color="2E74B5"/>
              <w:left w:val="nil"/>
              <w:bottom w:val="single" w:sz="4" w:space="0" w:color="2E74B5"/>
              <w:right w:val="single" w:sz="4" w:space="0" w:color="2E74B5"/>
            </w:tcBorders>
            <w:shd w:val="clear" w:color="auto" w:fill="auto"/>
          </w:tcPr>
          <w:p w14:paraId="232C2E0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36%</w:t>
            </w:r>
          </w:p>
        </w:tc>
        <w:tc>
          <w:tcPr>
            <w:tcW w:w="1206" w:type="dxa"/>
            <w:tcBorders>
              <w:top w:val="single" w:sz="4" w:space="0" w:color="2E74B5"/>
              <w:left w:val="nil"/>
              <w:bottom w:val="single" w:sz="4" w:space="0" w:color="2E74B5"/>
              <w:right w:val="single" w:sz="4" w:space="0" w:color="2E74B5"/>
            </w:tcBorders>
            <w:shd w:val="clear" w:color="auto" w:fill="auto"/>
          </w:tcPr>
          <w:p w14:paraId="70EE83BA"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40%</w:t>
            </w:r>
          </w:p>
        </w:tc>
      </w:tr>
      <w:tr w:rsidR="00F5315C" w14:paraId="4C84D7AE"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094199D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34B8A6AD"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134" w:type="dxa"/>
            <w:tcBorders>
              <w:top w:val="single" w:sz="4" w:space="0" w:color="2E74B5"/>
              <w:left w:val="nil"/>
              <w:bottom w:val="single" w:sz="4" w:space="0" w:color="2E74B5"/>
              <w:right w:val="single" w:sz="4" w:space="0" w:color="2E74B5"/>
            </w:tcBorders>
            <w:shd w:val="clear" w:color="auto" w:fill="auto"/>
          </w:tcPr>
          <w:p w14:paraId="2ADF0A3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7,88 €</w:t>
            </w:r>
          </w:p>
        </w:tc>
        <w:tc>
          <w:tcPr>
            <w:tcW w:w="1134" w:type="dxa"/>
            <w:tcBorders>
              <w:top w:val="single" w:sz="4" w:space="0" w:color="2E74B5"/>
              <w:left w:val="nil"/>
              <w:bottom w:val="single" w:sz="4" w:space="0" w:color="2E74B5"/>
              <w:right w:val="single" w:sz="4" w:space="0" w:color="2E74B5"/>
            </w:tcBorders>
            <w:shd w:val="clear" w:color="auto" w:fill="auto"/>
          </w:tcPr>
          <w:p w14:paraId="499707B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7.565 €</w:t>
            </w:r>
          </w:p>
        </w:tc>
        <w:tc>
          <w:tcPr>
            <w:tcW w:w="1134" w:type="dxa"/>
            <w:tcBorders>
              <w:top w:val="single" w:sz="4" w:space="0" w:color="2E74B5"/>
              <w:left w:val="nil"/>
              <w:bottom w:val="single" w:sz="4" w:space="0" w:color="2E74B5"/>
              <w:right w:val="single" w:sz="4" w:space="0" w:color="2E74B5"/>
            </w:tcBorders>
            <w:shd w:val="clear" w:color="auto" w:fill="auto"/>
          </w:tcPr>
          <w:p w14:paraId="420FD25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1.897 €</w:t>
            </w:r>
          </w:p>
        </w:tc>
        <w:tc>
          <w:tcPr>
            <w:tcW w:w="1134" w:type="dxa"/>
            <w:tcBorders>
              <w:top w:val="single" w:sz="4" w:space="0" w:color="2E74B5"/>
              <w:left w:val="nil"/>
              <w:bottom w:val="single" w:sz="4" w:space="0" w:color="2E74B5"/>
              <w:right w:val="single" w:sz="4" w:space="0" w:color="2E74B5"/>
            </w:tcBorders>
            <w:shd w:val="clear" w:color="auto" w:fill="auto"/>
          </w:tcPr>
          <w:p w14:paraId="740646A6"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22.764 €</w:t>
            </w:r>
          </w:p>
        </w:tc>
        <w:tc>
          <w:tcPr>
            <w:tcW w:w="1164" w:type="dxa"/>
            <w:tcBorders>
              <w:top w:val="single" w:sz="4" w:space="0" w:color="2E74B5"/>
              <w:left w:val="nil"/>
              <w:bottom w:val="single" w:sz="4" w:space="0" w:color="2E74B5"/>
              <w:right w:val="single" w:sz="4" w:space="0" w:color="2E74B5"/>
            </w:tcBorders>
            <w:shd w:val="clear" w:color="auto" w:fill="auto"/>
          </w:tcPr>
          <w:p w14:paraId="2FD13AB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32%</w:t>
            </w:r>
          </w:p>
        </w:tc>
        <w:tc>
          <w:tcPr>
            <w:tcW w:w="1206" w:type="dxa"/>
            <w:tcBorders>
              <w:top w:val="single" w:sz="4" w:space="0" w:color="2E74B5"/>
              <w:left w:val="nil"/>
              <w:bottom w:val="single" w:sz="4" w:space="0" w:color="2E74B5"/>
              <w:right w:val="single" w:sz="4" w:space="0" w:color="2E74B5"/>
            </w:tcBorders>
            <w:shd w:val="clear" w:color="auto" w:fill="auto"/>
          </w:tcPr>
          <w:p w14:paraId="08C6C51E"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33%</w:t>
            </w:r>
          </w:p>
        </w:tc>
      </w:tr>
      <w:tr w:rsidR="00F5315C" w14:paraId="2532A7B0"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1F53088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4F79EB9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134" w:type="dxa"/>
            <w:tcBorders>
              <w:top w:val="single" w:sz="4" w:space="0" w:color="2E74B5"/>
              <w:left w:val="nil"/>
              <w:bottom w:val="single" w:sz="4" w:space="0" w:color="2E74B5"/>
              <w:right w:val="single" w:sz="4" w:space="0" w:color="2E74B5"/>
            </w:tcBorders>
            <w:shd w:val="clear" w:color="auto" w:fill="auto"/>
          </w:tcPr>
          <w:p w14:paraId="1350F36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15,42 €</w:t>
            </w:r>
          </w:p>
        </w:tc>
        <w:tc>
          <w:tcPr>
            <w:tcW w:w="1134" w:type="dxa"/>
            <w:tcBorders>
              <w:top w:val="single" w:sz="4" w:space="0" w:color="2E74B5"/>
              <w:left w:val="nil"/>
              <w:bottom w:val="single" w:sz="4" w:space="0" w:color="2E74B5"/>
              <w:right w:val="single" w:sz="4" w:space="0" w:color="2E74B5"/>
            </w:tcBorders>
            <w:shd w:val="clear" w:color="auto" w:fill="auto"/>
          </w:tcPr>
          <w:p w14:paraId="23976D1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14.803 €</w:t>
            </w:r>
          </w:p>
        </w:tc>
        <w:tc>
          <w:tcPr>
            <w:tcW w:w="1134" w:type="dxa"/>
            <w:tcBorders>
              <w:top w:val="single" w:sz="4" w:space="0" w:color="2E74B5"/>
              <w:left w:val="nil"/>
              <w:bottom w:val="single" w:sz="4" w:space="0" w:color="2E74B5"/>
              <w:right w:val="single" w:sz="4" w:space="0" w:color="2E74B5"/>
            </w:tcBorders>
            <w:shd w:val="clear" w:color="auto" w:fill="auto"/>
          </w:tcPr>
          <w:p w14:paraId="0340288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2.174 €</w:t>
            </w:r>
          </w:p>
        </w:tc>
        <w:tc>
          <w:tcPr>
            <w:tcW w:w="1134" w:type="dxa"/>
            <w:tcBorders>
              <w:top w:val="single" w:sz="4" w:space="0" w:color="2E74B5"/>
              <w:left w:val="nil"/>
              <w:bottom w:val="single" w:sz="4" w:space="0" w:color="2E74B5"/>
              <w:right w:val="single" w:sz="4" w:space="0" w:color="2E74B5"/>
            </w:tcBorders>
            <w:shd w:val="clear" w:color="auto" w:fill="auto"/>
          </w:tcPr>
          <w:p w14:paraId="4F5F867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26.084 €</w:t>
            </w:r>
          </w:p>
        </w:tc>
        <w:tc>
          <w:tcPr>
            <w:tcW w:w="1164" w:type="dxa"/>
            <w:tcBorders>
              <w:top w:val="single" w:sz="4" w:space="0" w:color="2E74B5"/>
              <w:left w:val="nil"/>
              <w:bottom w:val="single" w:sz="4" w:space="0" w:color="2E74B5"/>
              <w:right w:val="single" w:sz="4" w:space="0" w:color="2E74B5"/>
            </w:tcBorders>
            <w:shd w:val="clear" w:color="auto" w:fill="auto"/>
          </w:tcPr>
          <w:p w14:paraId="1EB6E272"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49%</w:t>
            </w:r>
          </w:p>
        </w:tc>
        <w:tc>
          <w:tcPr>
            <w:tcW w:w="1206" w:type="dxa"/>
            <w:tcBorders>
              <w:top w:val="single" w:sz="4" w:space="0" w:color="2E74B5"/>
              <w:left w:val="nil"/>
              <w:bottom w:val="single" w:sz="4" w:space="0" w:color="2E74B5"/>
              <w:right w:val="single" w:sz="4" w:space="0" w:color="2E74B5"/>
            </w:tcBorders>
            <w:shd w:val="clear" w:color="auto" w:fill="auto"/>
          </w:tcPr>
          <w:p w14:paraId="6919FE0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57%</w:t>
            </w:r>
          </w:p>
        </w:tc>
      </w:tr>
      <w:tr w:rsidR="00F5315C" w14:paraId="7507A538"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2357C250"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78C63374"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134" w:type="dxa"/>
            <w:tcBorders>
              <w:top w:val="single" w:sz="4" w:space="0" w:color="2E74B5"/>
              <w:left w:val="nil"/>
              <w:bottom w:val="single" w:sz="4" w:space="0" w:color="2E74B5"/>
              <w:right w:val="single" w:sz="4" w:space="0" w:color="2E74B5"/>
            </w:tcBorders>
            <w:shd w:val="clear" w:color="auto" w:fill="auto"/>
          </w:tcPr>
          <w:p w14:paraId="66B0D26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10,39 €</w:t>
            </w:r>
          </w:p>
        </w:tc>
        <w:tc>
          <w:tcPr>
            <w:tcW w:w="1134" w:type="dxa"/>
            <w:tcBorders>
              <w:top w:val="single" w:sz="4" w:space="0" w:color="2E74B5"/>
              <w:left w:val="nil"/>
              <w:bottom w:val="single" w:sz="4" w:space="0" w:color="2E74B5"/>
              <w:right w:val="single" w:sz="4" w:space="0" w:color="2E74B5"/>
            </w:tcBorders>
            <w:shd w:val="clear" w:color="auto" w:fill="auto"/>
          </w:tcPr>
          <w:p w14:paraId="28850E4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9.974 €</w:t>
            </w:r>
          </w:p>
        </w:tc>
        <w:tc>
          <w:tcPr>
            <w:tcW w:w="1134" w:type="dxa"/>
            <w:tcBorders>
              <w:top w:val="single" w:sz="4" w:space="0" w:color="2E74B5"/>
              <w:left w:val="nil"/>
              <w:bottom w:val="single" w:sz="4" w:space="0" w:color="2E74B5"/>
              <w:right w:val="single" w:sz="4" w:space="0" w:color="2E74B5"/>
            </w:tcBorders>
            <w:shd w:val="clear" w:color="auto" w:fill="auto"/>
          </w:tcPr>
          <w:p w14:paraId="1382084C"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2.088 €</w:t>
            </w:r>
          </w:p>
        </w:tc>
        <w:tc>
          <w:tcPr>
            <w:tcW w:w="1134" w:type="dxa"/>
            <w:tcBorders>
              <w:top w:val="single" w:sz="4" w:space="0" w:color="2E74B5"/>
              <w:left w:val="nil"/>
              <w:bottom w:val="single" w:sz="4" w:space="0" w:color="2E74B5"/>
              <w:right w:val="single" w:sz="4" w:space="0" w:color="2E74B5"/>
            </w:tcBorders>
            <w:shd w:val="clear" w:color="auto" w:fill="auto"/>
          </w:tcPr>
          <w:p w14:paraId="7E85162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25.060 €</w:t>
            </w:r>
          </w:p>
        </w:tc>
        <w:tc>
          <w:tcPr>
            <w:tcW w:w="1164" w:type="dxa"/>
            <w:tcBorders>
              <w:top w:val="single" w:sz="4" w:space="0" w:color="2E74B5"/>
              <w:left w:val="nil"/>
              <w:bottom w:val="single" w:sz="4" w:space="0" w:color="2E74B5"/>
              <w:right w:val="single" w:sz="4" w:space="0" w:color="2E74B5"/>
            </w:tcBorders>
            <w:shd w:val="clear" w:color="auto" w:fill="auto"/>
          </w:tcPr>
          <w:p w14:paraId="52B018D5"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38%</w:t>
            </w:r>
          </w:p>
        </w:tc>
        <w:tc>
          <w:tcPr>
            <w:tcW w:w="1206" w:type="dxa"/>
            <w:tcBorders>
              <w:top w:val="single" w:sz="4" w:space="0" w:color="2E74B5"/>
              <w:left w:val="nil"/>
              <w:bottom w:val="single" w:sz="4" w:space="0" w:color="2E74B5"/>
              <w:right w:val="single" w:sz="4" w:space="0" w:color="2E74B5"/>
            </w:tcBorders>
            <w:shd w:val="clear" w:color="auto" w:fill="auto"/>
          </w:tcPr>
          <w:p w14:paraId="48B5799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40%</w:t>
            </w:r>
          </w:p>
        </w:tc>
      </w:tr>
      <w:tr w:rsidR="00F5315C" w14:paraId="479ECB6F"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415A5B17"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4265640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134" w:type="dxa"/>
            <w:tcBorders>
              <w:top w:val="single" w:sz="4" w:space="0" w:color="2E74B5"/>
              <w:left w:val="nil"/>
              <w:bottom w:val="single" w:sz="4" w:space="0" w:color="2E74B5"/>
              <w:right w:val="single" w:sz="4" w:space="0" w:color="2E74B5"/>
            </w:tcBorders>
            <w:shd w:val="clear" w:color="auto" w:fill="auto"/>
          </w:tcPr>
          <w:p w14:paraId="46BB8F9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11,34 €</w:t>
            </w:r>
          </w:p>
        </w:tc>
        <w:tc>
          <w:tcPr>
            <w:tcW w:w="1134" w:type="dxa"/>
            <w:tcBorders>
              <w:top w:val="single" w:sz="4" w:space="0" w:color="2E74B5"/>
              <w:left w:val="nil"/>
              <w:bottom w:val="single" w:sz="4" w:space="0" w:color="2E74B5"/>
              <w:right w:val="single" w:sz="4" w:space="0" w:color="2E74B5"/>
            </w:tcBorders>
            <w:shd w:val="clear" w:color="auto" w:fill="auto"/>
          </w:tcPr>
          <w:p w14:paraId="247FE03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10.886 €</w:t>
            </w:r>
          </w:p>
        </w:tc>
        <w:tc>
          <w:tcPr>
            <w:tcW w:w="1134" w:type="dxa"/>
            <w:tcBorders>
              <w:top w:val="single" w:sz="4" w:space="0" w:color="2E74B5"/>
              <w:left w:val="nil"/>
              <w:bottom w:val="single" w:sz="4" w:space="0" w:color="2E74B5"/>
              <w:right w:val="single" w:sz="4" w:space="0" w:color="2E74B5"/>
            </w:tcBorders>
            <w:shd w:val="clear" w:color="auto" w:fill="auto"/>
          </w:tcPr>
          <w:p w14:paraId="58CA0B8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1.991 €</w:t>
            </w:r>
          </w:p>
        </w:tc>
        <w:tc>
          <w:tcPr>
            <w:tcW w:w="1134" w:type="dxa"/>
            <w:tcBorders>
              <w:top w:val="single" w:sz="4" w:space="0" w:color="2E74B5"/>
              <w:left w:val="nil"/>
              <w:bottom w:val="single" w:sz="4" w:space="0" w:color="2E74B5"/>
              <w:right w:val="single" w:sz="4" w:space="0" w:color="2E74B5"/>
            </w:tcBorders>
            <w:shd w:val="clear" w:color="auto" w:fill="auto"/>
          </w:tcPr>
          <w:p w14:paraId="5A28260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23.888 €</w:t>
            </w:r>
          </w:p>
        </w:tc>
        <w:tc>
          <w:tcPr>
            <w:tcW w:w="1164" w:type="dxa"/>
            <w:tcBorders>
              <w:top w:val="single" w:sz="4" w:space="0" w:color="2E74B5"/>
              <w:left w:val="nil"/>
              <w:bottom w:val="single" w:sz="4" w:space="0" w:color="2E74B5"/>
              <w:right w:val="single" w:sz="4" w:space="0" w:color="2E74B5"/>
            </w:tcBorders>
            <w:shd w:val="clear" w:color="auto" w:fill="auto"/>
          </w:tcPr>
          <w:p w14:paraId="5148F141"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42%</w:t>
            </w:r>
          </w:p>
        </w:tc>
        <w:tc>
          <w:tcPr>
            <w:tcW w:w="1206" w:type="dxa"/>
            <w:tcBorders>
              <w:top w:val="single" w:sz="4" w:space="0" w:color="2E74B5"/>
              <w:left w:val="nil"/>
              <w:bottom w:val="single" w:sz="4" w:space="0" w:color="2E74B5"/>
              <w:right w:val="single" w:sz="4" w:space="0" w:color="2E74B5"/>
            </w:tcBorders>
            <w:shd w:val="clear" w:color="auto" w:fill="auto"/>
          </w:tcPr>
          <w:p w14:paraId="765C225A"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46%</w:t>
            </w:r>
          </w:p>
        </w:tc>
      </w:tr>
      <w:tr w:rsidR="00F5315C" w14:paraId="5A50BA0A"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31EF3B2A"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41BD8BE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134" w:type="dxa"/>
            <w:tcBorders>
              <w:top w:val="single" w:sz="4" w:space="0" w:color="2E74B5"/>
              <w:left w:val="nil"/>
              <w:bottom w:val="single" w:sz="4" w:space="0" w:color="2E74B5"/>
              <w:right w:val="single" w:sz="4" w:space="0" w:color="2E74B5"/>
            </w:tcBorders>
            <w:shd w:val="clear" w:color="auto" w:fill="auto"/>
          </w:tcPr>
          <w:p w14:paraId="1FAE02DA"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13,39 €</w:t>
            </w:r>
          </w:p>
        </w:tc>
        <w:tc>
          <w:tcPr>
            <w:tcW w:w="1134" w:type="dxa"/>
            <w:tcBorders>
              <w:top w:val="single" w:sz="4" w:space="0" w:color="2E74B5"/>
              <w:left w:val="nil"/>
              <w:bottom w:val="single" w:sz="4" w:space="0" w:color="2E74B5"/>
              <w:right w:val="single" w:sz="4" w:space="0" w:color="2E74B5"/>
            </w:tcBorders>
            <w:shd w:val="clear" w:color="auto" w:fill="auto"/>
          </w:tcPr>
          <w:p w14:paraId="71B0336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12.854 €</w:t>
            </w:r>
          </w:p>
        </w:tc>
        <w:tc>
          <w:tcPr>
            <w:tcW w:w="1134" w:type="dxa"/>
            <w:tcBorders>
              <w:top w:val="single" w:sz="4" w:space="0" w:color="2E74B5"/>
              <w:left w:val="nil"/>
              <w:bottom w:val="single" w:sz="4" w:space="0" w:color="2E74B5"/>
              <w:right w:val="single" w:sz="4" w:space="0" w:color="2E74B5"/>
            </w:tcBorders>
            <w:shd w:val="clear" w:color="auto" w:fill="auto"/>
          </w:tcPr>
          <w:p w14:paraId="0FB181FD"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2.137 €</w:t>
            </w:r>
          </w:p>
        </w:tc>
        <w:tc>
          <w:tcPr>
            <w:tcW w:w="1134" w:type="dxa"/>
            <w:tcBorders>
              <w:top w:val="single" w:sz="4" w:space="0" w:color="2E74B5"/>
              <w:left w:val="nil"/>
              <w:bottom w:val="single" w:sz="4" w:space="0" w:color="2E74B5"/>
              <w:right w:val="single" w:sz="4" w:space="0" w:color="2E74B5"/>
            </w:tcBorders>
            <w:shd w:val="clear" w:color="auto" w:fill="auto"/>
          </w:tcPr>
          <w:p w14:paraId="27D492F7"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25.643 €</w:t>
            </w:r>
          </w:p>
        </w:tc>
        <w:tc>
          <w:tcPr>
            <w:tcW w:w="1164" w:type="dxa"/>
            <w:tcBorders>
              <w:top w:val="single" w:sz="4" w:space="0" w:color="2E74B5"/>
              <w:left w:val="nil"/>
              <w:bottom w:val="single" w:sz="4" w:space="0" w:color="2E74B5"/>
              <w:right w:val="single" w:sz="4" w:space="0" w:color="2E74B5"/>
            </w:tcBorders>
            <w:shd w:val="clear" w:color="auto" w:fill="auto"/>
          </w:tcPr>
          <w:p w14:paraId="2116CF38"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47%</w:t>
            </w:r>
          </w:p>
        </w:tc>
        <w:tc>
          <w:tcPr>
            <w:tcW w:w="1206" w:type="dxa"/>
            <w:tcBorders>
              <w:top w:val="single" w:sz="4" w:space="0" w:color="2E74B5"/>
              <w:left w:val="nil"/>
              <w:bottom w:val="single" w:sz="4" w:space="0" w:color="2E74B5"/>
              <w:right w:val="single" w:sz="4" w:space="0" w:color="2E74B5"/>
            </w:tcBorders>
            <w:shd w:val="clear" w:color="auto" w:fill="auto"/>
          </w:tcPr>
          <w:p w14:paraId="031867BF"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50%</w:t>
            </w:r>
          </w:p>
        </w:tc>
      </w:tr>
      <w:tr w:rsidR="00F5315C" w14:paraId="48CE4EA0"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65FDFF8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5C41C6F9"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134" w:type="dxa"/>
            <w:tcBorders>
              <w:top w:val="single" w:sz="4" w:space="0" w:color="2E74B5"/>
              <w:left w:val="nil"/>
              <w:bottom w:val="single" w:sz="4" w:space="0" w:color="2E74B5"/>
              <w:right w:val="single" w:sz="4" w:space="0" w:color="2E74B5"/>
            </w:tcBorders>
            <w:shd w:val="clear" w:color="auto" w:fill="auto"/>
          </w:tcPr>
          <w:p w14:paraId="627B16D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16,10 €</w:t>
            </w:r>
          </w:p>
        </w:tc>
        <w:tc>
          <w:tcPr>
            <w:tcW w:w="1134" w:type="dxa"/>
            <w:tcBorders>
              <w:top w:val="single" w:sz="4" w:space="0" w:color="2E74B5"/>
              <w:left w:val="nil"/>
              <w:bottom w:val="single" w:sz="4" w:space="0" w:color="2E74B5"/>
              <w:right w:val="single" w:sz="4" w:space="0" w:color="2E74B5"/>
            </w:tcBorders>
            <w:shd w:val="clear" w:color="auto" w:fill="auto"/>
          </w:tcPr>
          <w:p w14:paraId="27294FBE"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15.456 €</w:t>
            </w:r>
          </w:p>
        </w:tc>
        <w:tc>
          <w:tcPr>
            <w:tcW w:w="1134" w:type="dxa"/>
            <w:tcBorders>
              <w:top w:val="single" w:sz="4" w:space="0" w:color="2E74B5"/>
              <w:left w:val="nil"/>
              <w:bottom w:val="single" w:sz="4" w:space="0" w:color="2E74B5"/>
              <w:right w:val="single" w:sz="4" w:space="0" w:color="2E74B5"/>
            </w:tcBorders>
            <w:shd w:val="clear" w:color="auto" w:fill="auto"/>
          </w:tcPr>
          <w:p w14:paraId="76E4E09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2.175 €</w:t>
            </w:r>
          </w:p>
        </w:tc>
        <w:tc>
          <w:tcPr>
            <w:tcW w:w="1134" w:type="dxa"/>
            <w:tcBorders>
              <w:top w:val="single" w:sz="4" w:space="0" w:color="2E74B5"/>
              <w:left w:val="nil"/>
              <w:bottom w:val="single" w:sz="4" w:space="0" w:color="2E74B5"/>
              <w:right w:val="single" w:sz="4" w:space="0" w:color="2E74B5"/>
            </w:tcBorders>
            <w:shd w:val="clear" w:color="auto" w:fill="auto"/>
          </w:tcPr>
          <w:p w14:paraId="458A213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26.104 €</w:t>
            </w:r>
          </w:p>
        </w:tc>
        <w:tc>
          <w:tcPr>
            <w:tcW w:w="1164" w:type="dxa"/>
            <w:tcBorders>
              <w:top w:val="single" w:sz="4" w:space="0" w:color="2E74B5"/>
              <w:left w:val="nil"/>
              <w:bottom w:val="single" w:sz="4" w:space="0" w:color="2E74B5"/>
              <w:right w:val="single" w:sz="4" w:space="0" w:color="2E74B5"/>
            </w:tcBorders>
            <w:shd w:val="clear" w:color="auto" w:fill="auto"/>
          </w:tcPr>
          <w:p w14:paraId="5F29BCCF"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57%</w:t>
            </w:r>
          </w:p>
        </w:tc>
        <w:tc>
          <w:tcPr>
            <w:tcW w:w="1206" w:type="dxa"/>
            <w:tcBorders>
              <w:top w:val="single" w:sz="4" w:space="0" w:color="2E74B5"/>
              <w:left w:val="nil"/>
              <w:bottom w:val="single" w:sz="4" w:space="0" w:color="2E74B5"/>
              <w:right w:val="single" w:sz="4" w:space="0" w:color="2E74B5"/>
            </w:tcBorders>
            <w:shd w:val="clear" w:color="auto" w:fill="auto"/>
          </w:tcPr>
          <w:p w14:paraId="5F3D2C03"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59%</w:t>
            </w:r>
          </w:p>
        </w:tc>
      </w:tr>
      <w:tr w:rsidR="00F5315C" w14:paraId="34BE552A" w14:textId="77777777" w:rsidTr="0074741D">
        <w:trPr>
          <w:trHeight w:val="253"/>
        </w:trPr>
        <w:tc>
          <w:tcPr>
            <w:tcW w:w="1560"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2DAB1A4E"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181CF56F" w14:textId="77777777" w:rsidR="00F5315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134" w:type="dxa"/>
            <w:tcBorders>
              <w:top w:val="single" w:sz="4" w:space="0" w:color="2E74B5"/>
              <w:left w:val="nil"/>
              <w:bottom w:val="single" w:sz="4" w:space="0" w:color="2E74B5"/>
              <w:right w:val="single" w:sz="4" w:space="0" w:color="2E74B5"/>
            </w:tcBorders>
            <w:shd w:val="clear" w:color="auto" w:fill="auto"/>
          </w:tcPr>
          <w:p w14:paraId="2A0067A9"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7,67 €</w:t>
            </w:r>
          </w:p>
        </w:tc>
        <w:tc>
          <w:tcPr>
            <w:tcW w:w="1134" w:type="dxa"/>
            <w:tcBorders>
              <w:top w:val="single" w:sz="4" w:space="0" w:color="2E74B5"/>
              <w:left w:val="nil"/>
              <w:bottom w:val="single" w:sz="4" w:space="0" w:color="2E74B5"/>
              <w:right w:val="single" w:sz="4" w:space="0" w:color="2E74B5"/>
            </w:tcBorders>
            <w:shd w:val="clear" w:color="auto" w:fill="auto"/>
          </w:tcPr>
          <w:p w14:paraId="6C958B0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7.363 €</w:t>
            </w:r>
          </w:p>
        </w:tc>
        <w:tc>
          <w:tcPr>
            <w:tcW w:w="1134" w:type="dxa"/>
            <w:tcBorders>
              <w:top w:val="single" w:sz="4" w:space="0" w:color="2E74B5"/>
              <w:left w:val="nil"/>
              <w:bottom w:val="single" w:sz="4" w:space="0" w:color="2E74B5"/>
              <w:right w:val="single" w:sz="4" w:space="0" w:color="2E74B5"/>
            </w:tcBorders>
            <w:shd w:val="clear" w:color="auto" w:fill="auto"/>
          </w:tcPr>
          <w:p w14:paraId="40041E3B"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1.917 €</w:t>
            </w:r>
          </w:p>
        </w:tc>
        <w:tc>
          <w:tcPr>
            <w:tcW w:w="1134" w:type="dxa"/>
            <w:tcBorders>
              <w:top w:val="single" w:sz="4" w:space="0" w:color="2E74B5"/>
              <w:left w:val="nil"/>
              <w:bottom w:val="single" w:sz="4" w:space="0" w:color="2E74B5"/>
              <w:right w:val="single" w:sz="4" w:space="0" w:color="2E74B5"/>
            </w:tcBorders>
            <w:shd w:val="clear" w:color="auto" w:fill="auto"/>
          </w:tcPr>
          <w:p w14:paraId="79089360"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23.004 €</w:t>
            </w:r>
          </w:p>
        </w:tc>
        <w:tc>
          <w:tcPr>
            <w:tcW w:w="1164" w:type="dxa"/>
            <w:tcBorders>
              <w:top w:val="single" w:sz="4" w:space="0" w:color="2E74B5"/>
              <w:left w:val="nil"/>
              <w:bottom w:val="single" w:sz="4" w:space="0" w:color="2E74B5"/>
              <w:right w:val="single" w:sz="4" w:space="0" w:color="2E74B5"/>
            </w:tcBorders>
            <w:shd w:val="clear" w:color="auto" w:fill="auto"/>
          </w:tcPr>
          <w:p w14:paraId="590AB0D3" w14:textId="77777777" w:rsidR="00F5315C" w:rsidRDefault="00000000">
            <w:pPr>
              <w:jc w:val="center"/>
              <w:rPr>
                <w:rFonts w:ascii="Open Sans" w:eastAsia="Open Sans" w:hAnsi="Open Sans" w:cs="Open Sans"/>
                <w:color w:val="000000"/>
                <w:sz w:val="20"/>
                <w:szCs w:val="20"/>
              </w:rPr>
            </w:pPr>
            <w:r>
              <w:rPr>
                <w:rFonts w:ascii="Open Sans" w:eastAsia="Open Sans" w:hAnsi="Open Sans" w:cs="Open Sans"/>
                <w:sz w:val="20"/>
                <w:szCs w:val="20"/>
              </w:rPr>
              <w:t>31%</w:t>
            </w:r>
          </w:p>
        </w:tc>
        <w:tc>
          <w:tcPr>
            <w:tcW w:w="1206" w:type="dxa"/>
            <w:tcBorders>
              <w:top w:val="single" w:sz="4" w:space="0" w:color="2E74B5"/>
              <w:left w:val="nil"/>
              <w:bottom w:val="single" w:sz="4" w:space="0" w:color="2E74B5"/>
              <w:right w:val="single" w:sz="4" w:space="0" w:color="2E74B5"/>
            </w:tcBorders>
            <w:shd w:val="clear" w:color="auto" w:fill="auto"/>
          </w:tcPr>
          <w:p w14:paraId="0A2E7EAC" w14:textId="77777777" w:rsidR="00F5315C" w:rsidRDefault="00000000">
            <w:pPr>
              <w:jc w:val="center"/>
              <w:rPr>
                <w:rFonts w:ascii="Open Sans" w:eastAsia="Open Sans" w:hAnsi="Open Sans" w:cs="Open Sans"/>
                <w:b/>
                <w:color w:val="000000"/>
                <w:sz w:val="20"/>
                <w:szCs w:val="20"/>
              </w:rPr>
            </w:pPr>
            <w:r>
              <w:rPr>
                <w:rFonts w:ascii="Open Sans" w:eastAsia="Open Sans" w:hAnsi="Open Sans" w:cs="Open Sans"/>
                <w:b/>
                <w:sz w:val="20"/>
                <w:szCs w:val="20"/>
              </w:rPr>
              <w:t>32%</w:t>
            </w:r>
          </w:p>
        </w:tc>
      </w:tr>
    </w:tbl>
    <w:p w14:paraId="04D60D72" w14:textId="77777777" w:rsidR="00F5315C" w:rsidRDefault="00F5315C">
      <w:pPr>
        <w:ind w:right="-574"/>
        <w:jc w:val="right"/>
        <w:rPr>
          <w:rFonts w:ascii="Open Sans Light" w:eastAsia="Open Sans Light" w:hAnsi="Open Sans Light" w:cs="Open Sans Light"/>
          <w:b/>
          <w:color w:val="303AB2"/>
        </w:rPr>
      </w:pPr>
    </w:p>
    <w:p w14:paraId="22CE7215" w14:textId="77777777" w:rsidR="00F5315C" w:rsidRDefault="00000000">
      <w:pPr>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64FB54C9" w14:textId="77777777" w:rsidR="00F5315C" w:rsidRDefault="00F5315C">
      <w:pPr>
        <w:ind w:right="-574"/>
        <w:jc w:val="right"/>
        <w:rPr>
          <w:rFonts w:ascii="Open Sans Light" w:eastAsia="Open Sans Light" w:hAnsi="Open Sans Light" w:cs="Open Sans Light"/>
          <w:b/>
          <w:color w:val="303AB2"/>
        </w:rPr>
      </w:pPr>
    </w:p>
    <w:p w14:paraId="18F095F6" w14:textId="77777777" w:rsidR="00F5315C"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al alquiler de una vivienda media en España,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11,03 euros el metro cuadrado al mes (a fecha de diciembre de 2022).</w:t>
      </w:r>
    </w:p>
    <w:p w14:paraId="60B5CA45" w14:textId="77777777" w:rsidR="00F5315C"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91D92FB" w14:textId="77777777" w:rsidR="00F5315C" w:rsidRDefault="00000000">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3">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3E9C7FD3" w14:textId="77777777" w:rsidR="00F5315C" w:rsidRDefault="00F5315C">
      <w:pPr>
        <w:spacing w:line="276" w:lineRule="auto"/>
        <w:ind w:right="-574"/>
        <w:jc w:val="right"/>
        <w:rPr>
          <w:rFonts w:ascii="Open Sans Light" w:eastAsia="Open Sans Light" w:hAnsi="Open Sans Light" w:cs="Open Sans Light"/>
          <w:b/>
          <w:color w:val="303AB2"/>
        </w:rPr>
      </w:pPr>
    </w:p>
    <w:p w14:paraId="14E096EC" w14:textId="77777777" w:rsidR="00F5315C" w:rsidRDefault="00000000">
      <w:pPr>
        <w:spacing w:line="276" w:lineRule="auto"/>
        <w:ind w:right="-574"/>
        <w:jc w:val="right"/>
        <w:rPr>
          <w:rFonts w:ascii="Open Sans Light" w:eastAsia="Open Sans Light" w:hAnsi="Open Sans Light" w:cs="Open Sans Light"/>
          <w:b/>
          <w:color w:val="303AB2"/>
        </w:rPr>
      </w:pPr>
      <w:bookmarkStart w:id="5" w:name="_Hlk133180490"/>
      <w:r>
        <w:rPr>
          <w:rFonts w:ascii="Open Sans Light" w:eastAsia="Open Sans Light" w:hAnsi="Open Sans Light" w:cs="Open Sans Light"/>
          <w:b/>
          <w:color w:val="303AB2"/>
        </w:rPr>
        <w:t>Sobre InfoJobs</w:t>
      </w:r>
    </w:p>
    <w:p w14:paraId="070AAA57" w14:textId="77777777" w:rsidR="00F5315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24segundos. </w:t>
      </w:r>
      <w:hyperlink r:id="rId24">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25">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HYPERLINK "https://www.infojobs.net/" \h</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7">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8">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3F356D79" w14:textId="77777777" w:rsidR="00F5315C" w:rsidRDefault="00F5315C">
      <w:pPr>
        <w:spacing w:line="276" w:lineRule="auto"/>
        <w:ind w:right="-574"/>
        <w:jc w:val="both"/>
        <w:rPr>
          <w:rFonts w:ascii="Open Sans" w:eastAsia="Open Sans" w:hAnsi="Open Sans" w:cs="Open Sans"/>
          <w:sz w:val="22"/>
          <w:szCs w:val="22"/>
        </w:rPr>
      </w:pPr>
    </w:p>
    <w:p w14:paraId="7FB598B0" w14:textId="77777777" w:rsidR="00F5315C" w:rsidRDefault="00000000">
      <w:pPr>
        <w:shd w:val="clear" w:color="auto" w:fill="FFFFFF"/>
        <w:spacing w:after="240" w:line="276" w:lineRule="auto"/>
        <w:ind w:right="-550"/>
        <w:jc w:val="both"/>
        <w:rPr>
          <w:rFonts w:ascii="Open Sans" w:eastAsia="Open Sans" w:hAnsi="Open Sans" w:cs="Open Sans"/>
          <w:color w:val="0000FF"/>
          <w:sz w:val="22"/>
          <w:szCs w:val="22"/>
          <w:u w:val="single"/>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en 11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w:t>
      </w:r>
      <w:hyperlink r:id="rId29">
        <w:r>
          <w:rPr>
            <w:rFonts w:ascii="Open Sans" w:eastAsia="Open Sans" w:hAnsi="Open Sans" w:cs="Open Sans"/>
            <w:sz w:val="22"/>
            <w:szCs w:val="22"/>
          </w:rPr>
          <w:t xml:space="preserve"> </w:t>
        </w:r>
      </w:hyperlink>
      <w:hyperlink r:id="rId30">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74AFA10E" w14:textId="77777777" w:rsidR="00F5315C" w:rsidRDefault="00F5315C">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p>
    <w:p w14:paraId="10C27F83" w14:textId="77777777" w:rsidR="00F5315C" w:rsidRDefault="00000000">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14:paraId="10A28DF3" w14:textId="77777777" w:rsidR="00F5315C"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472C5016" w14:textId="77777777" w:rsidR="00F5315C"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A09274C" w14:textId="77777777" w:rsidR="00F5315C"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1">
        <w:r>
          <w:rPr>
            <w:rFonts w:ascii="Open Sans" w:eastAsia="Open Sans" w:hAnsi="Open Sans" w:cs="Open Sans"/>
            <w:color w:val="0000FF"/>
            <w:sz w:val="21"/>
            <w:szCs w:val="21"/>
            <w:u w:val="single"/>
          </w:rPr>
          <w:t>comunicacion@fotocasa.es</w:t>
        </w:r>
      </w:hyperlink>
    </w:p>
    <w:p w14:paraId="1C355724" w14:textId="77777777" w:rsidR="00F5315C"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2">
        <w:r>
          <w:rPr>
            <w:rFonts w:ascii="Open Sans" w:eastAsia="Open Sans" w:hAnsi="Open Sans" w:cs="Open Sans"/>
            <w:color w:val="0000FF"/>
            <w:sz w:val="21"/>
            <w:szCs w:val="21"/>
            <w:u w:val="single"/>
          </w:rPr>
          <w:t>http://prensa.fotocasa.es</w:t>
        </w:r>
      </w:hyperlink>
    </w:p>
    <w:p w14:paraId="455CD353" w14:textId="77777777" w:rsidR="00F5315C"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1523E96D" w14:textId="77777777" w:rsidR="00F5315C" w:rsidRDefault="00F5315C">
      <w:pPr>
        <w:shd w:val="clear" w:color="auto" w:fill="FFFFFF"/>
        <w:spacing w:before="280" w:line="276" w:lineRule="auto"/>
        <w:ind w:right="-567"/>
        <w:jc w:val="right"/>
        <w:rPr>
          <w:rFonts w:ascii="Open Sans Light" w:eastAsia="Open Sans Light" w:hAnsi="Open Sans Light" w:cs="Open Sans Light"/>
          <w:b/>
          <w:color w:val="303AB2"/>
        </w:rPr>
      </w:pPr>
    </w:p>
    <w:p w14:paraId="1DBEBF02" w14:textId="77777777" w:rsidR="00F5315C" w:rsidRDefault="00000000">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39B28359" w14:textId="77777777" w:rsidR="00F5315C"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1065BC16" w14:textId="77777777" w:rsidR="00F5315C"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Andrea Vallejo</w:t>
      </w:r>
    </w:p>
    <w:p w14:paraId="29ED47CC" w14:textId="77777777" w:rsidR="00F5315C" w:rsidRDefault="00000000">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0EE8329B" w14:textId="77777777" w:rsidR="00F5315C" w:rsidRDefault="00000000">
      <w:pPr>
        <w:shd w:val="clear" w:color="auto" w:fill="FFFFFF"/>
        <w:spacing w:line="276" w:lineRule="auto"/>
        <w:ind w:right="-574"/>
        <w:jc w:val="right"/>
        <w:rPr>
          <w:rFonts w:ascii="Open Sans" w:eastAsia="Open Sans" w:hAnsi="Open Sans" w:cs="Open Sans"/>
          <w:sz w:val="21"/>
          <w:szCs w:val="21"/>
        </w:rPr>
      </w:pPr>
      <w:hyperlink r:id="rId33">
        <w:r>
          <w:rPr>
            <w:rFonts w:ascii="Open Sans" w:eastAsia="Open Sans" w:hAnsi="Open Sans" w:cs="Open Sans"/>
            <w:color w:val="1155CC"/>
            <w:sz w:val="21"/>
            <w:szCs w:val="21"/>
            <w:u w:val="single"/>
          </w:rPr>
          <w:t>prensa@infojobs.net</w:t>
        </w:r>
      </w:hyperlink>
      <w:r>
        <w:rPr>
          <w:rFonts w:ascii="Open Sans" w:eastAsia="Open Sans" w:hAnsi="Open Sans" w:cs="Open Sans"/>
          <w:sz w:val="21"/>
          <w:szCs w:val="21"/>
        </w:rPr>
        <w:t xml:space="preserve"> </w:t>
      </w:r>
    </w:p>
    <w:bookmarkEnd w:id="5"/>
    <w:p w14:paraId="7CEA2172" w14:textId="77777777" w:rsidR="00F5315C" w:rsidRDefault="00F5315C">
      <w:pPr>
        <w:ind w:right="-574"/>
        <w:jc w:val="right"/>
        <w:rPr>
          <w:rFonts w:ascii="Open Sans" w:eastAsia="Open Sans" w:hAnsi="Open Sans" w:cs="Open Sans"/>
          <w:sz w:val="21"/>
          <w:szCs w:val="21"/>
        </w:rPr>
      </w:pPr>
    </w:p>
    <w:sectPr w:rsidR="00F5315C">
      <w:headerReference w:type="default" r:id="rId34"/>
      <w:footerReference w:type="default" r:id="rId3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6EB2" w14:textId="77777777" w:rsidR="00427052" w:rsidRDefault="00427052">
      <w:r>
        <w:separator/>
      </w:r>
    </w:p>
  </w:endnote>
  <w:endnote w:type="continuationSeparator" w:id="0">
    <w:p w14:paraId="123207E5" w14:textId="77777777" w:rsidR="00427052" w:rsidRDefault="0042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3B1" w14:textId="77777777" w:rsidR="00F5315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3669423" wp14:editId="614DBC7C">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199990946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3AFC" w14:textId="77777777" w:rsidR="00427052" w:rsidRDefault="00427052">
      <w:r>
        <w:separator/>
      </w:r>
    </w:p>
  </w:footnote>
  <w:footnote w:type="continuationSeparator" w:id="0">
    <w:p w14:paraId="235C4605" w14:textId="77777777" w:rsidR="00427052" w:rsidRDefault="0042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173D" w14:textId="77777777" w:rsidR="00F5315C" w:rsidRDefault="00000000">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p>
  <w:p w14:paraId="1AFB5A80" w14:textId="77777777" w:rsidR="00F5315C" w:rsidRDefault="00F5315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7A"/>
    <w:multiLevelType w:val="multilevel"/>
    <w:tmpl w:val="6C00A5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863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5C"/>
    <w:rsid w:val="003115CE"/>
    <w:rsid w:val="00427052"/>
    <w:rsid w:val="0074741D"/>
    <w:rsid w:val="009B696B"/>
    <w:rsid w:val="00AD28D6"/>
    <w:rsid w:val="00F53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852A"/>
  <w15:docId w15:val="{CE3EAA4F-239A-4F3D-B9EC-2A5BA0A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A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70" w:type="dxa"/>
        <w:right w:w="70" w:type="dxa"/>
      </w:tblCellMar>
    </w:tblPr>
  </w:style>
  <w:style w:type="table" w:customStyle="1" w:styleId="1">
    <w:name w:val="1"/>
    <w:basedOn w:val="TableNormal2"/>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BF560E"/>
    <w:rPr>
      <w:b/>
      <w:bCs/>
    </w:rPr>
  </w:style>
  <w:style w:type="character" w:customStyle="1" w:styleId="AsuntodelcomentarioCar">
    <w:name w:val="Asunto del comentario Car"/>
    <w:basedOn w:val="TextocomentarioCar"/>
    <w:link w:val="Asuntodelcomentario"/>
    <w:uiPriority w:val="99"/>
    <w:semiHidden/>
    <w:rsid w:val="00BF560E"/>
    <w:rPr>
      <w:b/>
      <w:bCs/>
      <w:sz w:val="20"/>
      <w:szCs w:val="20"/>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7.jpeg"/><Relationship Id="rId26" Type="http://schemas.openxmlformats.org/officeDocument/2006/relationships/hyperlink" Target="http://www.fotocasa.es/" TargetMode="Externa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youtu.be/kBhUe0U80Rk" TargetMode="External"/><Relationship Id="rId25" Type="http://schemas.openxmlformats.org/officeDocument/2006/relationships/hyperlink" Target="https://www.infojobs.net/" TargetMode="External"/><Relationship Id="rId33"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www.fotocasa.es" TargetMode="External"/><Relationship Id="rId29" Type="http://schemas.openxmlformats.org/officeDocument/2006/relationships/hyperlink" Target="https://www.adevinta.com/es/sp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hyperlink" Target="http://www.fotocasa.es" TargetMode="External"/><Relationship Id="rId32" Type="http://schemas.openxmlformats.org/officeDocument/2006/relationships/hyperlink" Target="http://prensa.fotocasa.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research.fotocasa.es/" TargetMode="External"/><Relationship Id="rId28" Type="http://schemas.openxmlformats.org/officeDocument/2006/relationships/hyperlink" Target="https://motos.coches.net/"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nfojobs.net/"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fotocasa.es/indice/" TargetMode="External"/><Relationship Id="rId27" Type="http://schemas.openxmlformats.org/officeDocument/2006/relationships/hyperlink" Target="https://www.coches.net/" TargetMode="External"/><Relationship Id="rId30" Type="http://schemas.openxmlformats.org/officeDocument/2006/relationships/hyperlink" Target="https://www.adevinta.com/es/spai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H:\Mi%20unidad\01-SCHIBSTED\04-ESTUDIO%20NdP\INFOJOBS\NdP%202022\ALQUILER\PRENSA%20%20IJ&amp;FC%20-%20ALQUILER%202022.xlsm" TargetMode="External"/><Relationship Id="rId5" Type="http://schemas.openxmlformats.org/officeDocument/2006/relationships/image" Target="../media/image5.png"/><Relationship Id="rId4"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ALQUILER 2022.xlsm]tablas ALQ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s>
    <c:plotArea>
      <c:layout/>
      <c:barChart>
        <c:barDir val="col"/>
        <c:grouping val="clustered"/>
        <c:varyColors val="0"/>
        <c:ser>
          <c:idx val="0"/>
          <c:order val="0"/>
          <c:tx>
            <c:strRef>
              <c:f>'tablas ALQ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2"/>
            <c:invertIfNegative val="0"/>
            <c:bubble3D val="0"/>
            <c:extLst>
              <c:ext xmlns:c16="http://schemas.microsoft.com/office/drawing/2014/chart" uri="{C3380CC4-5D6E-409C-BE32-E72D297353CC}">
                <c16:uniqueId val="{00000000-9AA6-4FA4-BBF3-26CF3274E540}"/>
              </c:ext>
            </c:extLst>
          </c:dPt>
          <c:dPt>
            <c:idx val="3"/>
            <c:invertIfNegative val="0"/>
            <c:bubble3D val="0"/>
            <c:extLst>
              <c:ext xmlns:c16="http://schemas.microsoft.com/office/drawing/2014/chart" uri="{C3380CC4-5D6E-409C-BE32-E72D297353CC}">
                <c16:uniqueId val="{00000001-9AA6-4FA4-BBF3-26CF3274E540}"/>
              </c:ext>
            </c:extLst>
          </c:dPt>
          <c:dPt>
            <c:idx val="6"/>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3-9AA6-4FA4-BBF3-26CF3274E54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ALQ CCAA'!$A$3:$A$13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'tablas ALQ CCAA'!$B$3:$B$13</c:f>
              <c:numCache>
                <c:formatCode>0%</c:formatCode>
                <c:ptCount val="11"/>
                <c:pt idx="0">
                  <c:v>0.29634985165720096</c:v>
                </c:pt>
                <c:pt idx="1">
                  <c:v>0.28014567252354888</c:v>
                </c:pt>
                <c:pt idx="2">
                  <c:v>0.27501813509150419</c:v>
                </c:pt>
                <c:pt idx="3">
                  <c:v>0.28440906167263308</c:v>
                </c:pt>
                <c:pt idx="4">
                  <c:v>0.31003051285143013</c:v>
                </c:pt>
                <c:pt idx="5">
                  <c:v>0.33534370579915135</c:v>
                </c:pt>
                <c:pt idx="6">
                  <c:v>0.33927523639151541</c:v>
                </c:pt>
                <c:pt idx="7">
                  <c:v>0.40714910636170476</c:v>
                </c:pt>
                <c:pt idx="8">
                  <c:v>0.40614944583482304</c:v>
                </c:pt>
                <c:pt idx="9">
                  <c:v>0.40151496640195478</c:v>
                </c:pt>
                <c:pt idx="10">
                  <c:v>0.43405615904898542</c:v>
                </c:pt>
              </c:numCache>
            </c:numRef>
          </c:val>
          <c:extLst>
            <c:ext xmlns:c16="http://schemas.microsoft.com/office/drawing/2014/chart" uri="{C3380CC4-5D6E-409C-BE32-E72D297353CC}">
              <c16:uniqueId val="{00000004-9AA6-4FA4-BBF3-26CF3274E540}"/>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accent1">
                    <a:lumMod val="7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Ruo55fzMiBK00eA/xFFNhPeTfg==">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4</cp:revision>
  <dcterms:created xsi:type="dcterms:W3CDTF">2022-04-18T16:00:00Z</dcterms:created>
  <dcterms:modified xsi:type="dcterms:W3CDTF">2023-04-23T20:50:00Z</dcterms:modified>
</cp:coreProperties>
</file>