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30A04" w14:textId="77777777" w:rsidR="00C80EE0" w:rsidRDefault="00000000">
      <w:pPr>
        <w:tabs>
          <w:tab w:val="left" w:pos="2410"/>
        </w:tabs>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 xml:space="preserve">       ACTUALIZACIÓN DE LOS CONTRATOS CON EL 2%</w:t>
      </w:r>
    </w:p>
    <w:p w14:paraId="0D441359" w14:textId="77777777" w:rsidR="00C80EE0" w:rsidRDefault="00000000">
      <w:pPr>
        <w:pBdr>
          <w:top w:val="nil"/>
          <w:left w:val="nil"/>
          <w:bottom w:val="nil"/>
          <w:right w:val="nil"/>
          <w:between w:val="nil"/>
        </w:pBdr>
        <w:spacing w:line="276" w:lineRule="auto"/>
        <w:ind w:left="567" w:right="-574"/>
        <w:jc w:val="center"/>
        <w:rPr>
          <w:rFonts w:ascii="National" w:eastAsia="National" w:hAnsi="National" w:cs="National"/>
          <w:b/>
          <w:color w:val="303AB2"/>
          <w:sz w:val="46"/>
          <w:szCs w:val="46"/>
        </w:rPr>
      </w:pPr>
      <w:r>
        <w:rPr>
          <w:rFonts w:ascii="National" w:eastAsia="National" w:hAnsi="National" w:cs="National"/>
          <w:b/>
          <w:color w:val="303AB2"/>
          <w:sz w:val="44"/>
          <w:szCs w:val="44"/>
        </w:rPr>
        <w:t>Subir precios y buscar inquilinos solventes: medidas de los propietarios frente a la limitación del 2%</w:t>
      </w:r>
    </w:p>
    <w:p w14:paraId="07A6F349" w14:textId="77777777" w:rsidR="00C80EE0" w:rsidRDefault="00C80EE0">
      <w:pPr>
        <w:pBdr>
          <w:top w:val="nil"/>
          <w:left w:val="nil"/>
          <w:bottom w:val="nil"/>
          <w:right w:val="nil"/>
          <w:between w:val="nil"/>
        </w:pBdr>
        <w:spacing w:line="276" w:lineRule="auto"/>
        <w:ind w:right="-574"/>
        <w:jc w:val="both"/>
        <w:rPr>
          <w:rFonts w:ascii="Open Sans" w:eastAsia="Open Sans" w:hAnsi="Open Sans" w:cs="Open Sans"/>
          <w:sz w:val="22"/>
          <w:szCs w:val="22"/>
        </w:rPr>
      </w:pPr>
    </w:p>
    <w:p w14:paraId="2ACFE29B" w14:textId="77777777" w:rsidR="00C80EE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El </w:t>
      </w:r>
      <w:r>
        <w:rPr>
          <w:rFonts w:ascii="Open Sans" w:eastAsia="Open Sans" w:hAnsi="Open Sans" w:cs="Open Sans"/>
          <w:sz w:val="22"/>
          <w:szCs w:val="22"/>
        </w:rPr>
        <w:t>49</w:t>
      </w:r>
      <w:r>
        <w:rPr>
          <w:rFonts w:ascii="Open Sans" w:eastAsia="Open Sans" w:hAnsi="Open Sans" w:cs="Open Sans"/>
          <w:color w:val="000000"/>
          <w:sz w:val="22"/>
          <w:szCs w:val="22"/>
        </w:rPr>
        <w:t>% de los propietar</w:t>
      </w:r>
      <w:r>
        <w:rPr>
          <w:rFonts w:ascii="Open Sans" w:eastAsia="Open Sans" w:hAnsi="Open Sans" w:cs="Open Sans"/>
          <w:sz w:val="22"/>
          <w:szCs w:val="22"/>
        </w:rPr>
        <w:t>i</w:t>
      </w:r>
      <w:r>
        <w:rPr>
          <w:rFonts w:ascii="Open Sans" w:eastAsia="Open Sans" w:hAnsi="Open Sans" w:cs="Open Sans"/>
          <w:color w:val="000000"/>
          <w:sz w:val="22"/>
          <w:szCs w:val="22"/>
        </w:rPr>
        <w:t xml:space="preserve">os dice que tomará medidas al finalizar el contrato actual: un 30% incrementará el </w:t>
      </w:r>
      <w:r>
        <w:rPr>
          <w:rFonts w:ascii="Open Sans" w:eastAsia="Open Sans" w:hAnsi="Open Sans" w:cs="Open Sans"/>
          <w:sz w:val="22"/>
          <w:szCs w:val="22"/>
        </w:rPr>
        <w:t>precio</w:t>
      </w:r>
      <w:r>
        <w:rPr>
          <w:rFonts w:ascii="Open Sans" w:eastAsia="Open Sans" w:hAnsi="Open Sans" w:cs="Open Sans"/>
          <w:color w:val="000000"/>
          <w:sz w:val="22"/>
          <w:szCs w:val="22"/>
        </w:rPr>
        <w:t xml:space="preserve"> y un 19% buscará inquilinos que puedan asumir un coste mayor</w:t>
      </w:r>
    </w:p>
    <w:p w14:paraId="043518CC" w14:textId="77777777" w:rsidR="00C80EE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68% de los propietarios asegura que la limitación del 2% les ha afectado</w:t>
      </w:r>
    </w:p>
    <w:p w14:paraId="0404FE57" w14:textId="77777777" w:rsidR="00C80EE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A la mayoría de los inquilinos (64,5%) no se le ha aplicado ninguna subida desde abril de 2022. </w:t>
      </w:r>
    </w:p>
    <w:p w14:paraId="4E9DF3DF" w14:textId="77777777" w:rsidR="00C80EE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Los inquilinos que dicen</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haber </w:t>
      </w:r>
      <w:r>
        <w:rPr>
          <w:rFonts w:ascii="Open Sans" w:eastAsia="Open Sans" w:hAnsi="Open Sans" w:cs="Open Sans"/>
          <w:color w:val="000000"/>
          <w:sz w:val="22"/>
          <w:szCs w:val="22"/>
        </w:rPr>
        <w:t>experimentado subidas en el precio del con</w:t>
      </w:r>
      <w:r>
        <w:rPr>
          <w:rFonts w:ascii="Open Sans" w:eastAsia="Open Sans" w:hAnsi="Open Sans" w:cs="Open Sans"/>
          <w:sz w:val="22"/>
          <w:szCs w:val="22"/>
        </w:rPr>
        <w:t>trato</w:t>
      </w:r>
      <w:r>
        <w:rPr>
          <w:rFonts w:ascii="Open Sans" w:eastAsia="Open Sans" w:hAnsi="Open Sans" w:cs="Open Sans"/>
          <w:color w:val="000000"/>
          <w:sz w:val="22"/>
          <w:szCs w:val="22"/>
        </w:rPr>
        <w:t xml:space="preserve">, </w:t>
      </w:r>
      <w:r>
        <w:rPr>
          <w:rFonts w:ascii="Open Sans" w:eastAsia="Open Sans" w:hAnsi="Open Sans" w:cs="Open Sans"/>
          <w:sz w:val="22"/>
          <w:szCs w:val="22"/>
        </w:rPr>
        <w:t xml:space="preserve">aseguran que han sido tanto </w:t>
      </w:r>
      <w:r>
        <w:rPr>
          <w:rFonts w:ascii="Open Sans" w:eastAsia="Open Sans" w:hAnsi="Open Sans" w:cs="Open Sans"/>
          <w:color w:val="000000"/>
          <w:sz w:val="22"/>
          <w:szCs w:val="22"/>
        </w:rPr>
        <w:t>del 2%, como superiores a dicho umbral</w:t>
      </w:r>
    </w:p>
    <w:p w14:paraId="1CA1888E" w14:textId="77777777" w:rsidR="00C80EE0" w:rsidRDefault="00000000">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Por territorios, los propietarios madrileños y catalanes son los que se sienten algo más damnificados por la medida, en concreto un 40% y un 42% de ellos</w:t>
      </w:r>
    </w:p>
    <w:p w14:paraId="7C00818E" w14:textId="77777777" w:rsidR="00C80EE0" w:rsidRDefault="00C80EE0">
      <w:pPr>
        <w:spacing w:line="276" w:lineRule="auto"/>
        <w:ind w:right="-574"/>
        <w:jc w:val="both"/>
        <w:rPr>
          <w:rFonts w:ascii="Open Sans" w:eastAsia="Open Sans" w:hAnsi="Open Sans" w:cs="Open Sans"/>
          <w:sz w:val="22"/>
          <w:szCs w:val="22"/>
        </w:rPr>
      </w:pPr>
    </w:p>
    <w:p w14:paraId="3A7719D9" w14:textId="77777777" w:rsidR="00C80EE0" w:rsidRDefault="00C80EE0">
      <w:pPr>
        <w:spacing w:line="276" w:lineRule="auto"/>
        <w:ind w:right="-574"/>
        <w:jc w:val="both"/>
        <w:rPr>
          <w:rFonts w:ascii="Open Sans" w:eastAsia="Open Sans" w:hAnsi="Open Sans" w:cs="Open Sans"/>
          <w:sz w:val="22"/>
          <w:szCs w:val="22"/>
        </w:rPr>
      </w:pPr>
    </w:p>
    <w:p w14:paraId="06277E04" w14:textId="77777777" w:rsidR="00C80EE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Madrid, 8 de mayo de 2023</w:t>
      </w:r>
    </w:p>
    <w:p w14:paraId="341A0D4F" w14:textId="77777777" w:rsidR="00C80EE0" w:rsidRDefault="00C80EE0">
      <w:pPr>
        <w:spacing w:line="276" w:lineRule="auto"/>
        <w:ind w:right="-574"/>
        <w:jc w:val="both"/>
        <w:rPr>
          <w:rFonts w:ascii="Open Sans Light" w:eastAsia="Open Sans Light" w:hAnsi="Open Sans Light" w:cs="Open Sans Light"/>
          <w:b/>
          <w:color w:val="303AB2"/>
        </w:rPr>
      </w:pPr>
    </w:p>
    <w:p w14:paraId="667D6FD5"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Hace poco más de un año que el Gobierno aprobó, vía Real Decreto, la desvinculación de las actualizaciones de los contratos de alquiler del IPC, para indexarlos al Índice de Garantías de Competitividad (IGC) que establece un 2% como valor de referencia. Este índice fija las subidas del precio de las renovaciones de los contratos de arrendamiento en un 2% como máximo.</w:t>
      </w:r>
    </w:p>
    <w:p w14:paraId="753819F0" w14:textId="77777777" w:rsidR="00C80EE0" w:rsidRDefault="00C80EE0">
      <w:pPr>
        <w:spacing w:line="276" w:lineRule="auto"/>
        <w:ind w:right="-574"/>
        <w:jc w:val="both"/>
        <w:rPr>
          <w:rFonts w:ascii="Open Sans" w:eastAsia="Open Sans" w:hAnsi="Open Sans" w:cs="Open Sans"/>
          <w:sz w:val="22"/>
          <w:szCs w:val="22"/>
        </w:rPr>
      </w:pPr>
    </w:p>
    <w:p w14:paraId="04480B0C"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Con la nueva Ley de Derecho a la Vivienda se estipulará que este límite del 2% se prorrogue durante 2023, y para 2024 se establecerá un nuevo máximo del 3% hasta la entrada en vigor, en 2025, de un nuevo índice que marcará las subidas de las actualizaciones de los arrendamientos. Desde </w:t>
      </w:r>
      <w:hyperlink r:id="rId8">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sz w:val="22"/>
          <w:szCs w:val="22"/>
        </w:rPr>
        <w:t xml:space="preserve"> hemos querido conocer qué opinan los propietarios de vivienda que se han visto obligados a ceñirse a la nueva limitación del 2% durante el pasado año. La primera idea que se desprende es que </w:t>
      </w:r>
      <w:r>
        <w:rPr>
          <w:rFonts w:ascii="Open Sans" w:eastAsia="Open Sans" w:hAnsi="Open Sans" w:cs="Open Sans"/>
          <w:b/>
          <w:sz w:val="22"/>
          <w:szCs w:val="22"/>
        </w:rPr>
        <w:t>solo un 32% de los propietarios afirman que la limitación no les ha perjudicado en nada</w:t>
      </w:r>
      <w:r>
        <w:rPr>
          <w:rFonts w:ascii="Open Sans" w:eastAsia="Open Sans" w:hAnsi="Open Sans" w:cs="Open Sans"/>
          <w:sz w:val="22"/>
          <w:szCs w:val="22"/>
        </w:rPr>
        <w:t xml:space="preserve">, </w:t>
      </w:r>
      <w:r>
        <w:rPr>
          <w:rFonts w:ascii="Open Sans" w:eastAsia="Open Sans" w:hAnsi="Open Sans" w:cs="Open Sans"/>
          <w:b/>
          <w:sz w:val="22"/>
          <w:szCs w:val="22"/>
        </w:rPr>
        <w:t>frente al 68% que consideran que la intervención les ha afectado</w:t>
      </w:r>
      <w:r>
        <w:rPr>
          <w:rFonts w:ascii="Open Sans" w:eastAsia="Open Sans" w:hAnsi="Open Sans" w:cs="Open Sans"/>
          <w:sz w:val="22"/>
          <w:szCs w:val="22"/>
        </w:rPr>
        <w:t xml:space="preserve">. De éstos, un 30% </w:t>
      </w:r>
      <w:r>
        <w:rPr>
          <w:rFonts w:ascii="Open Sans" w:eastAsia="Open Sans" w:hAnsi="Open Sans" w:cs="Open Sans"/>
          <w:sz w:val="22"/>
          <w:szCs w:val="22"/>
        </w:rPr>
        <w:lastRenderedPageBreak/>
        <w:t>se sienten poco o algo perjudicados, un 21% dicen sentirse bastante perjudicados y otro 17% afirma que se sienten muy perjudicados.</w:t>
      </w:r>
    </w:p>
    <w:p w14:paraId="5ADC6C67" w14:textId="77777777" w:rsidR="00C80EE0" w:rsidRDefault="00C80EE0">
      <w:pPr>
        <w:spacing w:line="276" w:lineRule="auto"/>
        <w:ind w:right="-574"/>
        <w:jc w:val="both"/>
        <w:rPr>
          <w:rFonts w:ascii="Open Sans" w:eastAsia="Open Sans" w:hAnsi="Open Sans" w:cs="Open Sans"/>
          <w:sz w:val="22"/>
          <w:szCs w:val="22"/>
        </w:rPr>
      </w:pPr>
    </w:p>
    <w:p w14:paraId="5537893A"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Sí que se aprecia, sin embargo, diferencias significativas en las emociones más extremas. Así, por tramos de edad, son los mayores de 55 años los que se declaran significativamente más en contra de la medida. En concreto, el 22 % se considera ‘muy’ perjudicado, mientras que el 21% cree haber sido ‘bastante’ perjudicado.</w:t>
      </w:r>
    </w:p>
    <w:p w14:paraId="4E985FCB" w14:textId="77777777" w:rsidR="00C80EE0" w:rsidRDefault="00C80EE0">
      <w:pPr>
        <w:spacing w:line="276" w:lineRule="auto"/>
        <w:ind w:right="-574"/>
        <w:jc w:val="both"/>
        <w:rPr>
          <w:rFonts w:ascii="Open Sans" w:eastAsia="Open Sans" w:hAnsi="Open Sans" w:cs="Open Sans"/>
          <w:sz w:val="22"/>
          <w:szCs w:val="22"/>
        </w:rPr>
      </w:pPr>
    </w:p>
    <w:p w14:paraId="469FD3E6"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“Un volumen elevado de propietarios se siente perjudicado tras la entrada en vigor de la limitación de subida de su contrato de alquiler. Aunque un 47% están dispuestos a aceptar la prórroga y esperar a que finalice la regulación, destacan medidas de un buen número de propietarios que planean adoptar para escudarse frente a la intervención de las subidas. Subir precios, buscar inquilinos más solventes, vender el inmueble o ponerlo en alquiler turístico, son movimientos que no benefician al mercado, porque o bien encarecen la vivienda o bien disminuyen su oferta. Desde Fotocasa siempre hemos defendido medidas incentivadoras en vez de intervencionistas para buscar un equilibrio en un mercado de suma sensibilidad”, comenta María Matos, directora de Estudios y portavoz de </w:t>
      </w:r>
      <w:hyperlink r:id="rId9">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2F8B8BAA" w14:textId="77777777" w:rsidR="005A439F" w:rsidRDefault="005A439F">
      <w:pPr>
        <w:spacing w:line="276" w:lineRule="auto"/>
        <w:ind w:right="-574"/>
        <w:jc w:val="both"/>
        <w:rPr>
          <w:rFonts w:ascii="Open Sans" w:eastAsia="Open Sans" w:hAnsi="Open Sans" w:cs="Open Sans"/>
          <w:sz w:val="22"/>
          <w:szCs w:val="22"/>
        </w:rPr>
      </w:pPr>
    </w:p>
    <w:p w14:paraId="7DF0C58A" w14:textId="77777777" w:rsidR="005A439F" w:rsidRDefault="005A439F">
      <w:pPr>
        <w:spacing w:line="276" w:lineRule="auto"/>
        <w:ind w:right="-574"/>
        <w:jc w:val="both"/>
        <w:rPr>
          <w:rFonts w:ascii="Open Sans" w:eastAsia="Open Sans" w:hAnsi="Open Sans" w:cs="Open Sans"/>
          <w:sz w:val="22"/>
          <w:szCs w:val="22"/>
        </w:rPr>
      </w:pPr>
    </w:p>
    <w:p w14:paraId="1F41391B" w14:textId="243874F6" w:rsidR="005A439F" w:rsidRDefault="005A439F">
      <w:pPr>
        <w:spacing w:line="276" w:lineRule="auto"/>
        <w:ind w:right="-574"/>
        <w:jc w:val="both"/>
        <w:rPr>
          <w:rFonts w:ascii="Open Sans" w:eastAsia="Open Sans" w:hAnsi="Open Sans" w:cs="Open Sans"/>
          <w:sz w:val="22"/>
          <w:szCs w:val="22"/>
        </w:rPr>
      </w:pPr>
      <w:r>
        <w:rPr>
          <w:noProof/>
        </w:rPr>
        <w:drawing>
          <wp:inline distT="0" distB="0" distL="0" distR="0" wp14:anchorId="24EBC508" wp14:editId="3E017FA3">
            <wp:extent cx="5715000" cy="2842260"/>
            <wp:effectExtent l="0" t="0" r="0" b="0"/>
            <wp:docPr id="1441436103" name="image5.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5.png" descr="Gráfico, Gráfico de barras&#10;&#10;Descripción generada automáticamente"/>
                    <pic:cNvPicPr preferRelativeResize="0"/>
                  </pic:nvPicPr>
                  <pic:blipFill>
                    <a:blip r:embed="rId10"/>
                    <a:srcRect/>
                    <a:stretch>
                      <a:fillRect/>
                    </a:stretch>
                  </pic:blipFill>
                  <pic:spPr>
                    <a:xfrm>
                      <a:off x="0" y="0"/>
                      <a:ext cx="5715861" cy="2842688"/>
                    </a:xfrm>
                    <a:prstGeom prst="rect">
                      <a:avLst/>
                    </a:prstGeom>
                    <a:ln/>
                  </pic:spPr>
                </pic:pic>
              </a:graphicData>
            </a:graphic>
          </wp:inline>
        </w:drawing>
      </w:r>
    </w:p>
    <w:p w14:paraId="7C9100A2" w14:textId="77777777" w:rsidR="00C80EE0" w:rsidRDefault="00C80EE0">
      <w:pPr>
        <w:spacing w:line="276" w:lineRule="auto"/>
        <w:ind w:right="-574"/>
        <w:jc w:val="both"/>
        <w:rPr>
          <w:rFonts w:ascii="Open Sans" w:eastAsia="Open Sans" w:hAnsi="Open Sans" w:cs="Open Sans"/>
          <w:sz w:val="22"/>
          <w:szCs w:val="22"/>
        </w:rPr>
      </w:pPr>
    </w:p>
    <w:p w14:paraId="0BD6E3F8" w14:textId="77777777" w:rsidR="005A439F" w:rsidRDefault="005A439F">
      <w:pPr>
        <w:spacing w:line="276" w:lineRule="auto"/>
        <w:ind w:right="-574"/>
        <w:jc w:val="both"/>
        <w:rPr>
          <w:rFonts w:ascii="Open Sans" w:eastAsia="Open Sans" w:hAnsi="Open Sans" w:cs="Open Sans"/>
          <w:sz w:val="22"/>
          <w:szCs w:val="22"/>
        </w:rPr>
      </w:pPr>
    </w:p>
    <w:p w14:paraId="3410319B" w14:textId="77777777" w:rsidR="005A439F" w:rsidRDefault="005A439F">
      <w:pPr>
        <w:spacing w:line="276" w:lineRule="auto"/>
        <w:ind w:right="-574"/>
        <w:jc w:val="both"/>
        <w:rPr>
          <w:rFonts w:ascii="Open Sans" w:eastAsia="Open Sans" w:hAnsi="Open Sans" w:cs="Open Sans"/>
          <w:sz w:val="22"/>
          <w:szCs w:val="22"/>
        </w:rPr>
      </w:pPr>
    </w:p>
    <w:p w14:paraId="61D23E23" w14:textId="1779BB39"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 xml:space="preserve">Por territorios, </w:t>
      </w:r>
      <w:r>
        <w:rPr>
          <w:rFonts w:ascii="Open Sans" w:eastAsia="Open Sans" w:hAnsi="Open Sans" w:cs="Open Sans"/>
          <w:b/>
          <w:sz w:val="22"/>
          <w:szCs w:val="22"/>
        </w:rPr>
        <w:t xml:space="preserve">los habitantes de Madrid y Cataluña se sienten algo más damnificados (40% y 42%, respectivamente). </w:t>
      </w:r>
      <w:r>
        <w:rPr>
          <w:rFonts w:ascii="Open Sans" w:eastAsia="Open Sans" w:hAnsi="Open Sans" w:cs="Open Sans"/>
          <w:sz w:val="22"/>
          <w:szCs w:val="22"/>
        </w:rPr>
        <w:t>Estas dos comunidades son, por lo general, las zonas que presentan los alquileres más altos. Por su parte, los habitantes de Andalucía y Comunidad Valenciana son más propensos a sentirse ‘nada perjudicados’ (36% y 34%, respectivamente).</w:t>
      </w:r>
    </w:p>
    <w:p w14:paraId="59A6A525" w14:textId="77777777" w:rsidR="00C80EE0" w:rsidRDefault="00C80EE0">
      <w:pPr>
        <w:spacing w:line="276" w:lineRule="auto"/>
        <w:ind w:right="-574"/>
        <w:jc w:val="both"/>
        <w:rPr>
          <w:rFonts w:ascii="Open Sans" w:eastAsia="Open Sans" w:hAnsi="Open Sans" w:cs="Open Sans"/>
          <w:sz w:val="22"/>
          <w:szCs w:val="22"/>
        </w:rPr>
      </w:pPr>
    </w:p>
    <w:p w14:paraId="36DC46BF" w14:textId="77777777" w:rsidR="00C80EE0" w:rsidRDefault="00C80EE0">
      <w:pPr>
        <w:spacing w:line="276" w:lineRule="auto"/>
        <w:ind w:right="-574"/>
        <w:jc w:val="both"/>
        <w:rPr>
          <w:rFonts w:ascii="Open Sans" w:eastAsia="Open Sans" w:hAnsi="Open Sans" w:cs="Open Sans"/>
          <w:sz w:val="22"/>
          <w:szCs w:val="22"/>
        </w:rPr>
      </w:pPr>
    </w:p>
    <w:p w14:paraId="3B92D638" w14:textId="77777777" w:rsidR="00C80EE0" w:rsidRDefault="00000000">
      <w:pPr>
        <w:spacing w:line="276" w:lineRule="auto"/>
        <w:ind w:right="-574"/>
        <w:jc w:val="both"/>
        <w:rPr>
          <w:rFonts w:ascii="Open Sans" w:eastAsia="Open Sans" w:hAnsi="Open Sans" w:cs="Open Sans"/>
          <w:sz w:val="22"/>
          <w:szCs w:val="22"/>
        </w:rPr>
      </w:pPr>
      <w:r>
        <w:rPr>
          <w:rFonts w:ascii="Open Sans Light" w:eastAsia="Open Sans Light" w:hAnsi="Open Sans Light" w:cs="Open Sans Light"/>
          <w:b/>
          <w:color w:val="303AB2"/>
        </w:rPr>
        <w:t>Las consecuencias: más de la mitad de los propietarios tomarán medidas</w:t>
      </w:r>
    </w:p>
    <w:p w14:paraId="0B30EB1A" w14:textId="77777777" w:rsidR="00C80EE0" w:rsidRDefault="00C80EE0">
      <w:pPr>
        <w:spacing w:line="276" w:lineRule="auto"/>
        <w:ind w:right="-574"/>
        <w:jc w:val="both"/>
        <w:rPr>
          <w:rFonts w:ascii="Open Sans" w:eastAsia="Open Sans" w:hAnsi="Open Sans" w:cs="Open Sans"/>
          <w:sz w:val="22"/>
          <w:szCs w:val="22"/>
        </w:rPr>
      </w:pPr>
    </w:p>
    <w:p w14:paraId="6EB8063B" w14:textId="77777777" w:rsidR="00C80EE0" w:rsidRDefault="00000000">
      <w:pPr>
        <w:spacing w:line="276" w:lineRule="auto"/>
        <w:ind w:right="-574"/>
        <w:jc w:val="both"/>
        <w:rPr>
          <w:rFonts w:ascii="Open Sans" w:eastAsia="Open Sans" w:hAnsi="Open Sans" w:cs="Open Sans"/>
          <w:b/>
          <w:sz w:val="22"/>
          <w:szCs w:val="22"/>
        </w:rPr>
      </w:pPr>
      <w:r>
        <w:rPr>
          <w:rFonts w:ascii="Open Sans" w:eastAsia="Open Sans" w:hAnsi="Open Sans" w:cs="Open Sans"/>
          <w:sz w:val="22"/>
          <w:szCs w:val="22"/>
        </w:rPr>
        <w:t xml:space="preserve">De los propietarios que conocen la prórroga, casi la mitad (49%) afirman que tomarán alguna medida como consecuencia del límite de 2% de subida de alquiler. Las consecuencias más contempladas van encaminadas a mantener el piso en su régimen actual, pero buscando maneras obtener una renta superior: </w:t>
      </w:r>
      <w:r>
        <w:rPr>
          <w:rFonts w:ascii="Open Sans" w:eastAsia="Open Sans" w:hAnsi="Open Sans" w:cs="Open Sans"/>
          <w:b/>
          <w:sz w:val="22"/>
          <w:szCs w:val="22"/>
        </w:rPr>
        <w:t>estableciendo un precio más alto una vez finalice el contrato (opción mayoritaria, elegida por el 30% de los propietarios) o buscando, una vez finalice el contrato, otros inquilinos que puedan asumir un coste mayor (alternativa preferida por el 19%)</w:t>
      </w:r>
    </w:p>
    <w:p w14:paraId="08523DBA" w14:textId="77777777" w:rsidR="005A439F" w:rsidRDefault="005A439F">
      <w:pPr>
        <w:spacing w:line="276" w:lineRule="auto"/>
        <w:ind w:right="-574"/>
        <w:jc w:val="both"/>
        <w:rPr>
          <w:rFonts w:ascii="Open Sans" w:eastAsia="Open Sans" w:hAnsi="Open Sans" w:cs="Open Sans"/>
          <w:b/>
          <w:sz w:val="22"/>
          <w:szCs w:val="22"/>
        </w:rPr>
      </w:pPr>
    </w:p>
    <w:p w14:paraId="421765DD" w14:textId="16ABA142" w:rsidR="005A439F" w:rsidRDefault="005A439F">
      <w:pPr>
        <w:spacing w:line="276" w:lineRule="auto"/>
        <w:ind w:right="-574"/>
        <w:jc w:val="both"/>
        <w:rPr>
          <w:rFonts w:ascii="Open Sans" w:eastAsia="Open Sans" w:hAnsi="Open Sans" w:cs="Open Sans"/>
          <w:b/>
          <w:sz w:val="22"/>
          <w:szCs w:val="22"/>
        </w:rPr>
      </w:pPr>
      <w:r>
        <w:rPr>
          <w:noProof/>
        </w:rPr>
        <w:drawing>
          <wp:inline distT="0" distB="0" distL="0" distR="0" wp14:anchorId="51562FE0" wp14:editId="39CC5D43">
            <wp:extent cx="5600700" cy="4366260"/>
            <wp:effectExtent l="0" t="0" r="0" b="0"/>
            <wp:docPr id="1441436105" name="image2.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png" descr="Gráfico, Gráfico de barras&#10;&#10;Descripción generada automáticamente"/>
                    <pic:cNvPicPr preferRelativeResize="0"/>
                  </pic:nvPicPr>
                  <pic:blipFill>
                    <a:blip r:embed="rId11"/>
                    <a:srcRect/>
                    <a:stretch>
                      <a:fillRect/>
                    </a:stretch>
                  </pic:blipFill>
                  <pic:spPr>
                    <a:xfrm>
                      <a:off x="0" y="0"/>
                      <a:ext cx="5600885" cy="4366404"/>
                    </a:xfrm>
                    <a:prstGeom prst="rect">
                      <a:avLst/>
                    </a:prstGeom>
                    <a:ln/>
                  </pic:spPr>
                </pic:pic>
              </a:graphicData>
            </a:graphic>
          </wp:inline>
        </w:drawing>
      </w:r>
    </w:p>
    <w:p w14:paraId="71EC725C"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lastRenderedPageBreak/>
        <w:t>Las opciones, por tanto, de vender el piso o pasar a destinar la vivienda a alquiler vacacional, cuentan con un apoyo significativamente menor, en ambos casos del 6%. Solo el 7% se planteará en el futuro la adquisición de vivienda como inversión.</w:t>
      </w:r>
    </w:p>
    <w:p w14:paraId="16EC29D0" w14:textId="77777777" w:rsidR="00C80EE0" w:rsidRDefault="00C80EE0">
      <w:pPr>
        <w:spacing w:line="276" w:lineRule="auto"/>
        <w:ind w:right="-574"/>
        <w:jc w:val="both"/>
        <w:rPr>
          <w:rFonts w:ascii="Open Sans" w:eastAsia="Open Sans" w:hAnsi="Open Sans" w:cs="Open Sans"/>
          <w:sz w:val="22"/>
          <w:szCs w:val="22"/>
        </w:rPr>
      </w:pPr>
    </w:p>
    <w:p w14:paraId="7D0CC3BC"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Además, como cabía esperar, son quienes se sienten perjudicados por la medida, los que en mayor proporción (80%) declaran que tienen pensado tomar medidas para paliar la pérdida de ganancia. Aunque, entre aquellos que se sienten poco o nada perjudicados, también existe un porcentaje significativo (en torno a 1 de cada 3) que de la misma manera afirma que tomará medidas.</w:t>
      </w:r>
    </w:p>
    <w:p w14:paraId="3FA75ECD" w14:textId="77777777" w:rsidR="00C80EE0" w:rsidRDefault="00C80EE0">
      <w:pPr>
        <w:spacing w:line="276" w:lineRule="auto"/>
        <w:ind w:right="-574"/>
        <w:jc w:val="both"/>
        <w:rPr>
          <w:rFonts w:ascii="Open Sans" w:eastAsia="Open Sans" w:hAnsi="Open Sans" w:cs="Open Sans"/>
          <w:sz w:val="22"/>
          <w:szCs w:val="22"/>
        </w:rPr>
      </w:pPr>
    </w:p>
    <w:p w14:paraId="12ECB70A"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Por comunidades encontramos algunas diferencias relevantes, siendo </w:t>
      </w:r>
      <w:r>
        <w:rPr>
          <w:rFonts w:ascii="Open Sans" w:eastAsia="Open Sans" w:hAnsi="Open Sans" w:cs="Open Sans"/>
          <w:b/>
          <w:sz w:val="22"/>
          <w:szCs w:val="22"/>
        </w:rPr>
        <w:t>los arrendadores de Madrid relativamente más propensos a vender el piso una vez finalice el contrato (10%), y los de Andalucía se inclinan más hacia plantearse la compra de vivienda como inversión (12%) y a pasar la vivienda a alquiler vacacional (15%).</w:t>
      </w:r>
    </w:p>
    <w:p w14:paraId="1E36C8EF" w14:textId="77777777" w:rsidR="00C80EE0" w:rsidRDefault="00C80EE0">
      <w:pPr>
        <w:spacing w:line="276" w:lineRule="auto"/>
        <w:ind w:right="-574"/>
        <w:jc w:val="both"/>
        <w:rPr>
          <w:rFonts w:ascii="Open Sans" w:eastAsia="Open Sans" w:hAnsi="Open Sans" w:cs="Open Sans"/>
          <w:sz w:val="22"/>
          <w:szCs w:val="22"/>
        </w:rPr>
      </w:pPr>
    </w:p>
    <w:p w14:paraId="36C74B8C" w14:textId="77777777" w:rsidR="00C80EE0" w:rsidRDefault="00C80EE0">
      <w:pPr>
        <w:spacing w:line="276" w:lineRule="auto"/>
        <w:ind w:right="-574"/>
        <w:jc w:val="both"/>
        <w:rPr>
          <w:rFonts w:ascii="Open Sans" w:eastAsia="Open Sans" w:hAnsi="Open Sans" w:cs="Open Sans"/>
          <w:sz w:val="22"/>
          <w:szCs w:val="22"/>
        </w:rPr>
      </w:pPr>
    </w:p>
    <w:p w14:paraId="16AA01B8" w14:textId="77777777" w:rsidR="00C80EE0" w:rsidRDefault="00000000">
      <w:pP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Sin subidas del alquiler para la mayoría de los inquilinos </w:t>
      </w:r>
    </w:p>
    <w:p w14:paraId="1310AABE"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 </w:t>
      </w:r>
    </w:p>
    <w:p w14:paraId="0172E5A9"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b/>
          <w:sz w:val="22"/>
          <w:szCs w:val="22"/>
        </w:rPr>
        <w:t>A la mayoría de los inquilinos (64,5%) no se le ha aplicado ninguna subida desde abril de 2022.</w:t>
      </w:r>
      <w:r>
        <w:rPr>
          <w:rFonts w:ascii="Open Sans" w:eastAsia="Open Sans" w:hAnsi="Open Sans" w:cs="Open Sans"/>
          <w:sz w:val="22"/>
          <w:szCs w:val="22"/>
        </w:rPr>
        <w:t xml:space="preserve"> Si nos centramos en aquellos que sí han experimentado subida, se han aplicado tanto subidas del 2%, como subidas superiores a dicho umbral.</w:t>
      </w:r>
    </w:p>
    <w:p w14:paraId="2FE1456F" w14:textId="77777777" w:rsidR="00C80EE0" w:rsidRDefault="00C80EE0">
      <w:pPr>
        <w:spacing w:line="276" w:lineRule="auto"/>
        <w:ind w:right="-574"/>
        <w:jc w:val="both"/>
        <w:rPr>
          <w:rFonts w:ascii="Open Sans" w:eastAsia="Open Sans" w:hAnsi="Open Sans" w:cs="Open Sans"/>
          <w:sz w:val="22"/>
          <w:szCs w:val="22"/>
        </w:rPr>
      </w:pPr>
    </w:p>
    <w:p w14:paraId="70318046"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Así, ante la pregunta de si, “</w:t>
      </w:r>
      <w:r>
        <w:rPr>
          <w:rFonts w:ascii="Open Sans" w:eastAsia="Open Sans" w:hAnsi="Open Sans" w:cs="Open Sans"/>
          <w:i/>
          <w:sz w:val="22"/>
          <w:szCs w:val="22"/>
        </w:rPr>
        <w:t>Pensando en la vivienda en la que vives actualmente, ¿se te ha aplicado este límite de subida del 2% desde que entró la regulación en vigor, en abril de 2022</w:t>
      </w:r>
      <w:r>
        <w:rPr>
          <w:rFonts w:ascii="Open Sans" w:eastAsia="Open Sans" w:hAnsi="Open Sans" w:cs="Open Sans"/>
          <w:sz w:val="22"/>
          <w:szCs w:val="22"/>
        </w:rPr>
        <w:t>?”, el 16% responde que, en efecto, se le ha subido el alquiler hasta en un 2%. Por su parte, un 20% de inquilinos afirma que ese incremento ha sido incluso superior a este porcentaje.</w:t>
      </w:r>
    </w:p>
    <w:p w14:paraId="3612F7AD" w14:textId="77777777" w:rsidR="00C80EE0" w:rsidRDefault="00C80EE0">
      <w:pPr>
        <w:spacing w:line="276" w:lineRule="auto"/>
        <w:ind w:right="-574"/>
        <w:jc w:val="both"/>
        <w:rPr>
          <w:rFonts w:ascii="Open Sans Light" w:eastAsia="Open Sans Light" w:hAnsi="Open Sans Light" w:cs="Open Sans Light"/>
          <w:b/>
          <w:color w:val="303AB2"/>
        </w:rPr>
      </w:pPr>
    </w:p>
    <w:p w14:paraId="10B47BD8" w14:textId="77777777" w:rsidR="00C80EE0" w:rsidRDefault="00000000">
      <w:pPr>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Gran conocimiento de la regulación</w:t>
      </w:r>
    </w:p>
    <w:p w14:paraId="76FFD8B2" w14:textId="77777777" w:rsidR="00C80EE0" w:rsidRDefault="00C80EE0">
      <w:pPr>
        <w:spacing w:line="276" w:lineRule="auto"/>
        <w:ind w:right="-574"/>
        <w:jc w:val="both"/>
        <w:rPr>
          <w:rFonts w:ascii="Open Sans" w:eastAsia="Open Sans" w:hAnsi="Open Sans" w:cs="Open Sans"/>
          <w:sz w:val="22"/>
          <w:szCs w:val="22"/>
        </w:rPr>
      </w:pPr>
    </w:p>
    <w:p w14:paraId="50290C97"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Los datos expuestos anteriormente vienen respaldados por el hecho de que, en general, </w:t>
      </w:r>
      <w:r>
        <w:rPr>
          <w:rFonts w:ascii="Open Sans" w:eastAsia="Open Sans" w:hAnsi="Open Sans" w:cs="Open Sans"/>
          <w:b/>
          <w:sz w:val="22"/>
          <w:szCs w:val="22"/>
        </w:rPr>
        <w:t>existe un conocimiento alto de la regulación</w:t>
      </w:r>
      <w:r>
        <w:rPr>
          <w:rFonts w:ascii="Open Sans" w:eastAsia="Open Sans" w:hAnsi="Open Sans" w:cs="Open Sans"/>
          <w:sz w:val="22"/>
          <w:szCs w:val="22"/>
        </w:rPr>
        <w:t xml:space="preserve">. Así, los propietarios muestran un mayor conocimiento que los arrendatarios: un 82% de propietarios conoce la regulación frente al 67% de los arrendatarios. </w:t>
      </w:r>
    </w:p>
    <w:p w14:paraId="51D4D44C" w14:textId="77777777" w:rsidR="00C80EE0" w:rsidRDefault="00C80EE0">
      <w:pPr>
        <w:spacing w:line="276" w:lineRule="auto"/>
        <w:ind w:right="-574"/>
        <w:jc w:val="both"/>
        <w:rPr>
          <w:rFonts w:ascii="Open Sans" w:eastAsia="Open Sans" w:hAnsi="Open Sans" w:cs="Open Sans"/>
          <w:sz w:val="22"/>
          <w:szCs w:val="22"/>
        </w:rPr>
      </w:pPr>
    </w:p>
    <w:p w14:paraId="6CE14079" w14:textId="77777777" w:rsidR="00C80EE0" w:rsidRDefault="00000000">
      <w:pPr>
        <w:spacing w:line="276" w:lineRule="auto"/>
        <w:ind w:right="-574"/>
        <w:jc w:val="both"/>
        <w:rPr>
          <w:rFonts w:ascii="Open Sans" w:eastAsia="Open Sans" w:hAnsi="Open Sans" w:cs="Open Sans"/>
          <w:sz w:val="22"/>
          <w:szCs w:val="22"/>
        </w:rPr>
      </w:pPr>
      <w:r>
        <w:rPr>
          <w:noProof/>
        </w:rPr>
        <w:lastRenderedPageBreak/>
        <w:drawing>
          <wp:inline distT="0" distB="0" distL="0" distR="0" wp14:anchorId="0B05F750" wp14:editId="7EED6444">
            <wp:extent cx="5705814" cy="3007833"/>
            <wp:effectExtent l="0" t="0" r="0" b="0"/>
            <wp:docPr id="1441436104" name="image4.png" descr="Gráfico, Gráfico circular&#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Gráfico, Gráfico circular&#10;&#10;Descripción generada automáticamente"/>
                    <pic:cNvPicPr preferRelativeResize="0"/>
                  </pic:nvPicPr>
                  <pic:blipFill>
                    <a:blip r:embed="rId12"/>
                    <a:srcRect/>
                    <a:stretch>
                      <a:fillRect/>
                    </a:stretch>
                  </pic:blipFill>
                  <pic:spPr>
                    <a:xfrm>
                      <a:off x="0" y="0"/>
                      <a:ext cx="5705814" cy="3007833"/>
                    </a:xfrm>
                    <a:prstGeom prst="rect">
                      <a:avLst/>
                    </a:prstGeom>
                    <a:ln/>
                  </pic:spPr>
                </pic:pic>
              </a:graphicData>
            </a:graphic>
          </wp:inline>
        </w:drawing>
      </w:r>
    </w:p>
    <w:p w14:paraId="18734C22" w14:textId="77777777" w:rsidR="00C80EE0" w:rsidRDefault="00C80EE0">
      <w:pPr>
        <w:spacing w:line="276" w:lineRule="auto"/>
        <w:ind w:right="-574"/>
        <w:jc w:val="both"/>
        <w:rPr>
          <w:rFonts w:ascii="Open Sans" w:eastAsia="Open Sans" w:hAnsi="Open Sans" w:cs="Open Sans"/>
          <w:sz w:val="22"/>
          <w:szCs w:val="22"/>
        </w:rPr>
      </w:pPr>
    </w:p>
    <w:p w14:paraId="1A3C76AA" w14:textId="77777777" w:rsidR="00C80EE0"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Algunas de las principales diferencias las encontramos entre dos variables que, además, se hallan relacionadas: la edad y el perfil en el mercado de la vivienda (el perfil de inquilino es más joven y el de arrendador más mayor). En este sentido, </w:t>
      </w:r>
      <w:r>
        <w:rPr>
          <w:rFonts w:ascii="Open Sans" w:eastAsia="Open Sans" w:hAnsi="Open Sans" w:cs="Open Sans"/>
          <w:b/>
          <w:sz w:val="22"/>
          <w:szCs w:val="22"/>
        </w:rPr>
        <w:t>los jóvenes de 18-34 años presentan un conocimiento menor de la medida, en torno al 60%</w:t>
      </w:r>
      <w:r>
        <w:rPr>
          <w:rFonts w:ascii="Open Sans" w:eastAsia="Open Sans" w:hAnsi="Open Sans" w:cs="Open Sans"/>
          <w:sz w:val="22"/>
          <w:szCs w:val="22"/>
        </w:rPr>
        <w:t>, mientras que entre los mayores de 45 años éste sobrepasa el 80%. A pesar de ello, la medida sí es conocida por la mayoría de la población en todos los segmentos.</w:t>
      </w:r>
    </w:p>
    <w:p w14:paraId="1CA12815" w14:textId="77777777" w:rsidR="00C80EE0" w:rsidRDefault="00C80EE0">
      <w:pPr>
        <w:spacing w:line="276" w:lineRule="auto"/>
        <w:ind w:right="-574"/>
        <w:jc w:val="both"/>
        <w:rPr>
          <w:rFonts w:ascii="Open Sans" w:eastAsia="Open Sans" w:hAnsi="Open Sans" w:cs="Open Sans"/>
          <w:sz w:val="22"/>
          <w:szCs w:val="22"/>
        </w:rPr>
      </w:pPr>
    </w:p>
    <w:p w14:paraId="6D8B7CAD" w14:textId="77777777" w:rsidR="00C80EE0" w:rsidRDefault="00000000">
      <w:pPr>
        <w:spacing w:line="276" w:lineRule="auto"/>
        <w:ind w:right="-574"/>
        <w:jc w:val="both"/>
        <w:rPr>
          <w:rFonts w:ascii="Open Sans Light" w:eastAsia="Open Sans Light" w:hAnsi="Open Sans Light" w:cs="Open Sans Light"/>
          <w:b/>
          <w:color w:val="303AB2"/>
        </w:rPr>
      </w:pPr>
      <w:r>
        <w:rPr>
          <w:rFonts w:ascii="Open Sans" w:eastAsia="Open Sans" w:hAnsi="Open Sans" w:cs="Open Sans"/>
          <w:sz w:val="22"/>
          <w:szCs w:val="22"/>
        </w:rPr>
        <w:t xml:space="preserve">En este punto existen también algunas diferencias entre territorios, siendo </w:t>
      </w:r>
      <w:r>
        <w:rPr>
          <w:rFonts w:ascii="Open Sans" w:eastAsia="Open Sans" w:hAnsi="Open Sans" w:cs="Open Sans"/>
          <w:b/>
          <w:sz w:val="22"/>
          <w:szCs w:val="22"/>
        </w:rPr>
        <w:t>la medida más conocida en Madrid (81%) y Cataluña (77%), que en Andalucía (68%) y Comunidad Valenciana (63%).</w:t>
      </w:r>
      <w:r>
        <w:rPr>
          <w:rFonts w:ascii="Open Sans" w:eastAsia="Open Sans" w:hAnsi="Open Sans" w:cs="Open Sans"/>
          <w:sz w:val="22"/>
          <w:szCs w:val="22"/>
        </w:rPr>
        <w:t xml:space="preserve"> Aunque nuevamente la medida es conocida mayoritariamente en todas las comunidades.</w:t>
      </w:r>
    </w:p>
    <w:p w14:paraId="1B3AEAE4" w14:textId="77777777" w:rsidR="00C80EE0" w:rsidRDefault="00C80EE0">
      <w:pPr>
        <w:spacing w:line="276" w:lineRule="auto"/>
        <w:ind w:right="-574"/>
        <w:jc w:val="both"/>
        <w:rPr>
          <w:rFonts w:ascii="Open Sans Light" w:eastAsia="Open Sans Light" w:hAnsi="Open Sans Light" w:cs="Open Sans Light"/>
          <w:b/>
          <w:color w:val="303AB2"/>
        </w:rPr>
      </w:pPr>
    </w:p>
    <w:p w14:paraId="3E51F1FD" w14:textId="77777777" w:rsidR="00C80EE0" w:rsidRDefault="00C80EE0">
      <w:pPr>
        <w:spacing w:line="276" w:lineRule="auto"/>
        <w:ind w:right="-574"/>
        <w:jc w:val="both"/>
        <w:rPr>
          <w:rFonts w:ascii="Open Sans Light" w:eastAsia="Open Sans Light" w:hAnsi="Open Sans Light" w:cs="Open Sans Light"/>
          <w:b/>
          <w:color w:val="303AB2"/>
        </w:rPr>
      </w:pPr>
    </w:p>
    <w:p w14:paraId="68BD437C" w14:textId="77777777" w:rsidR="00C80EE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3FD2DE50" w14:textId="77777777" w:rsidR="00C80EE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3">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Toda nuestra información la puedes encontrar en nuestra </w:t>
      </w:r>
      <w:hyperlink r:id="rId14">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0" w:name="_heading=h.gjdgxs" w:colFirst="0" w:colLast="0"/>
    <w:bookmarkEnd w:id="0"/>
    <w:p w14:paraId="17A77CFB" w14:textId="77777777" w:rsidR="00C80EE0" w:rsidRDefault="00000000">
      <w:pPr>
        <w:shd w:val="clear" w:color="auto" w:fill="FFFFFF"/>
        <w:spacing w:before="280" w:after="280" w:line="276" w:lineRule="auto"/>
        <w:ind w:right="-716"/>
        <w:jc w:val="both"/>
        <w:rPr>
          <w:rFonts w:ascii="Open Sans" w:eastAsia="Open Sans" w:hAnsi="Open Sans" w:cs="Open Sans"/>
          <w:color w:val="000000"/>
          <w:sz w:val="22"/>
          <w:szCs w:val="22"/>
        </w:rPr>
      </w:pPr>
      <w:r>
        <w:lastRenderedPageBreak/>
        <w:fldChar w:fldCharType="begin"/>
      </w:r>
      <w:r>
        <w:instrText>HYPERLINK "http://www.fotocasa.es/" \h</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5">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0F725B77" w14:textId="77777777" w:rsidR="00C80EE0" w:rsidRDefault="00C80EE0">
      <w:pPr>
        <w:spacing w:line="276" w:lineRule="auto"/>
        <w:ind w:right="-716"/>
        <w:jc w:val="right"/>
        <w:rPr>
          <w:rFonts w:ascii="Open Sans Light" w:eastAsia="Open Sans Light" w:hAnsi="Open Sans Light" w:cs="Open Sans Light"/>
          <w:b/>
          <w:color w:val="303AB2"/>
        </w:rPr>
      </w:pPr>
    </w:p>
    <w:p w14:paraId="312B9323" w14:textId="77777777" w:rsidR="00C80EE0" w:rsidRDefault="0000000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6FB87450" w14:textId="77777777" w:rsidR="00C80EE0" w:rsidRDefault="00000000">
      <w:pPr>
        <w:spacing w:before="143" w:after="200"/>
        <w:ind w:right="-716"/>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6">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7">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18">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19">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0">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HYPERLINK "https://www.milanuncios.com/" \h</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12530FA9" w14:textId="77777777" w:rsidR="00C80EE0" w:rsidRDefault="00000000">
      <w:pPr>
        <w:spacing w:before="143" w:after="20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178C7DC5" w14:textId="77777777" w:rsidR="00C80EE0" w:rsidRDefault="00000000">
      <w:pPr>
        <w:spacing w:before="143" w:after="200"/>
        <w:ind w:right="-716"/>
        <w:jc w:val="both"/>
        <w:rPr>
          <w:rFonts w:ascii="Open Sans" w:eastAsia="Open Sans" w:hAnsi="Open Sans" w:cs="Open Sans"/>
          <w:color w:val="000000"/>
          <w:sz w:val="22"/>
          <w:szCs w:val="22"/>
        </w:rPr>
      </w:pP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tiene presencia mundial en 11 países. El conjunto de sus plataformas locales recibe un promedio de 3.000 millones de visitas cada mes. </w:t>
      </w:r>
    </w:p>
    <w:p w14:paraId="03C1AAF6" w14:textId="77777777" w:rsidR="00C80EE0" w:rsidRDefault="00000000">
      <w:pPr>
        <w:spacing w:after="160"/>
        <w:ind w:right="-716"/>
        <w:jc w:val="both"/>
        <w:rPr>
          <w:rFonts w:ascii="Open Sans" w:eastAsia="Open Sans" w:hAnsi="Open Sans" w:cs="Open Sans"/>
          <w:color w:val="1155CC"/>
          <w:sz w:val="22"/>
          <w:szCs w:val="22"/>
          <w:u w:val="single"/>
        </w:rPr>
      </w:pPr>
      <w:r>
        <w:rPr>
          <w:rFonts w:ascii="Open Sans" w:eastAsia="Open Sans" w:hAnsi="Open Sans" w:cs="Open Sans"/>
          <w:sz w:val="22"/>
          <w:szCs w:val="22"/>
        </w:rPr>
        <w:t xml:space="preserve">Más información en </w:t>
      </w:r>
      <w:hyperlink r:id="rId21">
        <w:r>
          <w:rPr>
            <w:rFonts w:ascii="Open Sans" w:eastAsia="Open Sans" w:hAnsi="Open Sans" w:cs="Open Sans"/>
            <w:color w:val="1155CC"/>
            <w:sz w:val="22"/>
            <w:szCs w:val="22"/>
            <w:u w:val="single"/>
          </w:rPr>
          <w:t>adevinta.es</w:t>
        </w:r>
      </w:hyperlink>
    </w:p>
    <w:p w14:paraId="37C86247" w14:textId="77777777" w:rsidR="00C80EE0" w:rsidRDefault="00C80EE0">
      <w:pPr>
        <w:spacing w:after="160"/>
        <w:ind w:right="-716"/>
        <w:jc w:val="both"/>
        <w:rPr>
          <w:rFonts w:ascii="Open Sans" w:eastAsia="Open Sans" w:hAnsi="Open Sans" w:cs="Open Sans"/>
        </w:rPr>
      </w:pPr>
    </w:p>
    <w:p w14:paraId="1D6F1F80" w14:textId="77777777" w:rsidR="00C80EE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Departamento Comunicación Fotocasa</w:t>
      </w:r>
    </w:p>
    <w:p w14:paraId="4B1845F2" w14:textId="77777777" w:rsidR="00C80EE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Anaïs López</w:t>
      </w:r>
    </w:p>
    <w:p w14:paraId="7D402396" w14:textId="77777777" w:rsidR="00C80EE0" w:rsidRDefault="00000000">
      <w:pPr>
        <w:shd w:val="clear" w:color="auto" w:fill="FFFFFF"/>
        <w:spacing w:line="276" w:lineRule="auto"/>
        <w:ind w:right="-716"/>
        <w:rPr>
          <w:rFonts w:ascii="Open Sans" w:eastAsia="Open Sans" w:hAnsi="Open Sans" w:cs="Open Sans"/>
          <w:color w:val="0000FF"/>
          <w:sz w:val="22"/>
          <w:szCs w:val="22"/>
          <w:u w:val="single"/>
        </w:rPr>
      </w:pPr>
      <w:hyperlink r:id="rId22">
        <w:r>
          <w:rPr>
            <w:rFonts w:ascii="Open Sans" w:eastAsia="Open Sans" w:hAnsi="Open Sans" w:cs="Open Sans"/>
            <w:color w:val="0000FF"/>
            <w:sz w:val="22"/>
            <w:szCs w:val="22"/>
            <w:u w:val="single"/>
          </w:rPr>
          <w:t>comunicacion@fotocasa.es</w:t>
        </w:r>
      </w:hyperlink>
    </w:p>
    <w:p w14:paraId="20A2270F" w14:textId="77777777" w:rsidR="00C80EE0" w:rsidRDefault="00000000">
      <w:pPr>
        <w:shd w:val="clear" w:color="auto" w:fill="FFFFFF"/>
        <w:spacing w:line="276" w:lineRule="auto"/>
        <w:ind w:right="-716"/>
        <w:rPr>
          <w:rFonts w:ascii="Open Sans" w:eastAsia="Open Sans" w:hAnsi="Open Sans" w:cs="Open Sans"/>
          <w:color w:val="000000"/>
          <w:sz w:val="22"/>
          <w:szCs w:val="22"/>
        </w:rPr>
      </w:pPr>
      <w:r>
        <w:rPr>
          <w:rFonts w:ascii="Open Sans" w:eastAsia="Open Sans" w:hAnsi="Open Sans" w:cs="Open Sans"/>
          <w:color w:val="000000"/>
          <w:sz w:val="22"/>
          <w:szCs w:val="22"/>
        </w:rPr>
        <w:t>620 66 29 26</w:t>
      </w:r>
    </w:p>
    <w:p w14:paraId="07C11DC7" w14:textId="77777777" w:rsidR="00C80EE0" w:rsidRDefault="00C80EE0">
      <w:pPr>
        <w:spacing w:line="276" w:lineRule="auto"/>
        <w:ind w:right="-716"/>
        <w:rPr>
          <w:rFonts w:ascii="Open Sans Light" w:eastAsia="Open Sans Light" w:hAnsi="Open Sans Light" w:cs="Open Sans Light"/>
          <w:b/>
          <w:color w:val="303AB2"/>
          <w:sz w:val="22"/>
          <w:szCs w:val="22"/>
        </w:rPr>
      </w:pPr>
    </w:p>
    <w:p w14:paraId="16A01F08" w14:textId="77777777" w:rsidR="00C80EE0" w:rsidRDefault="0000000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r>
    </w:p>
    <w:p w14:paraId="17D3312D" w14:textId="77777777" w:rsidR="00C80EE0" w:rsidRDefault="00000000">
      <w:pPr>
        <w:shd w:val="clear" w:color="auto" w:fill="FFFFFF"/>
        <w:spacing w:line="276" w:lineRule="auto"/>
        <w:ind w:right="-716"/>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w:t>
      </w:r>
    </w:p>
    <w:p w14:paraId="1C1258D3" w14:textId="77777777" w:rsidR="00C80EE0" w:rsidRPr="005A439F" w:rsidRDefault="00000000">
      <w:pPr>
        <w:shd w:val="clear" w:color="auto" w:fill="FFFFFF"/>
        <w:spacing w:line="276" w:lineRule="auto"/>
        <w:ind w:right="-716"/>
        <w:rPr>
          <w:rFonts w:ascii="Open Sans" w:eastAsia="Open Sans" w:hAnsi="Open Sans" w:cs="Open Sans"/>
          <w:color w:val="0000FF"/>
          <w:sz w:val="22"/>
          <w:szCs w:val="22"/>
          <w:u w:val="single"/>
          <w:lang w:val="en-US"/>
        </w:rPr>
      </w:pPr>
      <w:hyperlink r:id="rId23">
        <w:r w:rsidRPr="005A439F">
          <w:rPr>
            <w:rFonts w:ascii="Open Sans" w:eastAsia="Open Sans" w:hAnsi="Open Sans" w:cs="Open Sans"/>
            <w:color w:val="0000FF"/>
            <w:sz w:val="22"/>
            <w:szCs w:val="22"/>
            <w:u w:val="single"/>
            <w:lang w:val="en-US"/>
          </w:rPr>
          <w:t>rtorne@llorenteycuenca.com</w:t>
        </w:r>
      </w:hyperlink>
      <w:r w:rsidRPr="005A439F">
        <w:rPr>
          <w:rFonts w:ascii="Open Sans" w:eastAsia="Open Sans" w:hAnsi="Open Sans" w:cs="Open Sans"/>
          <w:color w:val="0000FF"/>
          <w:sz w:val="22"/>
          <w:szCs w:val="22"/>
          <w:lang w:val="en-US"/>
        </w:rPr>
        <w:tab/>
      </w:r>
      <w:r w:rsidRPr="005A439F">
        <w:rPr>
          <w:rFonts w:ascii="Open Sans" w:eastAsia="Open Sans" w:hAnsi="Open Sans" w:cs="Open Sans"/>
          <w:color w:val="0000FF"/>
          <w:sz w:val="22"/>
          <w:szCs w:val="22"/>
          <w:lang w:val="en-US"/>
        </w:rPr>
        <w:tab/>
      </w:r>
      <w:r w:rsidRPr="005A439F">
        <w:rPr>
          <w:rFonts w:ascii="Open Sans" w:eastAsia="Open Sans" w:hAnsi="Open Sans" w:cs="Open Sans"/>
          <w:color w:val="0000FF"/>
          <w:sz w:val="22"/>
          <w:szCs w:val="22"/>
          <w:lang w:val="en-US"/>
        </w:rPr>
        <w:tab/>
      </w:r>
    </w:p>
    <w:p w14:paraId="06E66974" w14:textId="77777777" w:rsidR="00C80EE0" w:rsidRPr="005A439F" w:rsidRDefault="00000000">
      <w:pPr>
        <w:shd w:val="clear" w:color="auto" w:fill="FFFFFF"/>
        <w:spacing w:line="276" w:lineRule="auto"/>
        <w:ind w:right="-716"/>
        <w:rPr>
          <w:rFonts w:ascii="Open Sans" w:eastAsia="Open Sans" w:hAnsi="Open Sans" w:cs="Open Sans"/>
          <w:color w:val="000000"/>
          <w:sz w:val="22"/>
          <w:szCs w:val="22"/>
          <w:lang w:val="en-US"/>
        </w:rPr>
      </w:pPr>
      <w:r w:rsidRPr="005A439F">
        <w:rPr>
          <w:rFonts w:ascii="Open Sans" w:eastAsia="Open Sans" w:hAnsi="Open Sans" w:cs="Open Sans"/>
          <w:color w:val="000000"/>
          <w:sz w:val="22"/>
          <w:szCs w:val="22"/>
          <w:lang w:val="en-US"/>
        </w:rPr>
        <w:t xml:space="preserve">638 68 19 85      </w:t>
      </w:r>
      <w:r w:rsidRPr="005A439F">
        <w:rPr>
          <w:rFonts w:ascii="Open Sans" w:eastAsia="Open Sans" w:hAnsi="Open Sans" w:cs="Open Sans"/>
          <w:color w:val="000000"/>
          <w:sz w:val="22"/>
          <w:szCs w:val="22"/>
          <w:lang w:val="en-US"/>
        </w:rPr>
        <w:tab/>
      </w:r>
      <w:r w:rsidRPr="005A439F">
        <w:rPr>
          <w:rFonts w:ascii="Open Sans" w:eastAsia="Open Sans" w:hAnsi="Open Sans" w:cs="Open Sans"/>
          <w:color w:val="000000"/>
          <w:sz w:val="22"/>
          <w:szCs w:val="22"/>
          <w:lang w:val="en-US"/>
        </w:rPr>
        <w:tab/>
      </w:r>
      <w:r w:rsidRPr="005A439F">
        <w:rPr>
          <w:rFonts w:ascii="Open Sans" w:eastAsia="Open Sans" w:hAnsi="Open Sans" w:cs="Open Sans"/>
          <w:color w:val="000000"/>
          <w:sz w:val="22"/>
          <w:szCs w:val="22"/>
          <w:lang w:val="en-US"/>
        </w:rPr>
        <w:tab/>
      </w:r>
      <w:r w:rsidRPr="005A439F">
        <w:rPr>
          <w:rFonts w:ascii="Open Sans" w:eastAsia="Open Sans" w:hAnsi="Open Sans" w:cs="Open Sans"/>
          <w:color w:val="000000"/>
          <w:sz w:val="22"/>
          <w:szCs w:val="22"/>
          <w:lang w:val="en-US"/>
        </w:rPr>
        <w:tab/>
      </w:r>
      <w:r w:rsidRPr="005A439F">
        <w:rPr>
          <w:rFonts w:ascii="Open Sans" w:eastAsia="Open Sans" w:hAnsi="Open Sans" w:cs="Open Sans"/>
          <w:color w:val="000000"/>
          <w:sz w:val="22"/>
          <w:szCs w:val="22"/>
          <w:lang w:val="en-US"/>
        </w:rPr>
        <w:tab/>
      </w:r>
      <w:r w:rsidRPr="005A439F">
        <w:rPr>
          <w:rFonts w:ascii="Open Sans" w:eastAsia="Open Sans" w:hAnsi="Open Sans" w:cs="Open Sans"/>
          <w:color w:val="000000"/>
          <w:sz w:val="22"/>
          <w:szCs w:val="22"/>
          <w:lang w:val="en-US"/>
        </w:rPr>
        <w:tab/>
      </w:r>
      <w:r w:rsidRPr="005A439F">
        <w:rPr>
          <w:rFonts w:ascii="Open Sans" w:eastAsia="Open Sans" w:hAnsi="Open Sans" w:cs="Open Sans"/>
          <w:color w:val="000000"/>
          <w:sz w:val="22"/>
          <w:szCs w:val="22"/>
          <w:lang w:val="en-US"/>
        </w:rPr>
        <w:tab/>
      </w:r>
      <w:r w:rsidRPr="005A439F">
        <w:rPr>
          <w:rFonts w:ascii="Open Sans" w:eastAsia="Open Sans" w:hAnsi="Open Sans" w:cs="Open Sans"/>
          <w:color w:val="000000"/>
          <w:sz w:val="22"/>
          <w:szCs w:val="22"/>
          <w:lang w:val="en-US"/>
        </w:rPr>
        <w:tab/>
      </w:r>
    </w:p>
    <w:p w14:paraId="50682F9A" w14:textId="77777777" w:rsidR="00C80EE0" w:rsidRPr="005A439F" w:rsidRDefault="00000000">
      <w:pPr>
        <w:shd w:val="clear" w:color="auto" w:fill="FFFFFF"/>
        <w:ind w:right="-716"/>
        <w:rPr>
          <w:rFonts w:ascii="Arial" w:eastAsia="Arial" w:hAnsi="Arial" w:cs="Arial"/>
          <w:color w:val="222222"/>
          <w:sz w:val="22"/>
          <w:szCs w:val="22"/>
          <w:lang w:val="en-US"/>
        </w:rPr>
      </w:pPr>
      <w:r w:rsidRPr="005A439F">
        <w:rPr>
          <w:rFonts w:ascii="Arial" w:eastAsia="Arial" w:hAnsi="Arial" w:cs="Arial"/>
          <w:color w:val="222222"/>
          <w:sz w:val="22"/>
          <w:szCs w:val="22"/>
          <w:lang w:val="en-US"/>
        </w:rPr>
        <w:tab/>
      </w:r>
    </w:p>
    <w:p w14:paraId="47F70415" w14:textId="77777777" w:rsidR="00C80EE0" w:rsidRPr="005A439F" w:rsidRDefault="00000000">
      <w:pPr>
        <w:shd w:val="clear" w:color="auto" w:fill="FFFFFF"/>
        <w:ind w:right="-716"/>
        <w:rPr>
          <w:rFonts w:ascii="Arial" w:eastAsia="Arial" w:hAnsi="Arial" w:cs="Arial"/>
          <w:color w:val="222222"/>
          <w:sz w:val="22"/>
          <w:szCs w:val="22"/>
          <w:lang w:val="en-US"/>
        </w:rPr>
      </w:pPr>
      <w:r w:rsidRPr="005A439F">
        <w:rPr>
          <w:rFonts w:ascii="Arial" w:eastAsia="Arial" w:hAnsi="Arial" w:cs="Arial"/>
          <w:color w:val="222222"/>
          <w:sz w:val="22"/>
          <w:szCs w:val="22"/>
          <w:lang w:val="en-US"/>
        </w:rPr>
        <w:tab/>
      </w:r>
      <w:r w:rsidRPr="005A439F">
        <w:rPr>
          <w:rFonts w:ascii="Arial" w:eastAsia="Arial" w:hAnsi="Arial" w:cs="Arial"/>
          <w:color w:val="222222"/>
          <w:sz w:val="22"/>
          <w:szCs w:val="22"/>
          <w:lang w:val="en-US"/>
        </w:rPr>
        <w:tab/>
      </w:r>
      <w:r w:rsidRPr="005A439F">
        <w:rPr>
          <w:rFonts w:ascii="Arial" w:eastAsia="Arial" w:hAnsi="Arial" w:cs="Arial"/>
          <w:color w:val="222222"/>
          <w:sz w:val="22"/>
          <w:szCs w:val="22"/>
          <w:lang w:val="en-US"/>
        </w:rPr>
        <w:tab/>
      </w:r>
      <w:r w:rsidRPr="005A439F">
        <w:rPr>
          <w:rFonts w:ascii="Arial" w:eastAsia="Arial" w:hAnsi="Arial" w:cs="Arial"/>
          <w:color w:val="222222"/>
          <w:sz w:val="22"/>
          <w:szCs w:val="22"/>
          <w:lang w:val="en-US"/>
        </w:rPr>
        <w:tab/>
      </w:r>
      <w:r w:rsidRPr="005A439F">
        <w:rPr>
          <w:rFonts w:ascii="Arial" w:eastAsia="Arial" w:hAnsi="Arial" w:cs="Arial"/>
          <w:color w:val="222222"/>
          <w:sz w:val="22"/>
          <w:szCs w:val="22"/>
          <w:lang w:val="en-US"/>
        </w:rPr>
        <w:tab/>
      </w:r>
      <w:r w:rsidRPr="005A439F">
        <w:rPr>
          <w:rFonts w:ascii="Arial" w:eastAsia="Arial" w:hAnsi="Arial" w:cs="Arial"/>
          <w:color w:val="222222"/>
          <w:sz w:val="22"/>
          <w:szCs w:val="22"/>
          <w:lang w:val="en-US"/>
        </w:rPr>
        <w:tab/>
        <w:t xml:space="preserve">     </w:t>
      </w:r>
    </w:p>
    <w:p w14:paraId="6A646B00" w14:textId="77777777" w:rsidR="00C80EE0" w:rsidRPr="005A439F" w:rsidRDefault="00000000">
      <w:pPr>
        <w:shd w:val="clear" w:color="auto" w:fill="FFFFFF"/>
        <w:ind w:right="-716"/>
        <w:rPr>
          <w:rFonts w:ascii="Open Sans" w:eastAsia="Open Sans" w:hAnsi="Open Sans" w:cs="Open Sans"/>
          <w:b/>
          <w:color w:val="000000"/>
          <w:sz w:val="22"/>
          <w:szCs w:val="22"/>
          <w:lang w:val="en-US"/>
        </w:rPr>
      </w:pPr>
      <w:r w:rsidRPr="005A439F">
        <w:rPr>
          <w:rFonts w:ascii="Open Sans" w:eastAsia="Open Sans" w:hAnsi="Open Sans" w:cs="Open Sans"/>
          <w:b/>
          <w:color w:val="000000"/>
          <w:sz w:val="22"/>
          <w:szCs w:val="22"/>
          <w:lang w:val="en-US"/>
        </w:rPr>
        <w:t>Fanny Merino</w:t>
      </w:r>
    </w:p>
    <w:p w14:paraId="2969C2E2" w14:textId="77777777" w:rsidR="00C80EE0" w:rsidRPr="005A439F" w:rsidRDefault="00000000">
      <w:pPr>
        <w:shd w:val="clear" w:color="auto" w:fill="FFFFFF"/>
        <w:ind w:right="-716"/>
        <w:rPr>
          <w:rFonts w:ascii="Open Sans" w:eastAsia="Open Sans" w:hAnsi="Open Sans" w:cs="Open Sans"/>
          <w:b/>
          <w:color w:val="000000"/>
          <w:sz w:val="22"/>
          <w:szCs w:val="22"/>
          <w:lang w:val="en-US"/>
        </w:rPr>
      </w:pPr>
      <w:hyperlink r:id="rId24">
        <w:r w:rsidRPr="005A439F">
          <w:rPr>
            <w:rFonts w:ascii="Open Sans" w:eastAsia="Open Sans" w:hAnsi="Open Sans" w:cs="Open Sans"/>
            <w:color w:val="0000FF"/>
            <w:sz w:val="22"/>
            <w:szCs w:val="22"/>
            <w:u w:val="single"/>
            <w:lang w:val="en-US"/>
          </w:rPr>
          <w:t>emerino@llorenteycuenca.com</w:t>
        </w:r>
      </w:hyperlink>
      <w:r w:rsidRPr="005A439F">
        <w:rPr>
          <w:rFonts w:ascii="Open Sans" w:eastAsia="Open Sans" w:hAnsi="Open Sans" w:cs="Open Sans"/>
          <w:color w:val="0000FF"/>
          <w:sz w:val="22"/>
          <w:szCs w:val="22"/>
          <w:lang w:val="en-US"/>
        </w:rPr>
        <w:tab/>
      </w:r>
      <w:r w:rsidRPr="005A439F">
        <w:rPr>
          <w:rFonts w:ascii="Open Sans" w:eastAsia="Open Sans" w:hAnsi="Open Sans" w:cs="Open Sans"/>
          <w:color w:val="0000FF"/>
          <w:sz w:val="22"/>
          <w:szCs w:val="22"/>
          <w:lang w:val="en-US"/>
        </w:rPr>
        <w:tab/>
      </w:r>
    </w:p>
    <w:p w14:paraId="59661072" w14:textId="77777777" w:rsidR="00C80EE0" w:rsidRPr="005A439F" w:rsidRDefault="00000000">
      <w:pPr>
        <w:shd w:val="clear" w:color="auto" w:fill="FFFFFF"/>
        <w:ind w:right="-716"/>
        <w:rPr>
          <w:rFonts w:ascii="Open Sans" w:eastAsia="Open Sans" w:hAnsi="Open Sans" w:cs="Open Sans"/>
          <w:color w:val="000000"/>
          <w:sz w:val="22"/>
          <w:szCs w:val="22"/>
          <w:lang w:val="en-US"/>
        </w:rPr>
      </w:pPr>
      <w:r w:rsidRPr="005A439F">
        <w:rPr>
          <w:rFonts w:ascii="Open Sans" w:eastAsia="Open Sans" w:hAnsi="Open Sans" w:cs="Open Sans"/>
          <w:color w:val="000000"/>
          <w:sz w:val="22"/>
          <w:szCs w:val="22"/>
          <w:lang w:val="en-US"/>
        </w:rPr>
        <w:t>663 35 69 75 </w:t>
      </w:r>
    </w:p>
    <w:p w14:paraId="3B91D608" w14:textId="77777777" w:rsidR="00C80EE0" w:rsidRPr="005A439F" w:rsidRDefault="00C80EE0">
      <w:pPr>
        <w:shd w:val="clear" w:color="auto" w:fill="FFFFFF"/>
        <w:ind w:right="-716"/>
        <w:rPr>
          <w:rFonts w:ascii="Open Sans" w:eastAsia="Open Sans" w:hAnsi="Open Sans" w:cs="Open Sans"/>
          <w:color w:val="000000"/>
          <w:sz w:val="22"/>
          <w:szCs w:val="22"/>
          <w:lang w:val="en-US"/>
        </w:rPr>
      </w:pPr>
    </w:p>
    <w:p w14:paraId="64CCCAF8" w14:textId="77777777" w:rsidR="00C80EE0" w:rsidRPr="005A439F" w:rsidRDefault="00000000">
      <w:pPr>
        <w:shd w:val="clear" w:color="auto" w:fill="FFFFFF"/>
        <w:ind w:right="-716"/>
        <w:rPr>
          <w:rFonts w:ascii="Open Sans" w:eastAsia="Open Sans" w:hAnsi="Open Sans" w:cs="Open Sans"/>
          <w:b/>
          <w:color w:val="000000"/>
          <w:sz w:val="22"/>
          <w:szCs w:val="22"/>
          <w:lang w:val="en-US"/>
        </w:rPr>
      </w:pPr>
      <w:r w:rsidRPr="005A439F">
        <w:rPr>
          <w:rFonts w:ascii="Open Sans" w:eastAsia="Open Sans" w:hAnsi="Open Sans" w:cs="Open Sans"/>
          <w:b/>
          <w:color w:val="000000"/>
          <w:sz w:val="22"/>
          <w:szCs w:val="22"/>
          <w:lang w:val="en-US"/>
        </w:rPr>
        <w:t>Paula Iglesias</w:t>
      </w:r>
    </w:p>
    <w:p w14:paraId="1F9372AC" w14:textId="77777777" w:rsidR="00C80EE0" w:rsidRPr="005A439F" w:rsidRDefault="00000000">
      <w:pPr>
        <w:shd w:val="clear" w:color="auto" w:fill="FFFFFF"/>
        <w:ind w:right="-716"/>
        <w:rPr>
          <w:rFonts w:ascii="Open Sans" w:eastAsia="Open Sans" w:hAnsi="Open Sans" w:cs="Open Sans"/>
          <w:b/>
          <w:color w:val="000000"/>
          <w:sz w:val="22"/>
          <w:szCs w:val="22"/>
          <w:lang w:val="en-US"/>
        </w:rPr>
      </w:pPr>
      <w:hyperlink r:id="rId25">
        <w:r w:rsidRPr="005A439F">
          <w:rPr>
            <w:rFonts w:ascii="Open Sans" w:eastAsia="Open Sans" w:hAnsi="Open Sans" w:cs="Open Sans"/>
            <w:color w:val="0000FF"/>
            <w:sz w:val="22"/>
            <w:szCs w:val="22"/>
            <w:u w:val="single"/>
            <w:lang w:val="en-US"/>
          </w:rPr>
          <w:t>piglesias@llorenteycuenca.com</w:t>
        </w:r>
      </w:hyperlink>
      <w:r w:rsidRPr="005A439F">
        <w:rPr>
          <w:rFonts w:ascii="Open Sans" w:eastAsia="Open Sans" w:hAnsi="Open Sans" w:cs="Open Sans"/>
          <w:color w:val="0000FF"/>
          <w:sz w:val="22"/>
          <w:szCs w:val="22"/>
          <w:lang w:val="en-US"/>
        </w:rPr>
        <w:tab/>
      </w:r>
      <w:r w:rsidRPr="005A439F">
        <w:rPr>
          <w:rFonts w:ascii="Open Sans" w:eastAsia="Open Sans" w:hAnsi="Open Sans" w:cs="Open Sans"/>
          <w:color w:val="0000FF"/>
          <w:sz w:val="22"/>
          <w:szCs w:val="22"/>
          <w:lang w:val="en-US"/>
        </w:rPr>
        <w:tab/>
      </w:r>
    </w:p>
    <w:p w14:paraId="76A2FD82" w14:textId="77777777" w:rsidR="00C80EE0" w:rsidRDefault="0000000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22"/>
          <w:szCs w:val="22"/>
        </w:rPr>
        <w:lastRenderedPageBreak/>
        <w:t>662 450 236</w:t>
      </w:r>
    </w:p>
    <w:p w14:paraId="65E459F0" w14:textId="77777777" w:rsidR="00C80EE0" w:rsidRDefault="00C80EE0">
      <w:pPr>
        <w:spacing w:line="276" w:lineRule="auto"/>
        <w:ind w:right="-574"/>
        <w:jc w:val="right"/>
        <w:rPr>
          <w:rFonts w:ascii="Open Sans" w:eastAsia="Open Sans" w:hAnsi="Open Sans" w:cs="Open Sans"/>
          <w:color w:val="000000"/>
          <w:sz w:val="21"/>
          <w:szCs w:val="21"/>
        </w:rPr>
      </w:pPr>
    </w:p>
    <w:sectPr w:rsidR="00C80EE0">
      <w:headerReference w:type="default" r:id="rId26"/>
      <w:footerReference w:type="default" r:id="rId27"/>
      <w:pgSz w:w="11900" w:h="16840"/>
      <w:pgMar w:top="1417" w:right="1701" w:bottom="1417" w:left="1701"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C5580" w14:textId="77777777" w:rsidR="00B538F7" w:rsidRDefault="00B538F7">
      <w:r>
        <w:separator/>
      </w:r>
    </w:p>
  </w:endnote>
  <w:endnote w:type="continuationSeparator" w:id="0">
    <w:p w14:paraId="1A8E4209" w14:textId="77777777" w:rsidR="00B538F7" w:rsidRDefault="00B5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Regular">
    <w:panose1 w:val="00000000000000000000"/>
    <w:charset w:val="00"/>
    <w:family w:val="roman"/>
    <w:notTrueType/>
    <w:pitch w:val="default"/>
  </w:font>
  <w:font w:name="National-MediumItalic">
    <w:panose1 w:val="00000000000000000000"/>
    <w:charset w:val="00"/>
    <w:family w:val="roman"/>
    <w:notTrueType/>
    <w:pitch w:val="default"/>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C73" w14:textId="77777777" w:rsidR="00C80EE0"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1" locked="0" layoutInCell="1" hidden="0" allowOverlap="1" wp14:anchorId="7DCFC462" wp14:editId="26ADE18F">
          <wp:simplePos x="0" y="0"/>
          <wp:positionH relativeFrom="column">
            <wp:posOffset>-1068045</wp:posOffset>
          </wp:positionH>
          <wp:positionV relativeFrom="paragraph">
            <wp:posOffset>174608</wp:posOffset>
          </wp:positionV>
          <wp:extent cx="7670550" cy="451315"/>
          <wp:effectExtent l="0" t="0" r="0" b="0"/>
          <wp:wrapNone/>
          <wp:docPr id="14414361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AC30" w14:textId="77777777" w:rsidR="00B538F7" w:rsidRDefault="00B538F7">
      <w:r>
        <w:separator/>
      </w:r>
    </w:p>
  </w:footnote>
  <w:footnote w:type="continuationSeparator" w:id="0">
    <w:p w14:paraId="5578C0AA" w14:textId="77777777" w:rsidR="00B538F7" w:rsidRDefault="00B5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FCEE" w14:textId="77777777" w:rsidR="00C80EE0" w:rsidRDefault="00000000">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5DD413A6" wp14:editId="2C02ADBC">
          <wp:simplePos x="0" y="0"/>
          <wp:positionH relativeFrom="column">
            <wp:posOffset>-1121109</wp:posOffset>
          </wp:positionH>
          <wp:positionV relativeFrom="paragraph">
            <wp:posOffset>225177</wp:posOffset>
          </wp:positionV>
          <wp:extent cx="7581265" cy="1019175"/>
          <wp:effectExtent l="0" t="0" r="0" b="0"/>
          <wp:wrapNone/>
          <wp:docPr id="144143610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81265" cy="1019175"/>
                  </a:xfrm>
                  <a:prstGeom prst="rect">
                    <a:avLst/>
                  </a:prstGeom>
                  <a:ln/>
                </pic:spPr>
              </pic:pic>
            </a:graphicData>
          </a:graphic>
        </wp:anchor>
      </w:drawing>
    </w:r>
  </w:p>
  <w:p w14:paraId="4D14FDB8" w14:textId="77777777" w:rsidR="00C80EE0" w:rsidRDefault="00C80EE0">
    <w:pPr>
      <w:pBdr>
        <w:top w:val="nil"/>
        <w:left w:val="nil"/>
        <w:bottom w:val="nil"/>
        <w:right w:val="nil"/>
        <w:between w:val="nil"/>
      </w:pBdr>
      <w:tabs>
        <w:tab w:val="center" w:pos="4252"/>
        <w:tab w:val="right" w:pos="8504"/>
      </w:tabs>
      <w:rPr>
        <w:color w:val="000000"/>
      </w:rPr>
    </w:pPr>
  </w:p>
  <w:p w14:paraId="39564BB8" w14:textId="77777777" w:rsidR="00C80EE0" w:rsidRDefault="00C80EE0">
    <w:pPr>
      <w:pBdr>
        <w:top w:val="nil"/>
        <w:left w:val="nil"/>
        <w:bottom w:val="nil"/>
        <w:right w:val="nil"/>
        <w:between w:val="nil"/>
      </w:pBdr>
      <w:tabs>
        <w:tab w:val="center" w:pos="4252"/>
        <w:tab w:val="right" w:pos="8504"/>
      </w:tabs>
      <w:rPr>
        <w:color w:val="000000"/>
      </w:rPr>
    </w:pPr>
  </w:p>
  <w:p w14:paraId="3EA39D72" w14:textId="77777777" w:rsidR="00C80EE0" w:rsidRDefault="00C80EE0">
    <w:pPr>
      <w:pBdr>
        <w:top w:val="nil"/>
        <w:left w:val="nil"/>
        <w:bottom w:val="nil"/>
        <w:right w:val="nil"/>
        <w:between w:val="nil"/>
      </w:pBdr>
      <w:tabs>
        <w:tab w:val="center" w:pos="4252"/>
        <w:tab w:val="right" w:pos="8504"/>
      </w:tabs>
      <w:rPr>
        <w:color w:val="000000"/>
      </w:rPr>
    </w:pPr>
  </w:p>
  <w:p w14:paraId="25DC02D2" w14:textId="77777777" w:rsidR="00C80EE0" w:rsidRDefault="00C80EE0">
    <w:pPr>
      <w:pBdr>
        <w:top w:val="nil"/>
        <w:left w:val="nil"/>
        <w:bottom w:val="nil"/>
        <w:right w:val="nil"/>
        <w:between w:val="nil"/>
      </w:pBdr>
      <w:tabs>
        <w:tab w:val="center" w:pos="4252"/>
        <w:tab w:val="right" w:pos="8504"/>
      </w:tabs>
      <w:rPr>
        <w:color w:val="000000"/>
      </w:rPr>
    </w:pPr>
  </w:p>
  <w:p w14:paraId="0464F50E" w14:textId="77777777" w:rsidR="00C80EE0" w:rsidRDefault="00C80EE0">
    <w:pPr>
      <w:pBdr>
        <w:top w:val="nil"/>
        <w:left w:val="nil"/>
        <w:bottom w:val="nil"/>
        <w:right w:val="nil"/>
        <w:between w:val="nil"/>
      </w:pBdr>
      <w:tabs>
        <w:tab w:val="center" w:pos="4252"/>
        <w:tab w:val="right" w:pos="8504"/>
      </w:tabs>
      <w:rPr>
        <w:color w:val="000000"/>
      </w:rPr>
    </w:pPr>
  </w:p>
  <w:p w14:paraId="3019C77E" w14:textId="77777777" w:rsidR="00C80EE0" w:rsidRDefault="00C80EE0">
    <w:pPr>
      <w:pBdr>
        <w:top w:val="nil"/>
        <w:left w:val="nil"/>
        <w:bottom w:val="nil"/>
        <w:right w:val="nil"/>
        <w:between w:val="nil"/>
      </w:pBdr>
      <w:tabs>
        <w:tab w:val="center" w:pos="4252"/>
        <w:tab w:val="right" w:pos="8504"/>
      </w:tabs>
      <w:rPr>
        <w:color w:val="000000"/>
      </w:rPr>
    </w:pPr>
  </w:p>
  <w:p w14:paraId="68070975" w14:textId="77777777" w:rsidR="00C80EE0" w:rsidRDefault="00C80EE0">
    <w:pPr>
      <w:pBdr>
        <w:top w:val="nil"/>
        <w:left w:val="nil"/>
        <w:bottom w:val="nil"/>
        <w:right w:val="nil"/>
        <w:between w:val="nil"/>
      </w:pBdr>
      <w:tabs>
        <w:tab w:val="center" w:pos="4252"/>
        <w:tab w:val="right" w:pos="8504"/>
      </w:tabs>
      <w:rPr>
        <w:color w:val="000000"/>
      </w:rPr>
    </w:pPr>
  </w:p>
  <w:p w14:paraId="7102C1CA" w14:textId="77777777" w:rsidR="00C80EE0" w:rsidRDefault="00C80EE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F6448"/>
    <w:multiLevelType w:val="multilevel"/>
    <w:tmpl w:val="CA22104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916432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EE0"/>
    <w:rsid w:val="005A439F"/>
    <w:rsid w:val="00B538F7"/>
    <w:rsid w:val="00C80E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F6C5"/>
  <w15:docId w15:val="{8413226F-AB5E-4444-B7D4-275C1389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1C1"/>
  </w:style>
  <w:style w:type="paragraph" w:styleId="Ttulo1">
    <w:name w:val="heading 1"/>
    <w:basedOn w:val="Normal"/>
    <w:next w:val="Normal"/>
    <w:link w:val="Ttulo1Car"/>
    <w:uiPriority w:val="9"/>
    <w:qFormat/>
    <w:rsid w:val="00E447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343A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semiHidden/>
    <w:unhideWhenUsed/>
    <w:qFormat/>
    <w:rsid w:val="009F2EE6"/>
    <w:pPr>
      <w:spacing w:before="100" w:beforeAutospacing="1" w:after="100" w:afterAutospacing="1"/>
      <w:outlineLvl w:val="2"/>
    </w:pPr>
    <w:rPr>
      <w:rFonts w:ascii="Times New Roman" w:eastAsia="Times New Roman" w:hAnsi="Times New Roman" w:cs="Times New Roman"/>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f7">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E2636"/>
    <w:rPr>
      <w:b/>
      <w:bCs/>
    </w:rPr>
  </w:style>
  <w:style w:type="character" w:customStyle="1" w:styleId="AsuntodelcomentarioCar">
    <w:name w:val="Asunto del comentario Car"/>
    <w:basedOn w:val="TextocomentarioCar"/>
    <w:link w:val="Asuntodelcomentario"/>
    <w:uiPriority w:val="99"/>
    <w:semiHidden/>
    <w:rsid w:val="00FE2636"/>
    <w:rPr>
      <w:b/>
      <w:bCs/>
      <w:sz w:val="20"/>
      <w:szCs w:val="20"/>
    </w:rPr>
  </w:style>
  <w:style w:type="character" w:styleId="Mencinsinresolver">
    <w:name w:val="Unresolved Mention"/>
    <w:basedOn w:val="Fuentedeprrafopredeter"/>
    <w:uiPriority w:val="99"/>
    <w:semiHidden/>
    <w:unhideWhenUsed/>
    <w:rsid w:val="00FE2636"/>
    <w:rPr>
      <w:color w:val="605E5C"/>
      <w:shd w:val="clear" w:color="auto" w:fill="E1DFDD"/>
    </w:rPr>
  </w:style>
  <w:style w:type="character" w:customStyle="1" w:styleId="Ttulo3Car">
    <w:name w:val="Título 3 Car"/>
    <w:basedOn w:val="Fuentedeprrafopredeter"/>
    <w:link w:val="Ttulo3"/>
    <w:uiPriority w:val="9"/>
    <w:rsid w:val="009F2EE6"/>
    <w:rPr>
      <w:rFonts w:ascii="Times New Roman" w:eastAsia="Times New Roman" w:hAnsi="Times New Roman" w:cs="Times New Roman"/>
      <w:b/>
      <w:bCs/>
      <w:sz w:val="27"/>
      <w:szCs w:val="27"/>
      <w:lang w:val="es-ES" w:eastAsia="es-ES"/>
    </w:rPr>
  </w:style>
  <w:style w:type="character" w:styleId="Textoennegrita">
    <w:name w:val="Strong"/>
    <w:basedOn w:val="Fuentedeprrafopredeter"/>
    <w:uiPriority w:val="22"/>
    <w:qFormat/>
    <w:rsid w:val="009F2EE6"/>
    <w:rPr>
      <w:b/>
      <w:bCs/>
    </w:rPr>
  </w:style>
  <w:style w:type="character" w:customStyle="1" w:styleId="Ttulo1Car">
    <w:name w:val="Título 1 Car"/>
    <w:basedOn w:val="Fuentedeprrafopredeter"/>
    <w:link w:val="Ttulo1"/>
    <w:uiPriority w:val="9"/>
    <w:rsid w:val="00E44764"/>
    <w:rPr>
      <w:rFonts w:asciiTheme="majorHAnsi" w:eastAsiaTheme="majorEastAsia" w:hAnsiTheme="majorHAnsi" w:cstheme="majorBidi"/>
      <w:color w:val="2F5496" w:themeColor="accent1" w:themeShade="BF"/>
      <w:sz w:val="32"/>
      <w:szCs w:val="32"/>
    </w:rPr>
  </w:style>
  <w:style w:type="character" w:styleId="nfasis">
    <w:name w:val="Emphasis"/>
    <w:basedOn w:val="Fuentedeprrafopredeter"/>
    <w:uiPriority w:val="20"/>
    <w:qFormat/>
    <w:rsid w:val="002A7EA9"/>
    <w:rPr>
      <w:i/>
      <w:iCs/>
    </w:rPr>
  </w:style>
  <w:style w:type="character" w:styleId="Hipervnculovisitado">
    <w:name w:val="FollowedHyperlink"/>
    <w:basedOn w:val="Fuentedeprrafopredeter"/>
    <w:uiPriority w:val="99"/>
    <w:semiHidden/>
    <w:unhideWhenUsed/>
    <w:rsid w:val="00DF36B8"/>
    <w:rPr>
      <w:color w:val="954F72" w:themeColor="followedHyperlink"/>
      <w:u w:val="single"/>
    </w:rPr>
  </w:style>
  <w:style w:type="character" w:customStyle="1" w:styleId="Ttulo2Car">
    <w:name w:val="Título 2 Car"/>
    <w:basedOn w:val="Fuentedeprrafopredeter"/>
    <w:link w:val="Ttulo2"/>
    <w:uiPriority w:val="9"/>
    <w:semiHidden/>
    <w:rsid w:val="00343AB8"/>
    <w:rPr>
      <w:rFonts w:asciiTheme="majorHAnsi" w:eastAsiaTheme="majorEastAsia" w:hAnsiTheme="majorHAnsi" w:cstheme="majorBidi"/>
      <w:color w:val="2F5496" w:themeColor="accent1" w:themeShade="BF"/>
      <w:sz w:val="26"/>
      <w:szCs w:val="26"/>
    </w:rPr>
  </w:style>
  <w:style w:type="character" w:customStyle="1" w:styleId="bold">
    <w:name w:val="bold"/>
    <w:basedOn w:val="Fuentedeprrafopredeter"/>
    <w:rsid w:val="008A24C9"/>
  </w:style>
  <w:style w:type="character" w:customStyle="1" w:styleId="d-none">
    <w:name w:val="d-none"/>
    <w:basedOn w:val="Fuentedeprrafopredeter"/>
    <w:rsid w:val="008A24C9"/>
  </w:style>
  <w:style w:type="character" w:customStyle="1" w:styleId="font-2x">
    <w:name w:val="font-2x"/>
    <w:basedOn w:val="Fuentedeprrafopredeter"/>
    <w:rsid w:val="008A24C9"/>
  </w:style>
  <w:style w:type="character" w:customStyle="1" w:styleId="decoracion2">
    <w:name w:val="decoracion2"/>
    <w:basedOn w:val="Fuentedeprrafopredeter"/>
    <w:rsid w:val="008A24C9"/>
  </w:style>
  <w:style w:type="paragraph" w:styleId="Revisin">
    <w:name w:val="Revision"/>
    <w:hidden/>
    <w:uiPriority w:val="99"/>
    <w:semiHidden/>
    <w:rsid w:val="00FC54D1"/>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fontstyle01">
    <w:name w:val="fontstyle01"/>
    <w:basedOn w:val="Fuentedeprrafopredeter"/>
    <w:rsid w:val="00D95EF1"/>
    <w:rPr>
      <w:rFonts w:ascii="National-Regular" w:hAnsi="National-Regular" w:hint="default"/>
      <w:b w:val="0"/>
      <w:bCs w:val="0"/>
      <w:i w:val="0"/>
      <w:iCs w:val="0"/>
      <w:color w:val="000000"/>
      <w:sz w:val="22"/>
      <w:szCs w:val="22"/>
    </w:rPr>
  </w:style>
  <w:style w:type="character" w:customStyle="1" w:styleId="fontstyle21">
    <w:name w:val="fontstyle21"/>
    <w:basedOn w:val="Fuentedeprrafopredeter"/>
    <w:rsid w:val="00D95EF1"/>
    <w:rPr>
      <w:rFonts w:ascii="National-MediumItalic" w:hAnsi="National-MediumItalic" w:hint="default"/>
      <w:b w:val="0"/>
      <w:bCs w:val="0"/>
      <w:i/>
      <w:iCs/>
      <w:color w:val="575756"/>
      <w:sz w:val="22"/>
      <w:szCs w:val="22"/>
    </w:rPr>
  </w:style>
  <w:style w:type="paragraph" w:customStyle="1" w:styleId="paragraph">
    <w:name w:val="paragraph"/>
    <w:basedOn w:val="Normal"/>
    <w:rsid w:val="00094008"/>
    <w:pPr>
      <w:spacing w:before="100" w:beforeAutospacing="1" w:after="100" w:afterAutospacing="1"/>
    </w:pPr>
    <w:rPr>
      <w:rFonts w:ascii="Times New Roman" w:eastAsia="Times New Roman" w:hAnsi="Times New Roman" w:cs="Times New Roman"/>
      <w:lang w:val="es-ES"/>
    </w:rPr>
  </w:style>
  <w:style w:type="character" w:customStyle="1" w:styleId="normaltextrun">
    <w:name w:val="normaltextrun"/>
    <w:basedOn w:val="Fuentedeprrafopredeter"/>
    <w:rsid w:val="00094008"/>
  </w:style>
  <w:style w:type="character" w:customStyle="1" w:styleId="eop">
    <w:name w:val="eop"/>
    <w:basedOn w:val="Fuentedeprrafopredeter"/>
    <w:rsid w:val="0009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earch.fotocasa.es/" TargetMode="External"/><Relationship Id="rId13" Type="http://schemas.openxmlformats.org/officeDocument/2006/relationships/hyperlink" Target="https://www.fotocasa.es/indice/" TargetMode="External"/><Relationship Id="rId18" Type="http://schemas.openxmlformats.org/officeDocument/2006/relationships/hyperlink" Target="https://www.infojobs.ne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evinta.e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habitaclia.com/" TargetMode="External"/><Relationship Id="rId25" Type="http://schemas.openxmlformats.org/officeDocument/2006/relationships/hyperlink" Target="mailto:piglesias@llorenteycuenca.com" TargetMode="External"/><Relationship Id="rId2" Type="http://schemas.openxmlformats.org/officeDocument/2006/relationships/numbering" Target="numbering.xml"/><Relationship Id="rId16" Type="http://schemas.openxmlformats.org/officeDocument/2006/relationships/hyperlink" Target="https://www.fotocasa.es/es/" TargetMode="External"/><Relationship Id="rId20" Type="http://schemas.openxmlformats.org/officeDocument/2006/relationships/hyperlink" Target="https://motos.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emerino@llorenteycuenca.com" TargetMode="External"/><Relationship Id="rId5" Type="http://schemas.openxmlformats.org/officeDocument/2006/relationships/webSettings" Target="webSettings.xml"/><Relationship Id="rId15" Type="http://schemas.openxmlformats.org/officeDocument/2006/relationships/hyperlink" Target="https://www.fotocasa.es/es/quienes-somos/"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oches.net/"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hyperlink" Target="http://prensa.fotocasa.es" TargetMode="External"/><Relationship Id="rId22" Type="http://schemas.openxmlformats.org/officeDocument/2006/relationships/hyperlink" Target="mailto:comunicacion@fotocasa.e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AfZ5ktUXVbWhk9oVcs2ScdVxIIw==">AMUW2mW07+Od2S2g1Sklvb+QDzyVdmBJbaTamxeBsBcaxudMfmLeR9BrdYLJa/9Igz/DBpTSVBU7K2d33LtJMNryLx6iGj/8ncT3PdIfiHm7nOfimHaekHICt8671n2SiKSEketuCamy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1482</Words>
  <Characters>8157</Characters>
  <Application>Microsoft Office Word</Application>
  <DocSecurity>0</DocSecurity>
  <Lines>67</Lines>
  <Paragraphs>19</Paragraphs>
  <ScaleCrop>false</ScaleCrop>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Anaïs López García</cp:lastModifiedBy>
  <cp:revision>2</cp:revision>
  <dcterms:created xsi:type="dcterms:W3CDTF">2022-04-21T07:41:00Z</dcterms:created>
  <dcterms:modified xsi:type="dcterms:W3CDTF">2023-05-03T13:45:00Z</dcterms:modified>
</cp:coreProperties>
</file>