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290A"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2023”</w:t>
      </w:r>
    </w:p>
    <w:p w14:paraId="00000002" w14:textId="77777777" w:rsidR="00FD290A" w:rsidRDefault="00000000">
      <w:pPr>
        <w:shd w:val="clear" w:color="auto" w:fill="FFFFFF"/>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 xml:space="preserve">Los tipos de interés no frenan la demanda de compra: un 47% quiere comprar vivienda frente al 43% que busca alquilar </w:t>
      </w:r>
    </w:p>
    <w:p w14:paraId="00000003" w14:textId="77777777" w:rsidR="00FD290A" w:rsidRDefault="00FD290A">
      <w:pPr>
        <w:spacing w:line="276" w:lineRule="auto"/>
        <w:ind w:right="-574"/>
        <w:rPr>
          <w:rFonts w:ascii="Open Sans" w:eastAsia="Open Sans" w:hAnsi="Open Sans" w:cs="Open Sans"/>
          <w:sz w:val="22"/>
          <w:szCs w:val="22"/>
        </w:rPr>
      </w:pPr>
    </w:p>
    <w:p w14:paraId="00000004" w14:textId="77777777" w:rsidR="00FD290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seis meses la intención de alquilar cae tres puntos (del 47% al 43%) y la de comprar </w:t>
      </w:r>
      <w:r>
        <w:rPr>
          <w:rFonts w:ascii="Open Sans" w:eastAsia="Open Sans" w:hAnsi="Open Sans" w:cs="Open Sans"/>
          <w:sz w:val="22"/>
          <w:szCs w:val="22"/>
        </w:rPr>
        <w:t>aumenta</w:t>
      </w:r>
      <w:r>
        <w:rPr>
          <w:rFonts w:ascii="Open Sans" w:eastAsia="Open Sans" w:hAnsi="Open Sans" w:cs="Open Sans"/>
          <w:color w:val="000000"/>
          <w:sz w:val="22"/>
          <w:szCs w:val="22"/>
        </w:rPr>
        <w:t xml:space="preserve"> del 44% al 47%</w:t>
      </w:r>
    </w:p>
    <w:p w14:paraId="00000005" w14:textId="77777777" w:rsidR="00FD290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Desciende </w:t>
      </w:r>
      <w:r>
        <w:rPr>
          <w:rFonts w:ascii="Open Sans" w:eastAsia="Open Sans" w:hAnsi="Open Sans" w:cs="Open Sans"/>
          <w:sz w:val="22"/>
          <w:szCs w:val="22"/>
        </w:rPr>
        <w:t xml:space="preserve">en 4 puntos </w:t>
      </w:r>
      <w:r>
        <w:rPr>
          <w:rFonts w:ascii="Open Sans" w:eastAsia="Open Sans" w:hAnsi="Open Sans" w:cs="Open Sans"/>
          <w:color w:val="000000"/>
          <w:sz w:val="22"/>
          <w:szCs w:val="22"/>
        </w:rPr>
        <w:t xml:space="preserve">la participación en el mercado de la vivienda </w:t>
      </w:r>
      <w:r>
        <w:rPr>
          <w:rFonts w:ascii="Open Sans" w:eastAsia="Open Sans" w:hAnsi="Open Sans" w:cs="Open Sans"/>
          <w:sz w:val="22"/>
          <w:szCs w:val="22"/>
        </w:rPr>
        <w:t xml:space="preserve">por la contracción de la </w:t>
      </w:r>
      <w:r>
        <w:rPr>
          <w:rFonts w:ascii="Open Sans" w:eastAsia="Open Sans" w:hAnsi="Open Sans" w:cs="Open Sans"/>
          <w:color w:val="000000"/>
          <w:sz w:val="22"/>
          <w:szCs w:val="22"/>
        </w:rPr>
        <w:t xml:space="preserve">demanda, mientras que la oferta </w:t>
      </w:r>
      <w:r>
        <w:rPr>
          <w:rFonts w:ascii="Open Sans" w:eastAsia="Open Sans" w:hAnsi="Open Sans" w:cs="Open Sans"/>
          <w:sz w:val="22"/>
          <w:szCs w:val="22"/>
        </w:rPr>
        <w:t>se reduce moderadamente</w:t>
      </w:r>
      <w:r>
        <w:rPr>
          <w:rFonts w:ascii="Open Sans" w:eastAsia="Open Sans" w:hAnsi="Open Sans" w:cs="Open Sans"/>
          <w:color w:val="000000"/>
          <w:sz w:val="22"/>
          <w:szCs w:val="22"/>
        </w:rPr>
        <w:t xml:space="preserve"> </w:t>
      </w:r>
    </w:p>
    <w:p w14:paraId="00000006" w14:textId="77777777" w:rsidR="00FD290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bookmarkStart w:id="0" w:name="_heading=h.gjdgxs" w:colFirst="0" w:colLast="0"/>
      <w:bookmarkEnd w:id="0"/>
      <w:r>
        <w:rPr>
          <w:rFonts w:ascii="Open Sans" w:eastAsia="Open Sans" w:hAnsi="Open Sans" w:cs="Open Sans"/>
          <w:color w:val="000000"/>
          <w:sz w:val="22"/>
          <w:szCs w:val="22"/>
        </w:rPr>
        <w:t>La participación en Andalucía sufre una caída de seis puntos porcentuales, situándose en el 28%</w:t>
      </w:r>
      <w:r>
        <w:rPr>
          <w:rFonts w:ascii="Open Sans" w:eastAsia="Open Sans" w:hAnsi="Open Sans" w:cs="Open Sans"/>
          <w:sz w:val="22"/>
          <w:szCs w:val="22"/>
        </w:rPr>
        <w:t xml:space="preserve"> y</w:t>
      </w:r>
      <w:r>
        <w:rPr>
          <w:rFonts w:ascii="Open Sans" w:eastAsia="Open Sans" w:hAnsi="Open Sans" w:cs="Open Sans"/>
          <w:color w:val="000000"/>
          <w:sz w:val="22"/>
          <w:szCs w:val="22"/>
        </w:rPr>
        <w:t xml:space="preserve"> Cataluña registra un 25%, su nivel más bajo desde 2018</w:t>
      </w:r>
    </w:p>
    <w:p w14:paraId="00000007" w14:textId="77777777" w:rsidR="00FD290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Madrid y Comunidad Valenciana se aprecia un descenso del porcentaje de aquellos que han alquilado un piso para vivir en él</w:t>
      </w:r>
    </w:p>
    <w:p w14:paraId="00000008" w14:textId="77777777" w:rsidR="00FD290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Tanto la Comunidad de Madrid como Cataluña pierden tres puntos porcentuales de participación en el mercado de la compraventa respecto a 2022</w:t>
      </w:r>
    </w:p>
    <w:p w14:paraId="00000009" w14:textId="77777777" w:rsidR="00FD290A"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000000"/>
          <w:sz w:val="22"/>
          <w:szCs w:val="22"/>
        </w:rPr>
      </w:pPr>
      <w:hyperlink r:id="rId8">
        <w:r>
          <w:rPr>
            <w:rFonts w:ascii="Open Sans" w:eastAsia="Open Sans" w:hAnsi="Open Sans" w:cs="Open Sans"/>
            <w:b/>
            <w:color w:val="0000FF"/>
            <w:sz w:val="22"/>
            <w:szCs w:val="22"/>
            <w:u w:val="single"/>
          </w:rPr>
          <w:t>Aquí se puede ver declaraciones en vídeo de la directora de Estudios</w:t>
        </w:r>
      </w:hyperlink>
    </w:p>
    <w:p w14:paraId="0000000A" w14:textId="77777777" w:rsidR="00FD290A" w:rsidRDefault="00FD290A">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00000B" w14:textId="77777777" w:rsidR="00FD290A"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23 de mayo de 2023</w:t>
      </w:r>
    </w:p>
    <w:p w14:paraId="0000000C" w14:textId="77777777" w:rsidR="00FD290A" w:rsidRDefault="00FD290A">
      <w:pPr>
        <w:spacing w:line="276" w:lineRule="auto"/>
        <w:ind w:right="-574"/>
        <w:jc w:val="both"/>
        <w:rPr>
          <w:rFonts w:ascii="Open Sans" w:eastAsia="Open Sans" w:hAnsi="Open Sans" w:cs="Open Sans"/>
          <w:color w:val="000000"/>
          <w:sz w:val="22"/>
          <w:szCs w:val="22"/>
        </w:rPr>
      </w:pPr>
    </w:p>
    <w:p w14:paraId="0000000D" w14:textId="4184A824"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28% de las personas mayores de 18 años ha realizado alguna acción relacionada con la demanda de vivienda en los últimos 12 meses, ya sea en el mercado del alquiler o en el de compra. Este porcentaje muestra una fuerte contracción del mercado inmobiliario con una bajada de más de 4 puntos porcentuales respecto a agosto de 2022, cuando el porcentaje de participación era del 32%. Así, la bajada más importante viene de la mano de la demanda de vivienda, que cae 4 puntos porcentuales en seis meses, mientras que la oferta permanece más estable, aunque también presenta una reducción más moderada. Esta es una de las principales conclusiones del informe de </w:t>
      </w:r>
      <w:hyperlink r:id="rId9">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r w:rsidRPr="00B32351">
        <w:rPr>
          <w:rFonts w:ascii="Open Sans" w:eastAsia="Open Sans" w:hAnsi="Open Sans" w:cs="Open Sans"/>
          <w:color w:val="000000"/>
          <w:sz w:val="22"/>
          <w:szCs w:val="22"/>
        </w:rPr>
        <w:t>“</w:t>
      </w:r>
      <w:hyperlink r:id="rId10" w:history="1">
        <w:r w:rsidRPr="00B32351">
          <w:rPr>
            <w:rStyle w:val="Hipervnculo"/>
            <w:rFonts w:ascii="Open Sans" w:eastAsia="Open Sans" w:hAnsi="Open Sans" w:cs="Open Sans"/>
            <w:b/>
            <w:i/>
            <w:sz w:val="22"/>
            <w:szCs w:val="22"/>
          </w:rPr>
          <w:t>Radiografía del mercado de la vivienda en 2023</w:t>
        </w:r>
      </w:hyperlink>
      <w:r>
        <w:rPr>
          <w:rFonts w:ascii="Open Sans" w:eastAsia="Open Sans" w:hAnsi="Open Sans" w:cs="Open Sans"/>
          <w:color w:val="000000"/>
          <w:sz w:val="22"/>
          <w:szCs w:val="22"/>
        </w:rPr>
        <w:t xml:space="preserve">” elaborado por el portal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por sexto año consecutivo, con la intención de hacer un exhaustivo análisis de la situación de la oferta y la demanda en el sector inmobiliario.</w:t>
      </w:r>
    </w:p>
    <w:p w14:paraId="0000000E" w14:textId="77777777" w:rsidR="00FD290A" w:rsidRDefault="00FD290A">
      <w:pPr>
        <w:spacing w:line="276" w:lineRule="auto"/>
        <w:ind w:right="-574"/>
        <w:jc w:val="both"/>
        <w:rPr>
          <w:rFonts w:ascii="Open Sans" w:eastAsia="Open Sans" w:hAnsi="Open Sans" w:cs="Open Sans"/>
          <w:color w:val="000000"/>
          <w:sz w:val="22"/>
          <w:szCs w:val="22"/>
        </w:rPr>
      </w:pPr>
    </w:p>
    <w:p w14:paraId="0000000F" w14:textId="77777777" w:rsidR="00FD290A" w:rsidRDefault="00000000">
      <w:pPr>
        <w:spacing w:line="276" w:lineRule="auto"/>
        <w:ind w:right="-574"/>
        <w:jc w:val="both"/>
        <w:rPr>
          <w:rFonts w:ascii="Open Sans" w:eastAsia="Open Sans" w:hAnsi="Open Sans" w:cs="Open Sans"/>
          <w:color w:val="000000"/>
          <w:sz w:val="22"/>
          <w:szCs w:val="22"/>
        </w:rPr>
      </w:pPr>
      <w:bookmarkStart w:id="1" w:name="_heading=h.30j0zll" w:colFirst="0" w:colLast="0"/>
      <w:bookmarkEnd w:id="1"/>
      <w:r>
        <w:rPr>
          <w:rFonts w:ascii="Open Sans" w:eastAsia="Open Sans" w:hAnsi="Open Sans" w:cs="Open Sans"/>
          <w:color w:val="000000"/>
          <w:sz w:val="22"/>
          <w:szCs w:val="22"/>
        </w:rPr>
        <w:t>Así, el informe muestra que el mercado inmobiliario se mantiene en un</w:t>
      </w:r>
      <w:r>
        <w:rPr>
          <w:rFonts w:ascii="Open Sans" w:eastAsia="Open Sans" w:hAnsi="Open Sans" w:cs="Open Sans"/>
          <w:sz w:val="22"/>
          <w:szCs w:val="22"/>
        </w:rPr>
        <w:t xml:space="preserve"> nivel alto</w:t>
      </w:r>
      <w:r>
        <w:rPr>
          <w:rFonts w:ascii="Open Sans" w:eastAsia="Open Sans" w:hAnsi="Open Sans" w:cs="Open Sans"/>
          <w:color w:val="000000"/>
          <w:sz w:val="22"/>
          <w:szCs w:val="22"/>
        </w:rPr>
        <w:t xml:space="preserve"> de participación, aunque ya ha dejado definitivamente atrás el fuerte impulso de la demanda que se venía registrando desde finales de 2020 y que tuvo mucho que ver con las </w:t>
      </w:r>
      <w:r>
        <w:rPr>
          <w:rFonts w:ascii="Open Sans" w:eastAsia="Open Sans" w:hAnsi="Open Sans" w:cs="Open Sans"/>
          <w:color w:val="000000"/>
          <w:sz w:val="22"/>
          <w:szCs w:val="22"/>
        </w:rPr>
        <w:lastRenderedPageBreak/>
        <w:t xml:space="preserve">necesidades residenciales que se identificaron durante los meses de confinamiento por parte de los particulares. </w:t>
      </w:r>
    </w:p>
    <w:p w14:paraId="00000010" w14:textId="77777777" w:rsidR="00FD290A" w:rsidRDefault="00FD290A">
      <w:pPr>
        <w:spacing w:line="276" w:lineRule="auto"/>
        <w:ind w:right="-574"/>
        <w:jc w:val="both"/>
        <w:rPr>
          <w:rFonts w:ascii="Open Sans" w:eastAsia="Open Sans" w:hAnsi="Open Sans" w:cs="Open Sans"/>
          <w:color w:val="000000"/>
          <w:sz w:val="22"/>
          <w:szCs w:val="22"/>
        </w:rPr>
      </w:pPr>
    </w:p>
    <w:p w14:paraId="00000011" w14:textId="77777777" w:rsidR="00FD290A"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851164" cy="3141093"/>
            <wp:effectExtent l="0" t="0" r="0" b="0"/>
            <wp:docPr id="1996847153"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líneas&#10;&#10;Descripción generada automáticamente"/>
                    <pic:cNvPicPr preferRelativeResize="0"/>
                  </pic:nvPicPr>
                  <pic:blipFill>
                    <a:blip r:embed="rId12"/>
                    <a:srcRect/>
                    <a:stretch>
                      <a:fillRect/>
                    </a:stretch>
                  </pic:blipFill>
                  <pic:spPr>
                    <a:xfrm>
                      <a:off x="0" y="0"/>
                      <a:ext cx="5851164" cy="3141093"/>
                    </a:xfrm>
                    <a:prstGeom prst="rect">
                      <a:avLst/>
                    </a:prstGeom>
                    <a:ln/>
                  </pic:spPr>
                </pic:pic>
              </a:graphicData>
            </a:graphic>
          </wp:inline>
        </w:drawing>
      </w:r>
    </w:p>
    <w:p w14:paraId="00000012" w14:textId="77777777" w:rsidR="00FD290A" w:rsidRDefault="00FD290A">
      <w:pPr>
        <w:spacing w:line="276" w:lineRule="auto"/>
        <w:ind w:right="-574"/>
        <w:jc w:val="both"/>
        <w:rPr>
          <w:rFonts w:ascii="Open Sans" w:eastAsia="Open Sans" w:hAnsi="Open Sans" w:cs="Open Sans"/>
          <w:color w:val="000000"/>
          <w:sz w:val="22"/>
          <w:szCs w:val="22"/>
        </w:rPr>
      </w:pPr>
    </w:p>
    <w:p w14:paraId="00000013" w14:textId="77777777" w:rsidR="00FD290A" w:rsidRDefault="00000000">
      <w:pPr>
        <w:spacing w:line="276" w:lineRule="auto"/>
        <w:ind w:right="-574"/>
        <w:jc w:val="center"/>
        <w:rPr>
          <w:rFonts w:ascii="Open Sans Light" w:eastAsia="Open Sans Light" w:hAnsi="Open Sans Light" w:cs="Open Sans Light"/>
          <w:b/>
          <w:color w:val="303AB2"/>
          <w:sz w:val="26"/>
          <w:szCs w:val="26"/>
        </w:rPr>
      </w:pPr>
      <w:hyperlink r:id="rId13">
        <w:r>
          <w:rPr>
            <w:rFonts w:ascii="Open Sans Light" w:eastAsia="Open Sans Light" w:hAnsi="Open Sans Light" w:cs="Open Sans Light"/>
            <w:b/>
            <w:color w:val="0000FF"/>
            <w:sz w:val="26"/>
            <w:szCs w:val="26"/>
            <w:u w:val="single"/>
          </w:rPr>
          <w:t>Declaraciones en vídeo de María Matos, directora de Estudios de Fotocasa</w:t>
        </w:r>
      </w:hyperlink>
    </w:p>
    <w:p w14:paraId="00000014" w14:textId="77777777" w:rsidR="00FD290A" w:rsidRDefault="00FD290A">
      <w:pPr>
        <w:spacing w:line="276" w:lineRule="auto"/>
        <w:ind w:right="-574"/>
        <w:jc w:val="both"/>
        <w:rPr>
          <w:rFonts w:ascii="Open Sans Light" w:eastAsia="Open Sans Light" w:hAnsi="Open Sans Light" w:cs="Open Sans Light"/>
          <w:b/>
          <w:color w:val="303AB2"/>
          <w:sz w:val="26"/>
          <w:szCs w:val="26"/>
        </w:rPr>
      </w:pPr>
    </w:p>
    <w:p w14:paraId="00000015" w14:textId="77777777" w:rsidR="00FD290A" w:rsidRDefault="00000000">
      <w:pPr>
        <w:spacing w:line="276" w:lineRule="auto"/>
        <w:ind w:right="-574"/>
        <w:jc w:val="both"/>
        <w:rPr>
          <w:rFonts w:ascii="Open Sans Light" w:eastAsia="Open Sans Light" w:hAnsi="Open Sans Light" w:cs="Open Sans Light"/>
          <w:b/>
          <w:color w:val="303AB2"/>
          <w:sz w:val="26"/>
          <w:szCs w:val="26"/>
        </w:rPr>
      </w:pPr>
      <w:r>
        <w:rPr>
          <w:noProof/>
        </w:rPr>
        <w:drawing>
          <wp:inline distT="0" distB="0" distL="0" distR="0">
            <wp:extent cx="5860249" cy="3072872"/>
            <wp:effectExtent l="0" t="0" r="0" b="0"/>
            <wp:docPr id="1996847156" name="image2.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nterfaz de usuario gráfica, Aplicación&#10;&#10;Descripción generada automáticamente"/>
                    <pic:cNvPicPr preferRelativeResize="0"/>
                  </pic:nvPicPr>
                  <pic:blipFill>
                    <a:blip r:embed="rId14"/>
                    <a:srcRect/>
                    <a:stretch>
                      <a:fillRect/>
                    </a:stretch>
                  </pic:blipFill>
                  <pic:spPr>
                    <a:xfrm>
                      <a:off x="0" y="0"/>
                      <a:ext cx="5860249" cy="3072872"/>
                    </a:xfrm>
                    <a:prstGeom prst="rect">
                      <a:avLst/>
                    </a:prstGeom>
                    <a:ln/>
                  </pic:spPr>
                </pic:pic>
              </a:graphicData>
            </a:graphic>
          </wp:inline>
        </w:drawing>
      </w:r>
    </w:p>
    <w:p w14:paraId="00000016" w14:textId="77777777" w:rsidR="00FD290A" w:rsidRDefault="00FD290A">
      <w:pPr>
        <w:spacing w:line="276" w:lineRule="auto"/>
        <w:ind w:right="-574"/>
        <w:jc w:val="both"/>
        <w:rPr>
          <w:rFonts w:ascii="Open Sans Light" w:eastAsia="Open Sans Light" w:hAnsi="Open Sans Light" w:cs="Open Sans Light"/>
          <w:b/>
          <w:color w:val="303AB2"/>
          <w:sz w:val="26"/>
          <w:szCs w:val="26"/>
        </w:rPr>
      </w:pPr>
    </w:p>
    <w:p w14:paraId="00000017" w14:textId="77777777" w:rsidR="00FD290A"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La inflación y la subida de los tipos de interés, los motivos del descenso en la demanda</w:t>
      </w:r>
    </w:p>
    <w:p w14:paraId="00000018" w14:textId="77777777" w:rsidR="00FD290A" w:rsidRDefault="00FD290A">
      <w:pPr>
        <w:spacing w:line="276" w:lineRule="auto"/>
        <w:ind w:right="-574"/>
        <w:jc w:val="both"/>
        <w:rPr>
          <w:rFonts w:ascii="Open Sans" w:eastAsia="Open Sans" w:hAnsi="Open Sans" w:cs="Open Sans"/>
          <w:color w:val="000000"/>
          <w:sz w:val="22"/>
          <w:szCs w:val="22"/>
        </w:rPr>
      </w:pPr>
    </w:p>
    <w:p w14:paraId="00000019" w14:textId="77777777"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contracción del mercado se aprecia en el </w:t>
      </w:r>
      <w:r>
        <w:rPr>
          <w:rFonts w:ascii="Open Sans" w:eastAsia="Open Sans" w:hAnsi="Open Sans" w:cs="Open Sans"/>
          <w:b/>
          <w:color w:val="000000"/>
          <w:sz w:val="22"/>
          <w:szCs w:val="22"/>
        </w:rPr>
        <w:t>notable descenso de la demanda de vivienda, tanto en lo que se refiere a la compra como al alquiler</w:t>
      </w:r>
      <w:r>
        <w:rPr>
          <w:rFonts w:ascii="Open Sans" w:eastAsia="Open Sans" w:hAnsi="Open Sans" w:cs="Open Sans"/>
          <w:color w:val="000000"/>
          <w:sz w:val="22"/>
          <w:szCs w:val="22"/>
        </w:rPr>
        <w:t xml:space="preserve">. En este desplome han incidido varios factores de gran magnitud que afectan de una forma más o menos directa al mercado de la vivienda. Así, la invasión de Ucrania por parte de Rusia, el fuerte incremento de la inflación o la subida de los tipos de interés, con el euríbor acelerado, han confluido para crear una situación de notorio retroceso en el mercado inmobiliario. </w:t>
      </w:r>
    </w:p>
    <w:p w14:paraId="0000001A" w14:textId="77777777" w:rsidR="00FD290A" w:rsidRDefault="00FD290A">
      <w:pPr>
        <w:spacing w:line="276" w:lineRule="auto"/>
        <w:ind w:right="-574"/>
        <w:jc w:val="both"/>
        <w:rPr>
          <w:rFonts w:ascii="Open Sans" w:eastAsia="Open Sans" w:hAnsi="Open Sans" w:cs="Open Sans"/>
          <w:color w:val="000000"/>
          <w:sz w:val="22"/>
          <w:szCs w:val="22"/>
        </w:rPr>
      </w:pPr>
    </w:p>
    <w:p w14:paraId="0000001B" w14:textId="77777777" w:rsidR="00FD290A"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716913" cy="3416827"/>
            <wp:effectExtent l="0" t="0" r="0" b="0"/>
            <wp:docPr id="1996847155" name="image8.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Gráfico, Gráfico de líneas&#10;&#10;Descripción generada automáticamente"/>
                    <pic:cNvPicPr preferRelativeResize="0"/>
                  </pic:nvPicPr>
                  <pic:blipFill>
                    <a:blip r:embed="rId15"/>
                    <a:srcRect/>
                    <a:stretch>
                      <a:fillRect/>
                    </a:stretch>
                  </pic:blipFill>
                  <pic:spPr>
                    <a:xfrm>
                      <a:off x="0" y="0"/>
                      <a:ext cx="5716913" cy="3416827"/>
                    </a:xfrm>
                    <a:prstGeom prst="rect">
                      <a:avLst/>
                    </a:prstGeom>
                    <a:ln/>
                  </pic:spPr>
                </pic:pic>
              </a:graphicData>
            </a:graphic>
          </wp:inline>
        </w:drawing>
      </w:r>
    </w:p>
    <w:p w14:paraId="0000001C" w14:textId="77777777" w:rsidR="00FD290A" w:rsidRDefault="00FD290A">
      <w:pPr>
        <w:spacing w:line="276" w:lineRule="auto"/>
        <w:ind w:right="-574"/>
        <w:jc w:val="both"/>
        <w:rPr>
          <w:rFonts w:ascii="Open Sans" w:eastAsia="Open Sans" w:hAnsi="Open Sans" w:cs="Open Sans"/>
          <w:color w:val="000000"/>
          <w:sz w:val="22"/>
          <w:szCs w:val="22"/>
        </w:rPr>
      </w:pPr>
    </w:p>
    <w:p w14:paraId="0000001D" w14:textId="77777777" w:rsidR="00FD290A" w:rsidRDefault="00FD290A">
      <w:pPr>
        <w:spacing w:line="276" w:lineRule="auto"/>
        <w:ind w:right="-574"/>
        <w:jc w:val="both"/>
        <w:rPr>
          <w:rFonts w:ascii="Open Sans" w:eastAsia="Open Sans" w:hAnsi="Open Sans" w:cs="Open Sans"/>
          <w:color w:val="000000"/>
          <w:sz w:val="22"/>
          <w:szCs w:val="22"/>
        </w:rPr>
      </w:pPr>
    </w:p>
    <w:p w14:paraId="0000001E" w14:textId="77777777" w:rsidR="00FD290A" w:rsidRDefault="00000000">
      <w:pPr>
        <w:spacing w:line="276" w:lineRule="auto"/>
        <w:ind w:right="-574"/>
        <w:jc w:val="both"/>
        <w:rPr>
          <w:rFonts w:ascii="Open Sans" w:eastAsia="Open Sans" w:hAnsi="Open Sans" w:cs="Open Sans"/>
          <w:sz w:val="22"/>
          <w:szCs w:val="22"/>
        </w:rPr>
      </w:pPr>
      <w:bookmarkStart w:id="2" w:name="_heading=h.17dp8vu" w:colFirst="0" w:colLast="0"/>
      <w:bookmarkEnd w:id="2"/>
      <w:r>
        <w:rPr>
          <w:rFonts w:ascii="Open Sans" w:eastAsia="Open Sans" w:hAnsi="Open Sans" w:cs="Open Sans"/>
          <w:sz w:val="22"/>
          <w:szCs w:val="22"/>
        </w:rPr>
        <w:t>“L</w:t>
      </w:r>
      <w:r>
        <w:rPr>
          <w:rFonts w:ascii="Open Sans" w:eastAsia="Open Sans" w:hAnsi="Open Sans" w:cs="Open Sans"/>
          <w:color w:val="000000"/>
          <w:sz w:val="22"/>
          <w:szCs w:val="22"/>
        </w:rPr>
        <w:t xml:space="preserve">as subidas de los tipos de interés repercuten —al trasladarse al euríbor— en un incremento de las cuotas de las hipotecas y, como resultado de esto, se rebaja notablemente el número de compraventas de viviendas, debido a que los ciudadanos ven </w:t>
      </w:r>
      <w:r>
        <w:rPr>
          <w:rFonts w:ascii="Open Sans" w:eastAsia="Open Sans" w:hAnsi="Open Sans" w:cs="Open Sans"/>
          <w:sz w:val="22"/>
          <w:szCs w:val="22"/>
        </w:rPr>
        <w:t>mermada</w:t>
      </w:r>
      <w:r>
        <w:rPr>
          <w:rFonts w:ascii="Open Sans" w:eastAsia="Open Sans" w:hAnsi="Open Sans" w:cs="Open Sans"/>
          <w:color w:val="000000"/>
          <w:sz w:val="22"/>
          <w:szCs w:val="22"/>
        </w:rPr>
        <w:t xml:space="preserve"> su capacidad para financiarse.  Además, esa subida de los tipos provoca una creciente incertidumbre acerca de cómo evolucionará a corto o medio plazo el mercado inmobiliario, por lo que algunos</w:t>
      </w:r>
      <w:r>
        <w:rPr>
          <w:rFonts w:ascii="Open Sans" w:eastAsia="Open Sans" w:hAnsi="Open Sans" w:cs="Open Sans"/>
          <w:sz w:val="22"/>
          <w:szCs w:val="22"/>
        </w:rPr>
        <w:t xml:space="preserve"> compradores </w:t>
      </w:r>
      <w:r>
        <w:rPr>
          <w:rFonts w:ascii="Open Sans" w:eastAsia="Open Sans" w:hAnsi="Open Sans" w:cs="Open Sans"/>
          <w:color w:val="000000"/>
          <w:sz w:val="22"/>
          <w:szCs w:val="22"/>
        </w:rPr>
        <w:t xml:space="preserve">aplazan o, directamente abandonan, su intención de adquirir una vivienda. En el alquiler, </w:t>
      </w:r>
      <w:r>
        <w:rPr>
          <w:rFonts w:ascii="Open Sans" w:eastAsia="Open Sans" w:hAnsi="Open Sans" w:cs="Open Sans"/>
          <w:sz w:val="22"/>
          <w:szCs w:val="22"/>
        </w:rPr>
        <w:t xml:space="preserve">la crisis de precios también hace que se rebaje la demanda, al expulsar del mercado a las rentas más bajas”, explica María Matos, directora de Estudios y portavoz de </w:t>
      </w:r>
      <w:hyperlink r:id="rId16">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0000001F" w14:textId="77777777" w:rsidR="00FD290A" w:rsidRDefault="00FD290A">
      <w:pPr>
        <w:spacing w:line="276" w:lineRule="auto"/>
        <w:ind w:right="-574"/>
        <w:jc w:val="both"/>
        <w:rPr>
          <w:rFonts w:ascii="Open Sans" w:eastAsia="Open Sans" w:hAnsi="Open Sans" w:cs="Open Sans"/>
          <w:sz w:val="22"/>
          <w:szCs w:val="22"/>
        </w:rPr>
      </w:pPr>
      <w:bookmarkStart w:id="3" w:name="_heading=h.1rrfkqpe030e" w:colFirst="0" w:colLast="0"/>
      <w:bookmarkEnd w:id="3"/>
    </w:p>
    <w:p w14:paraId="00000020" w14:textId="77777777"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la comparación con respecto a la anterior ola de encuestas de Fotocasa </w:t>
      </w:r>
      <w:proofErr w:type="spellStart"/>
      <w:r>
        <w:rPr>
          <w:rFonts w:ascii="Open Sans" w:eastAsia="Open Sans" w:hAnsi="Open Sans" w:cs="Open Sans"/>
          <w:color w:val="000000"/>
          <w:sz w:val="22"/>
          <w:szCs w:val="22"/>
        </w:rPr>
        <w:t>Research</w:t>
      </w:r>
      <w:proofErr w:type="spellEnd"/>
      <w:r>
        <w:rPr>
          <w:rFonts w:ascii="Open Sans" w:eastAsia="Open Sans" w:hAnsi="Open Sans" w:cs="Open Sans"/>
          <w:color w:val="000000"/>
          <w:sz w:val="22"/>
          <w:szCs w:val="22"/>
        </w:rPr>
        <w:t xml:space="preserve"> (agosto 2022) se ve que el </w:t>
      </w:r>
      <w:r>
        <w:rPr>
          <w:rFonts w:ascii="Open Sans" w:eastAsia="Open Sans" w:hAnsi="Open Sans" w:cs="Open Sans"/>
          <w:sz w:val="22"/>
          <w:szCs w:val="22"/>
        </w:rPr>
        <w:t>mercado está cambiando</w:t>
      </w:r>
      <w:r>
        <w:rPr>
          <w:rFonts w:ascii="Open Sans" w:eastAsia="Open Sans" w:hAnsi="Open Sans" w:cs="Open Sans"/>
          <w:color w:val="000000"/>
          <w:sz w:val="22"/>
          <w:szCs w:val="22"/>
        </w:rPr>
        <w:t xml:space="preserve"> a gran velocidad. Así, en este 2023 se muestra un descenso más acusado en la demanda de alquiler que en la de compraventa.  Esto se comprueba claramente cuando se toma al conjunto de demandantes y se observa cómo se reparten entre ambos mercados. </w:t>
      </w:r>
    </w:p>
    <w:p w14:paraId="00000021" w14:textId="77777777" w:rsidR="00FD290A" w:rsidRDefault="00FD290A">
      <w:pPr>
        <w:spacing w:line="276" w:lineRule="auto"/>
        <w:ind w:right="-574"/>
        <w:jc w:val="both"/>
        <w:rPr>
          <w:rFonts w:ascii="Open Sans" w:eastAsia="Open Sans" w:hAnsi="Open Sans" w:cs="Open Sans"/>
          <w:color w:val="000000"/>
          <w:sz w:val="22"/>
          <w:szCs w:val="22"/>
        </w:rPr>
      </w:pPr>
    </w:p>
    <w:p w14:paraId="00000022" w14:textId="4CC53D0F" w:rsidR="00FD290A" w:rsidRDefault="00000000">
      <w:pPr>
        <w:spacing w:line="276" w:lineRule="auto"/>
        <w:ind w:right="-574"/>
        <w:jc w:val="both"/>
        <w:rPr>
          <w:rFonts w:ascii="Open Sans" w:eastAsia="Open Sans" w:hAnsi="Open Sans" w:cs="Open Sans"/>
          <w:color w:val="000000"/>
          <w:sz w:val="22"/>
          <w:szCs w:val="22"/>
        </w:rPr>
      </w:pPr>
      <w:bookmarkStart w:id="4" w:name="_heading=h.1fob9te" w:colFirst="0" w:colLast="0"/>
      <w:bookmarkEnd w:id="4"/>
      <w:r>
        <w:rPr>
          <w:rFonts w:ascii="Open Sans" w:eastAsia="Open Sans" w:hAnsi="Open Sans" w:cs="Open Sans"/>
          <w:color w:val="000000"/>
          <w:sz w:val="22"/>
          <w:szCs w:val="22"/>
        </w:rPr>
        <w:t>Así, los datos indican que en febrero de 2023 vuelve a predominar la búsqueda de vivienda en propiedad (47%) frente a la de alquiler (43%), invirtiendo los resultados que se registraban en agosto.  Los que han buscado en ambos mercados son ahora el</w:t>
      </w:r>
      <w:r w:rsidR="007C1B8B">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10% del total (exactamente igual que en agosto de 2022).</w:t>
      </w:r>
    </w:p>
    <w:p w14:paraId="00000026" w14:textId="77777777" w:rsidR="00FD290A" w:rsidRDefault="00FD290A">
      <w:pPr>
        <w:spacing w:line="276" w:lineRule="auto"/>
        <w:ind w:right="-574"/>
        <w:jc w:val="both"/>
      </w:pPr>
    </w:p>
    <w:p w14:paraId="4E9F256D" w14:textId="314F5F44" w:rsidR="007C1B8B" w:rsidRDefault="007C1B8B">
      <w:pPr>
        <w:spacing w:line="276" w:lineRule="auto"/>
        <w:ind w:right="-574"/>
        <w:jc w:val="both"/>
        <w:rPr>
          <w:rFonts w:ascii="Open Sans Light" w:eastAsia="Open Sans Light" w:hAnsi="Open Sans Light" w:cs="Open Sans Light"/>
          <w:b/>
          <w:color w:val="303AB2"/>
          <w:sz w:val="26"/>
          <w:szCs w:val="26"/>
        </w:rPr>
      </w:pPr>
      <w:r>
        <w:rPr>
          <w:noProof/>
        </w:rPr>
        <w:drawing>
          <wp:inline distT="0" distB="0" distL="0" distR="0" wp14:anchorId="4D069269" wp14:editId="672B4309">
            <wp:extent cx="5722620" cy="3521923"/>
            <wp:effectExtent l="0" t="0" r="0" b="2540"/>
            <wp:docPr id="184185589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55891" name="Imagen 1" descr="Diagrama&#10;&#10;Descripción generada automáticamente"/>
                    <pic:cNvPicPr/>
                  </pic:nvPicPr>
                  <pic:blipFill>
                    <a:blip r:embed="rId17"/>
                    <a:stretch>
                      <a:fillRect/>
                    </a:stretch>
                  </pic:blipFill>
                  <pic:spPr>
                    <a:xfrm>
                      <a:off x="0" y="0"/>
                      <a:ext cx="5733743" cy="3528768"/>
                    </a:xfrm>
                    <a:prstGeom prst="rect">
                      <a:avLst/>
                    </a:prstGeom>
                  </pic:spPr>
                </pic:pic>
              </a:graphicData>
            </a:graphic>
          </wp:inline>
        </w:drawing>
      </w:r>
    </w:p>
    <w:p w14:paraId="16D38FAD" w14:textId="77777777" w:rsidR="007C1B8B" w:rsidRDefault="007C1B8B">
      <w:pPr>
        <w:spacing w:line="276" w:lineRule="auto"/>
        <w:ind w:right="-574"/>
        <w:jc w:val="both"/>
        <w:rPr>
          <w:rFonts w:ascii="Open Sans Light" w:eastAsia="Open Sans Light" w:hAnsi="Open Sans Light" w:cs="Open Sans Light"/>
          <w:b/>
          <w:color w:val="303AB2"/>
          <w:sz w:val="26"/>
          <w:szCs w:val="26"/>
        </w:rPr>
      </w:pPr>
    </w:p>
    <w:p w14:paraId="00000027" w14:textId="45C44D3A" w:rsidR="00FD290A"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Caída acusada en Cataluña, Andalucía y la Comunidad Valenciana</w:t>
      </w:r>
    </w:p>
    <w:p w14:paraId="00000028" w14:textId="77777777" w:rsidR="00FD290A" w:rsidRDefault="00FD290A">
      <w:pPr>
        <w:spacing w:line="276" w:lineRule="auto"/>
        <w:ind w:right="-574"/>
        <w:jc w:val="both"/>
        <w:rPr>
          <w:rFonts w:ascii="Open Sans" w:eastAsia="Open Sans" w:hAnsi="Open Sans" w:cs="Open Sans"/>
          <w:color w:val="000000"/>
          <w:sz w:val="22"/>
          <w:szCs w:val="22"/>
        </w:rPr>
      </w:pPr>
    </w:p>
    <w:p w14:paraId="00000029" w14:textId="77777777" w:rsidR="00FD290A"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Dada la contracción experimentada por el mercado de la vivienda en los últimos seis meses, resulta consecuente que esta se refleje también en los datos por territorios, disminuyendo la actividad en todas las comunidades autónomas analizadas. </w:t>
      </w:r>
      <w:r>
        <w:rPr>
          <w:rFonts w:ascii="Open Sans" w:eastAsia="Open Sans" w:hAnsi="Open Sans" w:cs="Open Sans"/>
          <w:b/>
          <w:color w:val="000000"/>
          <w:sz w:val="22"/>
          <w:szCs w:val="22"/>
        </w:rPr>
        <w:t xml:space="preserve">Esta retracción se manifiesta con mayor hondura en Cataluña, Andalucía y la Comunidad Valenciana. </w:t>
      </w:r>
    </w:p>
    <w:p w14:paraId="0000002A" w14:textId="77777777" w:rsidR="00FD290A" w:rsidRDefault="00FD290A">
      <w:pPr>
        <w:spacing w:line="276" w:lineRule="auto"/>
        <w:ind w:right="-574"/>
        <w:jc w:val="both"/>
        <w:rPr>
          <w:rFonts w:ascii="Open Sans" w:eastAsia="Open Sans" w:hAnsi="Open Sans" w:cs="Open Sans"/>
          <w:color w:val="000000"/>
          <w:sz w:val="22"/>
          <w:szCs w:val="22"/>
        </w:rPr>
      </w:pPr>
    </w:p>
    <w:p w14:paraId="0000002B" w14:textId="77777777" w:rsidR="00FD290A" w:rsidRDefault="00000000">
      <w:pPr>
        <w:spacing w:line="276" w:lineRule="auto"/>
        <w:ind w:right="-574"/>
        <w:jc w:val="both"/>
        <w:rPr>
          <w:rFonts w:ascii="Open Sans" w:eastAsia="Open Sans" w:hAnsi="Open Sans" w:cs="Open Sans"/>
          <w:color w:val="000000"/>
          <w:sz w:val="22"/>
          <w:szCs w:val="22"/>
        </w:rPr>
      </w:pPr>
      <w:bookmarkStart w:id="5" w:name="_heading=h.3znysh7" w:colFirst="0" w:colLast="0"/>
      <w:bookmarkEnd w:id="5"/>
      <w:r>
        <w:rPr>
          <w:rFonts w:ascii="Open Sans" w:eastAsia="Open Sans" w:hAnsi="Open Sans" w:cs="Open Sans"/>
          <w:color w:val="000000"/>
          <w:sz w:val="22"/>
          <w:szCs w:val="22"/>
        </w:rPr>
        <w:t xml:space="preserve">Así, </w:t>
      </w:r>
      <w:r>
        <w:rPr>
          <w:rFonts w:ascii="Open Sans" w:eastAsia="Open Sans" w:hAnsi="Open Sans" w:cs="Open Sans"/>
          <w:b/>
          <w:color w:val="000000"/>
          <w:sz w:val="22"/>
          <w:szCs w:val="22"/>
        </w:rPr>
        <w:t>Cataluña</w:t>
      </w:r>
      <w:r>
        <w:rPr>
          <w:rFonts w:ascii="Open Sans" w:eastAsia="Open Sans" w:hAnsi="Open Sans" w:cs="Open Sans"/>
          <w:color w:val="000000"/>
          <w:sz w:val="22"/>
          <w:szCs w:val="22"/>
        </w:rPr>
        <w:t xml:space="preserve"> experimenta una caída de 5 puntos porcentuales, al bajar del 30% al 25% el porcentaje de personas que actuaron de algún modo en el mercado de la vivienda en los últimos doce meses. Esto supone que Cataluña marca el registro más bajo de participación de todas las comunidades autónomas analizadas y se sitúa en el rango inferior de toda su serie histórica: solo el dato de participación de 2018 (23%) fue inferior.</w:t>
      </w:r>
    </w:p>
    <w:p w14:paraId="0000002C" w14:textId="77777777" w:rsidR="00FD290A" w:rsidRDefault="00FD290A">
      <w:pPr>
        <w:spacing w:line="276" w:lineRule="auto"/>
        <w:ind w:right="-574"/>
        <w:jc w:val="both"/>
        <w:rPr>
          <w:rFonts w:ascii="Open Sans" w:eastAsia="Open Sans" w:hAnsi="Open Sans" w:cs="Open Sans"/>
          <w:color w:val="000000"/>
          <w:sz w:val="22"/>
          <w:szCs w:val="22"/>
        </w:rPr>
      </w:pPr>
    </w:p>
    <w:p w14:paraId="0000002D" w14:textId="77777777" w:rsidR="00FD290A" w:rsidRDefault="00000000">
      <w:pPr>
        <w:spacing w:line="276" w:lineRule="auto"/>
        <w:ind w:right="-574"/>
        <w:jc w:val="both"/>
        <w:rPr>
          <w:rFonts w:ascii="Open Sans" w:eastAsia="Open Sans" w:hAnsi="Open Sans" w:cs="Open Sans"/>
          <w:color w:val="000000"/>
          <w:sz w:val="22"/>
          <w:szCs w:val="22"/>
        </w:rPr>
      </w:pPr>
      <w:bookmarkStart w:id="6" w:name="_heading=h.2et92p0" w:colFirst="0" w:colLast="0"/>
      <w:bookmarkEnd w:id="6"/>
      <w:r>
        <w:rPr>
          <w:rFonts w:ascii="Open Sans" w:eastAsia="Open Sans" w:hAnsi="Open Sans" w:cs="Open Sans"/>
          <w:color w:val="000000"/>
          <w:sz w:val="22"/>
          <w:szCs w:val="22"/>
        </w:rPr>
        <w:t xml:space="preserve">En </w:t>
      </w:r>
      <w:r>
        <w:rPr>
          <w:rFonts w:ascii="Open Sans" w:eastAsia="Open Sans" w:hAnsi="Open Sans" w:cs="Open Sans"/>
          <w:b/>
          <w:color w:val="000000"/>
          <w:sz w:val="22"/>
          <w:szCs w:val="22"/>
        </w:rPr>
        <w:t>Andalucía</w:t>
      </w:r>
      <w:r>
        <w:rPr>
          <w:rFonts w:ascii="Open Sans" w:eastAsia="Open Sans" w:hAnsi="Open Sans" w:cs="Open Sans"/>
          <w:color w:val="000000"/>
          <w:sz w:val="22"/>
          <w:szCs w:val="22"/>
        </w:rPr>
        <w:t xml:space="preserve"> la caída es aún más acusada, ya que el porcentaje de particulares participando en el mercado pasa del 34% al 28%, seis puntos menos. En este sentido cabe destacar la brusca inflexión que experimenta esta comunidad en el último medio año, tras mantener con anterioridad una línea ascendente en su actividad inmobiliaria desde que, en agosto de 2020, tras el impacto del confinamiento estricto de aquella primavera, marcase su nivel más bajo (29%). Desde entonces había encadenado cuatro oleadas consecutivas de subidas. En febrero de 2023, sin embargo, su mercado se ha reducido incluso por debajo de ese nivel pandémico.</w:t>
      </w:r>
    </w:p>
    <w:p w14:paraId="0000002E" w14:textId="77777777" w:rsidR="00FD290A" w:rsidRDefault="00FD290A">
      <w:pPr>
        <w:spacing w:line="276" w:lineRule="auto"/>
        <w:ind w:right="-574"/>
        <w:jc w:val="both"/>
        <w:rPr>
          <w:rFonts w:ascii="Open Sans" w:eastAsia="Open Sans" w:hAnsi="Open Sans" w:cs="Open Sans"/>
          <w:color w:val="000000"/>
          <w:sz w:val="22"/>
          <w:szCs w:val="22"/>
        </w:rPr>
      </w:pPr>
    </w:p>
    <w:p w14:paraId="0000002F" w14:textId="77777777" w:rsidR="00FD290A" w:rsidRDefault="00000000">
      <w:pPr>
        <w:spacing w:line="276" w:lineRule="auto"/>
        <w:ind w:right="-574"/>
        <w:jc w:val="both"/>
        <w:rPr>
          <w:rFonts w:ascii="Open Sans" w:eastAsia="Open Sans" w:hAnsi="Open Sans" w:cs="Open Sans"/>
          <w:color w:val="000000"/>
          <w:sz w:val="22"/>
          <w:szCs w:val="22"/>
        </w:rPr>
      </w:pPr>
      <w:bookmarkStart w:id="7" w:name="_heading=h.tyjcwt" w:colFirst="0" w:colLast="0"/>
      <w:bookmarkEnd w:id="7"/>
      <w:r>
        <w:rPr>
          <w:rFonts w:ascii="Open Sans" w:eastAsia="Open Sans" w:hAnsi="Open Sans" w:cs="Open Sans"/>
          <w:color w:val="000000"/>
          <w:sz w:val="22"/>
          <w:szCs w:val="22"/>
        </w:rPr>
        <w:t xml:space="preserve">La </w:t>
      </w:r>
      <w:r>
        <w:rPr>
          <w:rFonts w:ascii="Open Sans" w:eastAsia="Open Sans" w:hAnsi="Open Sans" w:cs="Open Sans"/>
          <w:b/>
          <w:color w:val="000000"/>
          <w:sz w:val="22"/>
          <w:szCs w:val="22"/>
        </w:rPr>
        <w:t>Comunidad Valenciana</w:t>
      </w:r>
      <w:r>
        <w:rPr>
          <w:rFonts w:ascii="Open Sans" w:eastAsia="Open Sans" w:hAnsi="Open Sans" w:cs="Open Sans"/>
          <w:color w:val="000000"/>
          <w:sz w:val="22"/>
          <w:szCs w:val="22"/>
        </w:rPr>
        <w:t>, por su parte, también desciende otros seis puntos, desde el 34% al 28% desde el 32% de agosto del pasado año. Cabe recordar que esta comunidad autónoma fue la gran damnificada de la crisis de la covid-19, al desplomarse su mercado del 35 % que superaba en febrero de 2020 al 25% de agosto de ese mismo año.</w:t>
      </w:r>
    </w:p>
    <w:p w14:paraId="00000030" w14:textId="77777777" w:rsidR="00FD290A" w:rsidRDefault="00FD290A">
      <w:pPr>
        <w:spacing w:line="276" w:lineRule="auto"/>
        <w:ind w:right="-574"/>
        <w:jc w:val="both"/>
        <w:rPr>
          <w:rFonts w:ascii="Open Sans" w:eastAsia="Open Sans" w:hAnsi="Open Sans" w:cs="Open Sans"/>
          <w:color w:val="000000"/>
          <w:sz w:val="22"/>
          <w:szCs w:val="22"/>
        </w:rPr>
      </w:pPr>
    </w:p>
    <w:p w14:paraId="00000031" w14:textId="77777777"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la </w:t>
      </w:r>
      <w:r>
        <w:rPr>
          <w:rFonts w:ascii="Open Sans" w:eastAsia="Open Sans" w:hAnsi="Open Sans" w:cs="Open Sans"/>
          <w:b/>
          <w:color w:val="000000"/>
          <w:sz w:val="22"/>
          <w:szCs w:val="22"/>
        </w:rPr>
        <w:t>Comunidad de Madrid</w:t>
      </w:r>
      <w:r>
        <w:rPr>
          <w:rFonts w:ascii="Open Sans" w:eastAsia="Open Sans" w:hAnsi="Open Sans" w:cs="Open Sans"/>
          <w:color w:val="000000"/>
          <w:sz w:val="22"/>
          <w:szCs w:val="22"/>
        </w:rPr>
        <w:t xml:space="preserve"> también hay caída en la participación al pasar del 32% en agosto de 2022 al 28% actual, aunque de todas las comunidades analizadas es la que menos puntos porcentuales de participación pierde.</w:t>
      </w:r>
    </w:p>
    <w:p w14:paraId="00000032" w14:textId="77777777" w:rsidR="00FD290A" w:rsidRDefault="00FD290A">
      <w:pPr>
        <w:spacing w:line="276" w:lineRule="auto"/>
        <w:ind w:right="-574"/>
        <w:jc w:val="both"/>
        <w:rPr>
          <w:rFonts w:ascii="Open Sans" w:eastAsia="Open Sans" w:hAnsi="Open Sans" w:cs="Open Sans"/>
          <w:color w:val="000000"/>
          <w:sz w:val="22"/>
          <w:szCs w:val="22"/>
        </w:rPr>
      </w:pPr>
    </w:p>
    <w:p w14:paraId="00000033" w14:textId="77777777" w:rsidR="00FD290A"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544302" cy="2190841"/>
            <wp:effectExtent l="0" t="0" r="0" b="0"/>
            <wp:docPr id="1996847157"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8"/>
                    <a:srcRect/>
                    <a:stretch>
                      <a:fillRect/>
                    </a:stretch>
                  </pic:blipFill>
                  <pic:spPr>
                    <a:xfrm>
                      <a:off x="0" y="0"/>
                      <a:ext cx="5544302" cy="2190841"/>
                    </a:xfrm>
                    <a:prstGeom prst="rect">
                      <a:avLst/>
                    </a:prstGeom>
                    <a:ln/>
                  </pic:spPr>
                </pic:pic>
              </a:graphicData>
            </a:graphic>
          </wp:inline>
        </w:drawing>
      </w:r>
    </w:p>
    <w:p w14:paraId="00000034" w14:textId="77777777" w:rsidR="00FD290A" w:rsidRDefault="00FD290A">
      <w:pPr>
        <w:spacing w:line="276" w:lineRule="auto"/>
        <w:ind w:right="-574"/>
        <w:jc w:val="both"/>
        <w:rPr>
          <w:rFonts w:ascii="Open Sans Light" w:eastAsia="Open Sans Light" w:hAnsi="Open Sans Light" w:cs="Open Sans Light"/>
          <w:b/>
          <w:color w:val="303AB2"/>
          <w:sz w:val="26"/>
          <w:szCs w:val="26"/>
        </w:rPr>
      </w:pPr>
    </w:p>
    <w:p w14:paraId="00000035" w14:textId="77777777" w:rsidR="00FD290A"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La Comunidad Valenciana lidera el descenso en el alquiler</w:t>
      </w:r>
    </w:p>
    <w:p w14:paraId="00000036" w14:textId="77777777" w:rsidR="00FD290A" w:rsidRDefault="00FD290A">
      <w:pPr>
        <w:spacing w:line="276" w:lineRule="auto"/>
        <w:ind w:right="-574"/>
        <w:jc w:val="both"/>
        <w:rPr>
          <w:rFonts w:ascii="Open Sans" w:eastAsia="Open Sans" w:hAnsi="Open Sans" w:cs="Open Sans"/>
          <w:color w:val="000000"/>
          <w:sz w:val="22"/>
          <w:szCs w:val="22"/>
        </w:rPr>
      </w:pPr>
    </w:p>
    <w:p w14:paraId="00000037" w14:textId="77777777" w:rsidR="00FD290A" w:rsidRDefault="00000000">
      <w:pPr>
        <w:spacing w:line="276" w:lineRule="auto"/>
        <w:ind w:right="-574"/>
        <w:jc w:val="both"/>
        <w:rPr>
          <w:rFonts w:ascii="Open Sans" w:eastAsia="Open Sans" w:hAnsi="Open Sans" w:cs="Open Sans"/>
          <w:color w:val="000000"/>
          <w:sz w:val="22"/>
          <w:szCs w:val="22"/>
        </w:rPr>
      </w:pPr>
      <w:bookmarkStart w:id="8" w:name="_heading=h.3dy6vkm" w:colFirst="0" w:colLast="0"/>
      <w:bookmarkEnd w:id="8"/>
      <w:r>
        <w:rPr>
          <w:rFonts w:ascii="Open Sans" w:eastAsia="Open Sans" w:hAnsi="Open Sans" w:cs="Open Sans"/>
          <w:color w:val="000000"/>
          <w:sz w:val="22"/>
          <w:szCs w:val="22"/>
        </w:rPr>
        <w:t xml:space="preserve">Resulta consecuente que de estos datos generales se desprenda también un decrecimiento notable del mercado del arrendamiento en todas las comunidades estudiadas respecto a la muestra anterior, datada en agosto de 2022. </w:t>
      </w:r>
    </w:p>
    <w:p w14:paraId="00000038" w14:textId="77777777" w:rsidR="00FD290A" w:rsidRDefault="00FD290A">
      <w:pPr>
        <w:spacing w:line="276" w:lineRule="auto"/>
        <w:ind w:right="-574"/>
        <w:jc w:val="both"/>
        <w:rPr>
          <w:rFonts w:ascii="Open Sans" w:eastAsia="Open Sans" w:hAnsi="Open Sans" w:cs="Open Sans"/>
          <w:color w:val="000000"/>
          <w:sz w:val="22"/>
          <w:szCs w:val="22"/>
        </w:rPr>
      </w:pPr>
    </w:p>
    <w:p w14:paraId="00000039" w14:textId="77777777"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nuevo son </w:t>
      </w:r>
      <w:r>
        <w:rPr>
          <w:rFonts w:ascii="Open Sans" w:eastAsia="Open Sans" w:hAnsi="Open Sans" w:cs="Open Sans"/>
          <w:b/>
          <w:color w:val="000000"/>
          <w:sz w:val="22"/>
          <w:szCs w:val="22"/>
        </w:rPr>
        <w:t>Andalucía y la Comunidad Valenciana</w:t>
      </w:r>
      <w:r>
        <w:rPr>
          <w:rFonts w:ascii="Open Sans" w:eastAsia="Open Sans" w:hAnsi="Open Sans" w:cs="Open Sans"/>
          <w:color w:val="000000"/>
          <w:sz w:val="22"/>
          <w:szCs w:val="22"/>
        </w:rPr>
        <w:t xml:space="preserve"> los territorios donde el desplome es más profundo, perdiendo </w:t>
      </w:r>
      <w:proofErr w:type="gramStart"/>
      <w:r>
        <w:rPr>
          <w:rFonts w:ascii="Open Sans" w:eastAsia="Open Sans" w:hAnsi="Open Sans" w:cs="Open Sans"/>
          <w:color w:val="000000"/>
          <w:sz w:val="22"/>
          <w:szCs w:val="22"/>
        </w:rPr>
        <w:t>ambas 4 puntos porcentuales</w:t>
      </w:r>
      <w:proofErr w:type="gramEnd"/>
      <w:r>
        <w:rPr>
          <w:rFonts w:ascii="Open Sans" w:eastAsia="Open Sans" w:hAnsi="Open Sans" w:cs="Open Sans"/>
          <w:color w:val="000000"/>
          <w:sz w:val="22"/>
          <w:szCs w:val="22"/>
        </w:rPr>
        <w:t xml:space="preserve"> en lo que se refiere a acciones relacionadas con el mercado de alquiler. De este modo, la primera baja del 21% al 17%, mientras que la comunidad levantina desciende del 19% al 15%. Ambas autonomías retornan, por lo tanto, a los valores registrados doce meses antes, al perder todo lo que habían ganado en la transición entre uno y otro año.  Por su parte, </w:t>
      </w:r>
      <w:r>
        <w:rPr>
          <w:rFonts w:ascii="Open Sans" w:eastAsia="Open Sans" w:hAnsi="Open Sans" w:cs="Open Sans"/>
          <w:b/>
          <w:color w:val="000000"/>
          <w:sz w:val="22"/>
          <w:szCs w:val="22"/>
        </w:rPr>
        <w:t>Cataluña</w:t>
      </w:r>
      <w:r>
        <w:rPr>
          <w:rFonts w:ascii="Open Sans" w:eastAsia="Open Sans" w:hAnsi="Open Sans" w:cs="Open Sans"/>
          <w:color w:val="000000"/>
          <w:sz w:val="22"/>
          <w:szCs w:val="22"/>
        </w:rPr>
        <w:t xml:space="preserve"> ha bajado del 16% al 14%. </w:t>
      </w:r>
      <w:proofErr w:type="gramStart"/>
      <w:r>
        <w:rPr>
          <w:rFonts w:ascii="Open Sans" w:eastAsia="Open Sans" w:hAnsi="Open Sans" w:cs="Open Sans"/>
          <w:color w:val="000000"/>
          <w:sz w:val="22"/>
          <w:szCs w:val="22"/>
        </w:rPr>
        <w:t>Dos puntos ha</w:t>
      </w:r>
      <w:proofErr w:type="gramEnd"/>
      <w:r>
        <w:rPr>
          <w:rFonts w:ascii="Open Sans" w:eastAsia="Open Sans" w:hAnsi="Open Sans" w:cs="Open Sans"/>
          <w:color w:val="000000"/>
          <w:sz w:val="22"/>
          <w:szCs w:val="22"/>
        </w:rPr>
        <w:t xml:space="preserve"> perdido también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que en su caso desciende del 18% al 16%.</w:t>
      </w:r>
    </w:p>
    <w:p w14:paraId="0000003A" w14:textId="77777777" w:rsidR="00FD290A" w:rsidRDefault="00FD290A">
      <w:pPr>
        <w:spacing w:line="276" w:lineRule="auto"/>
        <w:ind w:right="-574"/>
        <w:jc w:val="both"/>
        <w:rPr>
          <w:rFonts w:ascii="Open Sans" w:eastAsia="Open Sans" w:hAnsi="Open Sans" w:cs="Open Sans"/>
          <w:color w:val="000000"/>
          <w:sz w:val="22"/>
          <w:szCs w:val="22"/>
        </w:rPr>
      </w:pPr>
    </w:p>
    <w:p w14:paraId="0000003B" w14:textId="77777777" w:rsidR="00FD290A" w:rsidRDefault="00FD290A">
      <w:pPr>
        <w:spacing w:line="276" w:lineRule="auto"/>
        <w:ind w:right="-574"/>
        <w:jc w:val="both"/>
        <w:rPr>
          <w:rFonts w:ascii="Open Sans" w:eastAsia="Open Sans" w:hAnsi="Open Sans" w:cs="Open Sans"/>
          <w:color w:val="000000"/>
          <w:sz w:val="22"/>
          <w:szCs w:val="22"/>
        </w:rPr>
      </w:pPr>
    </w:p>
    <w:p w14:paraId="0000003C" w14:textId="77777777" w:rsidR="00FD290A"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725632" cy="3594959"/>
            <wp:effectExtent l="0" t="0" r="0" b="0"/>
            <wp:docPr id="1996847151" name="image9.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Imagen que contiene Gráfico&#10;&#10;Descripción generada automáticamente"/>
                    <pic:cNvPicPr preferRelativeResize="0"/>
                  </pic:nvPicPr>
                  <pic:blipFill>
                    <a:blip r:embed="rId19"/>
                    <a:srcRect/>
                    <a:stretch>
                      <a:fillRect/>
                    </a:stretch>
                  </pic:blipFill>
                  <pic:spPr>
                    <a:xfrm>
                      <a:off x="0" y="0"/>
                      <a:ext cx="5725632" cy="3594959"/>
                    </a:xfrm>
                    <a:prstGeom prst="rect">
                      <a:avLst/>
                    </a:prstGeom>
                    <a:ln/>
                  </pic:spPr>
                </pic:pic>
              </a:graphicData>
            </a:graphic>
          </wp:inline>
        </w:drawing>
      </w:r>
    </w:p>
    <w:p w14:paraId="0000003D" w14:textId="77777777" w:rsidR="00FD290A" w:rsidRDefault="00FD290A">
      <w:pPr>
        <w:spacing w:line="276" w:lineRule="auto"/>
        <w:ind w:right="-574"/>
        <w:jc w:val="both"/>
        <w:rPr>
          <w:rFonts w:ascii="Open Sans" w:eastAsia="Open Sans" w:hAnsi="Open Sans" w:cs="Open Sans"/>
          <w:color w:val="000000"/>
          <w:sz w:val="22"/>
          <w:szCs w:val="22"/>
        </w:rPr>
      </w:pPr>
    </w:p>
    <w:p w14:paraId="0000003E" w14:textId="77777777" w:rsidR="00FD290A" w:rsidRDefault="00FD290A">
      <w:pPr>
        <w:spacing w:line="276" w:lineRule="auto"/>
        <w:ind w:right="-574"/>
        <w:jc w:val="both"/>
        <w:rPr>
          <w:rFonts w:ascii="Open Sans" w:eastAsia="Open Sans" w:hAnsi="Open Sans" w:cs="Open Sans"/>
          <w:color w:val="000000"/>
          <w:sz w:val="22"/>
          <w:szCs w:val="22"/>
        </w:rPr>
      </w:pPr>
    </w:p>
    <w:p w14:paraId="0000003F" w14:textId="77777777" w:rsidR="00FD290A" w:rsidRDefault="00FD290A">
      <w:pPr>
        <w:spacing w:line="276" w:lineRule="auto"/>
        <w:ind w:right="-574"/>
        <w:jc w:val="both"/>
        <w:rPr>
          <w:rFonts w:ascii="Open Sans" w:eastAsia="Open Sans" w:hAnsi="Open Sans" w:cs="Open Sans"/>
          <w:color w:val="000000"/>
          <w:sz w:val="22"/>
          <w:szCs w:val="22"/>
        </w:rPr>
      </w:pPr>
    </w:p>
    <w:p w14:paraId="00000040" w14:textId="77777777" w:rsidR="00FD290A" w:rsidRDefault="00000000">
      <w:pPr>
        <w:spacing w:line="276" w:lineRule="auto"/>
        <w:ind w:right="-574"/>
        <w:jc w:val="both"/>
        <w:rPr>
          <w:rFonts w:ascii="Open Sans" w:eastAsia="Open Sans" w:hAnsi="Open Sans" w:cs="Open Sans"/>
          <w:color w:val="000000"/>
          <w:sz w:val="22"/>
          <w:szCs w:val="22"/>
        </w:rPr>
      </w:pPr>
      <w:bookmarkStart w:id="9" w:name="_heading=h.3rdcrjn" w:colFirst="0" w:colLast="0"/>
      <w:bookmarkEnd w:id="9"/>
      <w:r>
        <w:rPr>
          <w:rFonts w:ascii="Open Sans" w:eastAsia="Open Sans" w:hAnsi="Open Sans" w:cs="Open Sans"/>
          <w:color w:val="000000"/>
          <w:sz w:val="22"/>
          <w:szCs w:val="22"/>
        </w:rPr>
        <w:lastRenderedPageBreak/>
        <w:t xml:space="preserve">En algunas comunidades se aprecia un descenso del porcentaje de aquellos que han alquilado una vivienda para vivir en ella (alquiler efectivo). En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xml:space="preserve"> se ha pasado del 7% al 5%; en la </w:t>
      </w:r>
      <w:r>
        <w:rPr>
          <w:rFonts w:ascii="Open Sans" w:eastAsia="Open Sans" w:hAnsi="Open Sans" w:cs="Open Sans"/>
          <w:b/>
          <w:color w:val="000000"/>
          <w:sz w:val="22"/>
          <w:szCs w:val="22"/>
        </w:rPr>
        <w:t>Comunidad Valenciana</w:t>
      </w:r>
      <w:r>
        <w:rPr>
          <w:rFonts w:ascii="Open Sans" w:eastAsia="Open Sans" w:hAnsi="Open Sans" w:cs="Open Sans"/>
          <w:color w:val="000000"/>
          <w:sz w:val="22"/>
          <w:szCs w:val="22"/>
        </w:rPr>
        <w:t xml:space="preserve"> la rebaja ha sido también de 2 puntos: del 8% al 6%. Y en </w:t>
      </w:r>
      <w:r>
        <w:rPr>
          <w:rFonts w:ascii="Open Sans" w:eastAsia="Open Sans" w:hAnsi="Open Sans" w:cs="Open Sans"/>
          <w:b/>
          <w:color w:val="000000"/>
          <w:sz w:val="22"/>
          <w:szCs w:val="22"/>
        </w:rPr>
        <w:t>Andalucía</w:t>
      </w:r>
      <w:r>
        <w:rPr>
          <w:rFonts w:ascii="Open Sans" w:eastAsia="Open Sans" w:hAnsi="Open Sans" w:cs="Open Sans"/>
          <w:color w:val="000000"/>
          <w:sz w:val="22"/>
          <w:szCs w:val="22"/>
        </w:rPr>
        <w:t xml:space="preserve"> ha sido incluso más acusada: del 11% en agosto de 2022 se ha pasado al 8% en febrero de 2023. Por su parte, </w:t>
      </w:r>
      <w:r>
        <w:rPr>
          <w:rFonts w:ascii="Open Sans" w:eastAsia="Open Sans" w:hAnsi="Open Sans" w:cs="Open Sans"/>
          <w:b/>
          <w:color w:val="000000"/>
          <w:sz w:val="22"/>
          <w:szCs w:val="22"/>
        </w:rPr>
        <w:t>Cataluña</w:t>
      </w:r>
      <w:r>
        <w:rPr>
          <w:rFonts w:ascii="Open Sans" w:eastAsia="Open Sans" w:hAnsi="Open Sans" w:cs="Open Sans"/>
          <w:color w:val="000000"/>
          <w:sz w:val="22"/>
          <w:szCs w:val="22"/>
        </w:rPr>
        <w:t xml:space="preserve"> se mantiene en los mismos porcentajes de alquileres como inquilinos (7%) y búsquedas de alquiler no culminadas (5%).</w:t>
      </w:r>
    </w:p>
    <w:p w14:paraId="00000041" w14:textId="77777777" w:rsidR="00FD290A" w:rsidRDefault="00FD290A">
      <w:pPr>
        <w:spacing w:line="276" w:lineRule="auto"/>
        <w:ind w:right="-574"/>
        <w:jc w:val="both"/>
        <w:rPr>
          <w:rFonts w:ascii="Open Sans" w:eastAsia="Open Sans" w:hAnsi="Open Sans" w:cs="Open Sans"/>
          <w:color w:val="000000"/>
          <w:sz w:val="22"/>
          <w:szCs w:val="22"/>
        </w:rPr>
      </w:pPr>
    </w:p>
    <w:p w14:paraId="00000042" w14:textId="77777777"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Otro aspecto interesante de estos datos de febrero es el hecho de que compartir piso se presenta en </w:t>
      </w:r>
      <w:r>
        <w:rPr>
          <w:rFonts w:ascii="Open Sans" w:eastAsia="Open Sans" w:hAnsi="Open Sans" w:cs="Open Sans"/>
          <w:b/>
          <w:color w:val="000000"/>
          <w:sz w:val="22"/>
          <w:szCs w:val="22"/>
        </w:rPr>
        <w:t xml:space="preserve">Madrid </w:t>
      </w:r>
      <w:r>
        <w:rPr>
          <w:rFonts w:ascii="Open Sans" w:eastAsia="Open Sans" w:hAnsi="Open Sans" w:cs="Open Sans"/>
          <w:color w:val="000000"/>
          <w:sz w:val="22"/>
          <w:szCs w:val="22"/>
        </w:rPr>
        <w:t>como alternativa al alza ante los altos precios de los arrendamientos. Así, en esta comunidad el 3% de los consultados en febrero han alquilado una habitación en un piso compartido. Este porcentaje representa un punto más que seis meses antes, y dos que un año atrás, cuando no llegaban ni al 1%. Además, otro 2% había tratado de alquilar habitación en un piso compartido, aunque no lo habían conseguido.</w:t>
      </w:r>
    </w:p>
    <w:p w14:paraId="00000043" w14:textId="77777777" w:rsidR="00FD290A" w:rsidRDefault="00FD290A">
      <w:pPr>
        <w:spacing w:line="276" w:lineRule="auto"/>
        <w:ind w:right="-574"/>
        <w:jc w:val="both"/>
        <w:rPr>
          <w:rFonts w:ascii="Open Sans Light" w:eastAsia="Open Sans Light" w:hAnsi="Open Sans Light" w:cs="Open Sans Light"/>
          <w:b/>
          <w:color w:val="303AB2"/>
          <w:sz w:val="26"/>
          <w:szCs w:val="26"/>
        </w:rPr>
      </w:pPr>
      <w:bookmarkStart w:id="10" w:name="_heading=h.1t3h5sf" w:colFirst="0" w:colLast="0"/>
      <w:bookmarkEnd w:id="10"/>
    </w:p>
    <w:p w14:paraId="00000044" w14:textId="77777777" w:rsidR="00FD290A" w:rsidRDefault="00FD290A">
      <w:pPr>
        <w:spacing w:line="276" w:lineRule="auto"/>
        <w:ind w:right="-574"/>
        <w:jc w:val="both"/>
        <w:rPr>
          <w:rFonts w:ascii="Open Sans Light" w:eastAsia="Open Sans Light" w:hAnsi="Open Sans Light" w:cs="Open Sans Light"/>
          <w:b/>
          <w:color w:val="303AB2"/>
          <w:sz w:val="26"/>
          <w:szCs w:val="26"/>
        </w:rPr>
      </w:pPr>
    </w:p>
    <w:p w14:paraId="00000045" w14:textId="77777777" w:rsidR="00FD290A"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Estancamiento de la compraventa, sobre todo en Cataluña y Madrid</w:t>
      </w:r>
    </w:p>
    <w:p w14:paraId="00000046" w14:textId="77777777" w:rsidR="00FD290A" w:rsidRDefault="00FD290A">
      <w:pPr>
        <w:spacing w:line="276" w:lineRule="auto"/>
        <w:ind w:right="-574"/>
        <w:jc w:val="both"/>
        <w:rPr>
          <w:rFonts w:ascii="Open Sans" w:eastAsia="Open Sans" w:hAnsi="Open Sans" w:cs="Open Sans"/>
          <w:color w:val="000000"/>
          <w:sz w:val="22"/>
          <w:szCs w:val="22"/>
        </w:rPr>
      </w:pPr>
    </w:p>
    <w:p w14:paraId="00000047" w14:textId="77777777" w:rsidR="00FD290A" w:rsidRDefault="00000000">
      <w:pPr>
        <w:spacing w:line="276" w:lineRule="auto"/>
        <w:ind w:right="-574"/>
        <w:jc w:val="both"/>
        <w:rPr>
          <w:rFonts w:ascii="Open Sans" w:eastAsia="Open Sans" w:hAnsi="Open Sans" w:cs="Open Sans"/>
          <w:color w:val="000000"/>
          <w:sz w:val="22"/>
          <w:szCs w:val="22"/>
        </w:rPr>
      </w:pPr>
      <w:bookmarkStart w:id="11" w:name="_heading=h.4d34og8" w:colFirst="0" w:colLast="0"/>
      <w:bookmarkEnd w:id="11"/>
      <w:r>
        <w:rPr>
          <w:rFonts w:ascii="Open Sans" w:eastAsia="Open Sans" w:hAnsi="Open Sans" w:cs="Open Sans"/>
          <w:color w:val="000000"/>
          <w:sz w:val="22"/>
          <w:szCs w:val="22"/>
        </w:rPr>
        <w:t xml:space="preserve">Dentro de la compraventa, el mercado inmobiliario también arroja un descenso generalizado en las comunidades autónomas analizadas. En este caso, los dos territorios donde más desciende la participación de particulares es en </w:t>
      </w:r>
      <w:r>
        <w:rPr>
          <w:rFonts w:ascii="Open Sans" w:eastAsia="Open Sans" w:hAnsi="Open Sans" w:cs="Open Sans"/>
          <w:b/>
          <w:color w:val="000000"/>
          <w:sz w:val="22"/>
          <w:szCs w:val="22"/>
        </w:rPr>
        <w:t>Madrid y Cataluña</w:t>
      </w:r>
      <w:r>
        <w:rPr>
          <w:rFonts w:ascii="Open Sans" w:eastAsia="Open Sans" w:hAnsi="Open Sans" w:cs="Open Sans"/>
          <w:color w:val="000000"/>
          <w:sz w:val="22"/>
          <w:szCs w:val="22"/>
        </w:rPr>
        <w:t xml:space="preserve">, que son los lugares en los que el alquiler se ha mantenido más sólido. </w:t>
      </w:r>
    </w:p>
    <w:p w14:paraId="00000048" w14:textId="77777777"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tanto la </w:t>
      </w:r>
      <w:r>
        <w:rPr>
          <w:rFonts w:ascii="Open Sans" w:eastAsia="Open Sans" w:hAnsi="Open Sans" w:cs="Open Sans"/>
          <w:b/>
          <w:color w:val="000000"/>
          <w:sz w:val="22"/>
          <w:szCs w:val="22"/>
        </w:rPr>
        <w:t>Comunidad de Madrid como Cataluña</w:t>
      </w:r>
      <w:r>
        <w:rPr>
          <w:rFonts w:ascii="Open Sans" w:eastAsia="Open Sans" w:hAnsi="Open Sans" w:cs="Open Sans"/>
          <w:color w:val="000000"/>
          <w:sz w:val="22"/>
          <w:szCs w:val="22"/>
        </w:rPr>
        <w:t xml:space="preserve"> pierden 3 puntos porcentuales respecto a agosto de 2022. En el primer caso, el descenso es desde el 19% al 16%, mientras que en el segundo la bajada va del 17% al 14%. Las cifras de ambas </w:t>
      </w:r>
      <w:proofErr w:type="gramStart"/>
      <w:r>
        <w:rPr>
          <w:rFonts w:ascii="Open Sans" w:eastAsia="Open Sans" w:hAnsi="Open Sans" w:cs="Open Sans"/>
          <w:color w:val="000000"/>
          <w:sz w:val="22"/>
          <w:szCs w:val="22"/>
        </w:rPr>
        <w:t>comunidades,</w:t>
      </w:r>
      <w:proofErr w:type="gramEnd"/>
      <w:r>
        <w:rPr>
          <w:rFonts w:ascii="Open Sans" w:eastAsia="Open Sans" w:hAnsi="Open Sans" w:cs="Open Sans"/>
          <w:color w:val="000000"/>
          <w:sz w:val="22"/>
          <w:szCs w:val="22"/>
        </w:rPr>
        <w:t xml:space="preserve"> están, lógicamente, muy condicionadas por las grandes y tensionadas áreas urbanas de sus respectivas capitales</w:t>
      </w:r>
    </w:p>
    <w:p w14:paraId="00000049" w14:textId="77777777" w:rsidR="00FD290A" w:rsidRDefault="00FD290A">
      <w:pPr>
        <w:spacing w:line="276" w:lineRule="auto"/>
        <w:ind w:right="-574"/>
        <w:jc w:val="both"/>
        <w:rPr>
          <w:rFonts w:ascii="Open Sans" w:eastAsia="Open Sans" w:hAnsi="Open Sans" w:cs="Open Sans"/>
          <w:color w:val="000000"/>
          <w:sz w:val="22"/>
          <w:szCs w:val="22"/>
        </w:rPr>
      </w:pPr>
    </w:p>
    <w:p w14:paraId="0000004A" w14:textId="77777777" w:rsidR="00FD290A"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el contrario, </w:t>
      </w:r>
      <w:r>
        <w:rPr>
          <w:rFonts w:ascii="Open Sans" w:eastAsia="Open Sans" w:hAnsi="Open Sans" w:cs="Open Sans"/>
          <w:b/>
          <w:color w:val="000000"/>
          <w:sz w:val="22"/>
          <w:szCs w:val="22"/>
        </w:rPr>
        <w:t>Andalucía y Comunidad Valenciana</w:t>
      </w:r>
      <w:r>
        <w:rPr>
          <w:rFonts w:ascii="Open Sans" w:eastAsia="Open Sans" w:hAnsi="Open Sans" w:cs="Open Sans"/>
          <w:color w:val="000000"/>
          <w:sz w:val="22"/>
          <w:szCs w:val="22"/>
        </w:rPr>
        <w:t xml:space="preserve"> registran un descenso más moderado en la participación de particulares en el mercado de la compraventa, en ambos casos de dos puntos porcentuales.  </w:t>
      </w:r>
    </w:p>
    <w:p w14:paraId="0000004B" w14:textId="77777777" w:rsidR="00FD290A" w:rsidRDefault="00FD290A">
      <w:pPr>
        <w:spacing w:line="276" w:lineRule="auto"/>
        <w:ind w:right="-574"/>
        <w:jc w:val="both"/>
        <w:rPr>
          <w:rFonts w:ascii="Open Sans" w:eastAsia="Open Sans" w:hAnsi="Open Sans" w:cs="Open Sans"/>
          <w:color w:val="000000"/>
          <w:sz w:val="22"/>
          <w:szCs w:val="22"/>
        </w:rPr>
      </w:pPr>
    </w:p>
    <w:p w14:paraId="0000004C" w14:textId="77777777" w:rsidR="00FD290A"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extent cx="5396230" cy="3527425"/>
            <wp:effectExtent l="0" t="0" r="0" b="0"/>
            <wp:docPr id="1996847150" name="image5.png" descr="Escala de tiem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5.png" descr="Escala de tiempo&#10;&#10;Descripción generada automáticamente con confianza baja"/>
                    <pic:cNvPicPr preferRelativeResize="0"/>
                  </pic:nvPicPr>
                  <pic:blipFill>
                    <a:blip r:embed="rId20"/>
                    <a:srcRect/>
                    <a:stretch>
                      <a:fillRect/>
                    </a:stretch>
                  </pic:blipFill>
                  <pic:spPr>
                    <a:xfrm>
                      <a:off x="0" y="0"/>
                      <a:ext cx="5396230" cy="3527425"/>
                    </a:xfrm>
                    <a:prstGeom prst="rect">
                      <a:avLst/>
                    </a:prstGeom>
                    <a:ln/>
                  </pic:spPr>
                </pic:pic>
              </a:graphicData>
            </a:graphic>
          </wp:inline>
        </w:drawing>
      </w:r>
    </w:p>
    <w:p w14:paraId="0000004D" w14:textId="77777777" w:rsidR="00FD290A" w:rsidRDefault="00FD290A">
      <w:pPr>
        <w:spacing w:line="276" w:lineRule="auto"/>
        <w:ind w:right="-574"/>
        <w:jc w:val="both"/>
        <w:rPr>
          <w:rFonts w:ascii="Open Sans" w:eastAsia="Open Sans" w:hAnsi="Open Sans" w:cs="Open Sans"/>
          <w:color w:val="000000"/>
          <w:sz w:val="22"/>
          <w:szCs w:val="22"/>
        </w:rPr>
      </w:pPr>
    </w:p>
    <w:p w14:paraId="0000004E" w14:textId="77777777" w:rsidR="00FD290A" w:rsidRDefault="00FD290A">
      <w:pPr>
        <w:spacing w:line="276" w:lineRule="auto"/>
        <w:ind w:right="-574"/>
        <w:jc w:val="both"/>
        <w:rPr>
          <w:rFonts w:ascii="Open Sans" w:eastAsia="Open Sans" w:hAnsi="Open Sans" w:cs="Open Sans"/>
          <w:color w:val="000000"/>
          <w:sz w:val="22"/>
          <w:szCs w:val="22"/>
        </w:rPr>
      </w:pPr>
    </w:p>
    <w:p w14:paraId="0000004F" w14:textId="77777777" w:rsidR="00FD290A" w:rsidRDefault="00FD290A">
      <w:pPr>
        <w:spacing w:line="276" w:lineRule="auto"/>
        <w:ind w:right="-574"/>
        <w:jc w:val="both"/>
        <w:rPr>
          <w:rFonts w:ascii="Open Sans" w:eastAsia="Open Sans" w:hAnsi="Open Sans" w:cs="Open Sans"/>
          <w:color w:val="000000"/>
          <w:sz w:val="22"/>
          <w:szCs w:val="22"/>
        </w:rPr>
      </w:pPr>
    </w:p>
    <w:p w14:paraId="00000050" w14:textId="77777777" w:rsidR="00FD290A"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2022-2023”</w:t>
      </w:r>
    </w:p>
    <w:p w14:paraId="00000051" w14:textId="77777777" w:rsidR="00FD290A" w:rsidRDefault="00FD290A">
      <w:pPr>
        <w:spacing w:line="276" w:lineRule="auto"/>
        <w:ind w:right="-716"/>
        <w:jc w:val="right"/>
        <w:rPr>
          <w:rFonts w:ascii="Open Sans Light" w:eastAsia="Open Sans Light" w:hAnsi="Open Sans Light" w:cs="Open Sans Light"/>
          <w:b/>
          <w:color w:val="303AB2"/>
        </w:rPr>
      </w:pPr>
    </w:p>
    <w:p w14:paraId="00000052" w14:textId="79C9FDA5" w:rsidR="00FD290A"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22" w:history="1">
        <w:r w:rsidRPr="00B32351">
          <w:rPr>
            <w:rStyle w:val="Hipervnculo"/>
            <w:rFonts w:ascii="Open Sans" w:eastAsia="Open Sans" w:hAnsi="Open Sans" w:cs="Open Sans"/>
            <w:b/>
            <w:i/>
            <w:sz w:val="22"/>
            <w:szCs w:val="22"/>
          </w:rPr>
          <w:t>Radiografía del mercado de la vivienda en 2023</w:t>
        </w:r>
      </w:hyperlink>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00000053" w14:textId="77777777" w:rsidR="00FD290A" w:rsidRDefault="00FD290A">
      <w:pPr>
        <w:spacing w:line="276" w:lineRule="auto"/>
        <w:ind w:right="-716"/>
        <w:jc w:val="both"/>
        <w:rPr>
          <w:rFonts w:ascii="Open Sans" w:eastAsia="Open Sans" w:hAnsi="Open Sans" w:cs="Open Sans"/>
          <w:color w:val="000000"/>
          <w:sz w:val="22"/>
          <w:szCs w:val="22"/>
        </w:rPr>
      </w:pPr>
    </w:p>
    <w:p w14:paraId="00000054" w14:textId="77777777" w:rsidR="00FD290A"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2022, 2021, 2019, 2018 y 2017. Al igual que los anteriores estudios, se ha realizado sobre un panel independiente con una muestra de 5.000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febrero de 2022. Error muestral: +-1,4%</w:t>
      </w:r>
    </w:p>
    <w:p w14:paraId="00000055" w14:textId="77777777" w:rsidR="00FD290A" w:rsidRDefault="00FD290A">
      <w:pPr>
        <w:spacing w:line="276" w:lineRule="auto"/>
        <w:ind w:right="-716"/>
        <w:jc w:val="right"/>
        <w:rPr>
          <w:rFonts w:ascii="Open Sans Light" w:eastAsia="Open Sans Light" w:hAnsi="Open Sans Light" w:cs="Open Sans Light"/>
          <w:b/>
          <w:color w:val="303AB2"/>
        </w:rPr>
      </w:pPr>
    </w:p>
    <w:p w14:paraId="00000056" w14:textId="77777777" w:rsidR="00FD290A" w:rsidRDefault="00FD290A">
      <w:pPr>
        <w:spacing w:line="276" w:lineRule="auto"/>
        <w:ind w:right="-716"/>
        <w:jc w:val="right"/>
        <w:rPr>
          <w:rFonts w:ascii="Open Sans Light" w:eastAsia="Open Sans Light" w:hAnsi="Open Sans Light" w:cs="Open Sans Light"/>
          <w:b/>
          <w:color w:val="303AB2"/>
        </w:rPr>
      </w:pPr>
    </w:p>
    <w:p w14:paraId="00000057" w14:textId="77777777" w:rsidR="00FD290A" w:rsidRDefault="00FD290A">
      <w:pPr>
        <w:spacing w:line="276" w:lineRule="auto"/>
        <w:ind w:right="-716"/>
        <w:jc w:val="right"/>
        <w:rPr>
          <w:rFonts w:ascii="Open Sans Light" w:eastAsia="Open Sans Light" w:hAnsi="Open Sans Light" w:cs="Open Sans Light"/>
          <w:b/>
          <w:color w:val="303AB2"/>
        </w:rPr>
      </w:pPr>
    </w:p>
    <w:p w14:paraId="00000058" w14:textId="77777777" w:rsidR="00FD290A" w:rsidRDefault="00FD290A">
      <w:pPr>
        <w:spacing w:line="276" w:lineRule="auto"/>
        <w:ind w:right="-716"/>
        <w:jc w:val="right"/>
        <w:rPr>
          <w:rFonts w:ascii="Open Sans Light" w:eastAsia="Open Sans Light" w:hAnsi="Open Sans Light" w:cs="Open Sans Light"/>
          <w:b/>
          <w:color w:val="303AB2"/>
        </w:rPr>
      </w:pPr>
    </w:p>
    <w:p w14:paraId="00000059" w14:textId="77777777" w:rsidR="00FD290A" w:rsidRDefault="00FD290A">
      <w:pPr>
        <w:spacing w:line="276" w:lineRule="auto"/>
        <w:ind w:right="-716"/>
        <w:jc w:val="right"/>
        <w:rPr>
          <w:rFonts w:ascii="Open Sans Light" w:eastAsia="Open Sans Light" w:hAnsi="Open Sans Light" w:cs="Open Sans Light"/>
          <w:b/>
          <w:color w:val="303AB2"/>
        </w:rPr>
      </w:pPr>
    </w:p>
    <w:p w14:paraId="0000005A" w14:textId="77777777" w:rsidR="00FD290A" w:rsidRDefault="00FD290A">
      <w:pPr>
        <w:spacing w:line="276" w:lineRule="auto"/>
        <w:ind w:right="-716"/>
        <w:jc w:val="right"/>
        <w:rPr>
          <w:rFonts w:ascii="Open Sans Light" w:eastAsia="Open Sans Light" w:hAnsi="Open Sans Light" w:cs="Open Sans Light"/>
          <w:b/>
          <w:color w:val="303AB2"/>
        </w:rPr>
      </w:pPr>
    </w:p>
    <w:p w14:paraId="0000005B" w14:textId="77777777" w:rsidR="00FD290A"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000005C" w14:textId="77777777" w:rsidR="00FD290A"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2" w:name="_heading=h.2s8eyo1" w:colFirst="0" w:colLast="0"/>
    <w:bookmarkEnd w:id="12"/>
    <w:p w14:paraId="0000005D" w14:textId="77777777" w:rsidR="00FD290A"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000005E" w14:textId="77777777" w:rsidR="00FD290A" w:rsidRDefault="00FD290A">
      <w:pPr>
        <w:spacing w:line="276" w:lineRule="auto"/>
        <w:ind w:right="-716"/>
        <w:jc w:val="right"/>
        <w:rPr>
          <w:rFonts w:ascii="Open Sans Light" w:eastAsia="Open Sans Light" w:hAnsi="Open Sans Light" w:cs="Open Sans Light"/>
          <w:b/>
          <w:color w:val="303AB2"/>
        </w:rPr>
      </w:pPr>
    </w:p>
    <w:p w14:paraId="0000005F" w14:textId="77777777" w:rsidR="00FD290A"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0000060" w14:textId="77777777" w:rsidR="00FD290A"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0000061" w14:textId="77777777" w:rsidR="00FD290A"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000062" w14:textId="77777777" w:rsidR="00FD290A"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0000063" w14:textId="77777777" w:rsidR="00FD290A"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1">
        <w:r>
          <w:rPr>
            <w:rFonts w:ascii="Open Sans" w:eastAsia="Open Sans" w:hAnsi="Open Sans" w:cs="Open Sans"/>
            <w:color w:val="1155CC"/>
            <w:sz w:val="22"/>
            <w:szCs w:val="22"/>
            <w:u w:val="single"/>
          </w:rPr>
          <w:t>adevinta.es</w:t>
        </w:r>
      </w:hyperlink>
    </w:p>
    <w:p w14:paraId="00000064" w14:textId="77777777" w:rsidR="00FD290A" w:rsidRDefault="00FD290A">
      <w:pPr>
        <w:spacing w:after="160"/>
        <w:ind w:right="-716"/>
        <w:jc w:val="both"/>
        <w:rPr>
          <w:rFonts w:ascii="Open Sans" w:eastAsia="Open Sans" w:hAnsi="Open Sans" w:cs="Open Sans"/>
        </w:rPr>
      </w:pPr>
    </w:p>
    <w:p w14:paraId="00000065" w14:textId="77777777" w:rsidR="00FD290A"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000066" w14:textId="77777777" w:rsidR="00FD290A"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0000067" w14:textId="77777777" w:rsidR="00FD290A" w:rsidRDefault="00000000">
      <w:pPr>
        <w:shd w:val="clear" w:color="auto" w:fill="FFFFFF"/>
        <w:spacing w:line="276" w:lineRule="auto"/>
        <w:ind w:right="-716"/>
        <w:rPr>
          <w:rFonts w:ascii="Open Sans" w:eastAsia="Open Sans" w:hAnsi="Open Sans" w:cs="Open Sans"/>
          <w:color w:val="0000FF"/>
          <w:sz w:val="22"/>
          <w:szCs w:val="22"/>
          <w:u w:val="single"/>
        </w:rPr>
      </w:pPr>
      <w:hyperlink r:id="rId32">
        <w:r>
          <w:rPr>
            <w:rFonts w:ascii="Open Sans" w:eastAsia="Open Sans" w:hAnsi="Open Sans" w:cs="Open Sans"/>
            <w:color w:val="0000FF"/>
            <w:sz w:val="22"/>
            <w:szCs w:val="22"/>
            <w:u w:val="single"/>
          </w:rPr>
          <w:t>comunicacion@fotocasa.es</w:t>
        </w:r>
      </w:hyperlink>
    </w:p>
    <w:p w14:paraId="00000068" w14:textId="77777777" w:rsidR="00FD290A"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0000069" w14:textId="77777777" w:rsidR="00FD290A" w:rsidRDefault="00FD290A">
      <w:pPr>
        <w:spacing w:line="276" w:lineRule="auto"/>
        <w:ind w:right="-716"/>
        <w:rPr>
          <w:rFonts w:ascii="Open Sans Light" w:eastAsia="Open Sans Light" w:hAnsi="Open Sans Light" w:cs="Open Sans Light"/>
          <w:b/>
          <w:color w:val="303AB2"/>
          <w:sz w:val="22"/>
          <w:szCs w:val="22"/>
        </w:rPr>
      </w:pPr>
    </w:p>
    <w:p w14:paraId="0000006A" w14:textId="77777777" w:rsidR="00FD290A" w:rsidRDefault="00FD290A">
      <w:pPr>
        <w:spacing w:line="276" w:lineRule="auto"/>
        <w:ind w:right="-716"/>
        <w:rPr>
          <w:rFonts w:ascii="Open Sans Light" w:eastAsia="Open Sans Light" w:hAnsi="Open Sans Light" w:cs="Open Sans Light"/>
          <w:b/>
          <w:color w:val="303AB2"/>
          <w:sz w:val="22"/>
          <w:szCs w:val="22"/>
        </w:rPr>
      </w:pPr>
    </w:p>
    <w:p w14:paraId="0000006B" w14:textId="77777777" w:rsidR="00FD290A" w:rsidRDefault="00FD290A">
      <w:pPr>
        <w:spacing w:line="276" w:lineRule="auto"/>
        <w:ind w:right="-716"/>
        <w:rPr>
          <w:rFonts w:ascii="Open Sans Light" w:eastAsia="Open Sans Light" w:hAnsi="Open Sans Light" w:cs="Open Sans Light"/>
          <w:b/>
          <w:color w:val="303AB2"/>
          <w:sz w:val="22"/>
          <w:szCs w:val="22"/>
        </w:rPr>
      </w:pPr>
    </w:p>
    <w:p w14:paraId="0000006C" w14:textId="77777777" w:rsidR="00FD290A"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000006D" w14:textId="77777777" w:rsidR="00FD290A"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000006E" w14:textId="77777777" w:rsidR="00FD290A" w:rsidRPr="007C1B8B"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3">
        <w:r w:rsidRPr="007C1B8B">
          <w:rPr>
            <w:rFonts w:ascii="Open Sans" w:eastAsia="Open Sans" w:hAnsi="Open Sans" w:cs="Open Sans"/>
            <w:color w:val="0000FF"/>
            <w:sz w:val="22"/>
            <w:szCs w:val="22"/>
            <w:u w:val="single"/>
            <w:lang w:val="en-US"/>
          </w:rPr>
          <w:t>rtorne@llorenteycuenca.com</w:t>
        </w:r>
      </w:hyperlink>
      <w:r w:rsidRPr="007C1B8B">
        <w:rPr>
          <w:rFonts w:ascii="Open Sans" w:eastAsia="Open Sans" w:hAnsi="Open Sans" w:cs="Open Sans"/>
          <w:color w:val="0000FF"/>
          <w:sz w:val="22"/>
          <w:szCs w:val="22"/>
          <w:lang w:val="en-US"/>
        </w:rPr>
        <w:tab/>
      </w:r>
      <w:r w:rsidRPr="007C1B8B">
        <w:rPr>
          <w:rFonts w:ascii="Open Sans" w:eastAsia="Open Sans" w:hAnsi="Open Sans" w:cs="Open Sans"/>
          <w:color w:val="0000FF"/>
          <w:sz w:val="22"/>
          <w:szCs w:val="22"/>
          <w:lang w:val="en-US"/>
        </w:rPr>
        <w:tab/>
      </w:r>
      <w:r w:rsidRPr="007C1B8B">
        <w:rPr>
          <w:rFonts w:ascii="Open Sans" w:eastAsia="Open Sans" w:hAnsi="Open Sans" w:cs="Open Sans"/>
          <w:color w:val="0000FF"/>
          <w:sz w:val="22"/>
          <w:szCs w:val="22"/>
          <w:lang w:val="en-US"/>
        </w:rPr>
        <w:tab/>
      </w:r>
    </w:p>
    <w:p w14:paraId="0000006F" w14:textId="77777777" w:rsidR="00FD290A" w:rsidRPr="007C1B8B" w:rsidRDefault="00000000">
      <w:pPr>
        <w:shd w:val="clear" w:color="auto" w:fill="FFFFFF"/>
        <w:spacing w:line="276" w:lineRule="auto"/>
        <w:ind w:right="-716"/>
        <w:rPr>
          <w:rFonts w:ascii="Open Sans" w:eastAsia="Open Sans" w:hAnsi="Open Sans" w:cs="Open Sans"/>
          <w:color w:val="000000"/>
          <w:sz w:val="22"/>
          <w:szCs w:val="22"/>
          <w:lang w:val="en-US"/>
        </w:rPr>
      </w:pPr>
      <w:r w:rsidRPr="007C1B8B">
        <w:rPr>
          <w:rFonts w:ascii="Open Sans" w:eastAsia="Open Sans" w:hAnsi="Open Sans" w:cs="Open Sans"/>
          <w:color w:val="000000"/>
          <w:sz w:val="22"/>
          <w:szCs w:val="22"/>
          <w:lang w:val="en-US"/>
        </w:rPr>
        <w:t xml:space="preserve">638 68 19 85      </w:t>
      </w:r>
      <w:r w:rsidRPr="007C1B8B">
        <w:rPr>
          <w:rFonts w:ascii="Open Sans" w:eastAsia="Open Sans" w:hAnsi="Open Sans" w:cs="Open Sans"/>
          <w:color w:val="000000"/>
          <w:sz w:val="22"/>
          <w:szCs w:val="22"/>
          <w:lang w:val="en-US"/>
        </w:rPr>
        <w:tab/>
      </w:r>
      <w:r w:rsidRPr="007C1B8B">
        <w:rPr>
          <w:rFonts w:ascii="Open Sans" w:eastAsia="Open Sans" w:hAnsi="Open Sans" w:cs="Open Sans"/>
          <w:color w:val="000000"/>
          <w:sz w:val="22"/>
          <w:szCs w:val="22"/>
          <w:lang w:val="en-US"/>
        </w:rPr>
        <w:tab/>
      </w:r>
      <w:r w:rsidRPr="007C1B8B">
        <w:rPr>
          <w:rFonts w:ascii="Open Sans" w:eastAsia="Open Sans" w:hAnsi="Open Sans" w:cs="Open Sans"/>
          <w:color w:val="000000"/>
          <w:sz w:val="22"/>
          <w:szCs w:val="22"/>
          <w:lang w:val="en-US"/>
        </w:rPr>
        <w:tab/>
      </w:r>
      <w:r w:rsidRPr="007C1B8B">
        <w:rPr>
          <w:rFonts w:ascii="Open Sans" w:eastAsia="Open Sans" w:hAnsi="Open Sans" w:cs="Open Sans"/>
          <w:color w:val="000000"/>
          <w:sz w:val="22"/>
          <w:szCs w:val="22"/>
          <w:lang w:val="en-US"/>
        </w:rPr>
        <w:tab/>
      </w:r>
      <w:r w:rsidRPr="007C1B8B">
        <w:rPr>
          <w:rFonts w:ascii="Open Sans" w:eastAsia="Open Sans" w:hAnsi="Open Sans" w:cs="Open Sans"/>
          <w:color w:val="000000"/>
          <w:sz w:val="22"/>
          <w:szCs w:val="22"/>
          <w:lang w:val="en-US"/>
        </w:rPr>
        <w:tab/>
      </w:r>
      <w:r w:rsidRPr="007C1B8B">
        <w:rPr>
          <w:rFonts w:ascii="Open Sans" w:eastAsia="Open Sans" w:hAnsi="Open Sans" w:cs="Open Sans"/>
          <w:color w:val="000000"/>
          <w:sz w:val="22"/>
          <w:szCs w:val="22"/>
          <w:lang w:val="en-US"/>
        </w:rPr>
        <w:tab/>
      </w:r>
      <w:r w:rsidRPr="007C1B8B">
        <w:rPr>
          <w:rFonts w:ascii="Open Sans" w:eastAsia="Open Sans" w:hAnsi="Open Sans" w:cs="Open Sans"/>
          <w:color w:val="000000"/>
          <w:sz w:val="22"/>
          <w:szCs w:val="22"/>
          <w:lang w:val="en-US"/>
        </w:rPr>
        <w:tab/>
      </w:r>
      <w:r w:rsidRPr="007C1B8B">
        <w:rPr>
          <w:rFonts w:ascii="Open Sans" w:eastAsia="Open Sans" w:hAnsi="Open Sans" w:cs="Open Sans"/>
          <w:color w:val="000000"/>
          <w:sz w:val="22"/>
          <w:szCs w:val="22"/>
          <w:lang w:val="en-US"/>
        </w:rPr>
        <w:tab/>
      </w:r>
    </w:p>
    <w:p w14:paraId="00000070" w14:textId="77777777" w:rsidR="00FD290A" w:rsidRPr="007C1B8B" w:rsidRDefault="00000000">
      <w:pPr>
        <w:shd w:val="clear" w:color="auto" w:fill="FFFFFF"/>
        <w:ind w:right="-716"/>
        <w:rPr>
          <w:rFonts w:ascii="Arial" w:eastAsia="Arial" w:hAnsi="Arial" w:cs="Arial"/>
          <w:color w:val="222222"/>
          <w:sz w:val="22"/>
          <w:szCs w:val="22"/>
          <w:lang w:val="en-US"/>
        </w:rPr>
      </w:pPr>
      <w:r w:rsidRPr="007C1B8B">
        <w:rPr>
          <w:rFonts w:ascii="Arial" w:eastAsia="Arial" w:hAnsi="Arial" w:cs="Arial"/>
          <w:color w:val="222222"/>
          <w:sz w:val="22"/>
          <w:szCs w:val="22"/>
          <w:lang w:val="en-US"/>
        </w:rPr>
        <w:tab/>
      </w:r>
    </w:p>
    <w:p w14:paraId="00000071" w14:textId="77777777" w:rsidR="00FD290A" w:rsidRPr="007C1B8B" w:rsidRDefault="00000000">
      <w:pPr>
        <w:shd w:val="clear" w:color="auto" w:fill="FFFFFF"/>
        <w:ind w:right="-716"/>
        <w:rPr>
          <w:rFonts w:ascii="Arial" w:eastAsia="Arial" w:hAnsi="Arial" w:cs="Arial"/>
          <w:color w:val="222222"/>
          <w:sz w:val="22"/>
          <w:szCs w:val="22"/>
          <w:lang w:val="en-US"/>
        </w:rPr>
      </w:pPr>
      <w:r w:rsidRPr="007C1B8B">
        <w:rPr>
          <w:rFonts w:ascii="Arial" w:eastAsia="Arial" w:hAnsi="Arial" w:cs="Arial"/>
          <w:color w:val="222222"/>
          <w:sz w:val="22"/>
          <w:szCs w:val="22"/>
          <w:lang w:val="en-US"/>
        </w:rPr>
        <w:tab/>
      </w:r>
      <w:r w:rsidRPr="007C1B8B">
        <w:rPr>
          <w:rFonts w:ascii="Arial" w:eastAsia="Arial" w:hAnsi="Arial" w:cs="Arial"/>
          <w:color w:val="222222"/>
          <w:sz w:val="22"/>
          <w:szCs w:val="22"/>
          <w:lang w:val="en-US"/>
        </w:rPr>
        <w:tab/>
      </w:r>
      <w:r w:rsidRPr="007C1B8B">
        <w:rPr>
          <w:rFonts w:ascii="Arial" w:eastAsia="Arial" w:hAnsi="Arial" w:cs="Arial"/>
          <w:color w:val="222222"/>
          <w:sz w:val="22"/>
          <w:szCs w:val="22"/>
          <w:lang w:val="en-US"/>
        </w:rPr>
        <w:tab/>
      </w:r>
      <w:r w:rsidRPr="007C1B8B">
        <w:rPr>
          <w:rFonts w:ascii="Arial" w:eastAsia="Arial" w:hAnsi="Arial" w:cs="Arial"/>
          <w:color w:val="222222"/>
          <w:sz w:val="22"/>
          <w:szCs w:val="22"/>
          <w:lang w:val="en-US"/>
        </w:rPr>
        <w:tab/>
      </w:r>
      <w:r w:rsidRPr="007C1B8B">
        <w:rPr>
          <w:rFonts w:ascii="Arial" w:eastAsia="Arial" w:hAnsi="Arial" w:cs="Arial"/>
          <w:color w:val="222222"/>
          <w:sz w:val="22"/>
          <w:szCs w:val="22"/>
          <w:lang w:val="en-US"/>
        </w:rPr>
        <w:tab/>
      </w:r>
      <w:r w:rsidRPr="007C1B8B">
        <w:rPr>
          <w:rFonts w:ascii="Arial" w:eastAsia="Arial" w:hAnsi="Arial" w:cs="Arial"/>
          <w:color w:val="222222"/>
          <w:sz w:val="22"/>
          <w:szCs w:val="22"/>
          <w:lang w:val="en-US"/>
        </w:rPr>
        <w:tab/>
        <w:t xml:space="preserve">     </w:t>
      </w:r>
    </w:p>
    <w:p w14:paraId="00000072" w14:textId="77777777" w:rsidR="00FD290A" w:rsidRPr="007C1B8B" w:rsidRDefault="00000000">
      <w:pPr>
        <w:shd w:val="clear" w:color="auto" w:fill="FFFFFF"/>
        <w:ind w:right="-716"/>
        <w:rPr>
          <w:rFonts w:ascii="Open Sans" w:eastAsia="Open Sans" w:hAnsi="Open Sans" w:cs="Open Sans"/>
          <w:b/>
          <w:color w:val="000000"/>
          <w:sz w:val="22"/>
          <w:szCs w:val="22"/>
          <w:lang w:val="en-US"/>
        </w:rPr>
      </w:pPr>
      <w:r w:rsidRPr="007C1B8B">
        <w:rPr>
          <w:rFonts w:ascii="Open Sans" w:eastAsia="Open Sans" w:hAnsi="Open Sans" w:cs="Open Sans"/>
          <w:b/>
          <w:color w:val="000000"/>
          <w:sz w:val="22"/>
          <w:szCs w:val="22"/>
          <w:lang w:val="en-US"/>
        </w:rPr>
        <w:t>Fanny Merino</w:t>
      </w:r>
    </w:p>
    <w:p w14:paraId="00000073" w14:textId="77777777" w:rsidR="00FD290A" w:rsidRPr="007C1B8B" w:rsidRDefault="00000000">
      <w:pPr>
        <w:shd w:val="clear" w:color="auto" w:fill="FFFFFF"/>
        <w:ind w:right="-716"/>
        <w:rPr>
          <w:rFonts w:ascii="Open Sans" w:eastAsia="Open Sans" w:hAnsi="Open Sans" w:cs="Open Sans"/>
          <w:b/>
          <w:color w:val="000000"/>
          <w:sz w:val="22"/>
          <w:szCs w:val="22"/>
          <w:lang w:val="en-US"/>
        </w:rPr>
      </w:pPr>
      <w:hyperlink r:id="rId34">
        <w:r w:rsidRPr="007C1B8B">
          <w:rPr>
            <w:rFonts w:ascii="Open Sans" w:eastAsia="Open Sans" w:hAnsi="Open Sans" w:cs="Open Sans"/>
            <w:color w:val="0000FF"/>
            <w:sz w:val="22"/>
            <w:szCs w:val="22"/>
            <w:u w:val="single"/>
            <w:lang w:val="en-US"/>
          </w:rPr>
          <w:t>emerino@llorenteycuenca.com</w:t>
        </w:r>
      </w:hyperlink>
      <w:r w:rsidRPr="007C1B8B">
        <w:rPr>
          <w:rFonts w:ascii="Open Sans" w:eastAsia="Open Sans" w:hAnsi="Open Sans" w:cs="Open Sans"/>
          <w:color w:val="0000FF"/>
          <w:sz w:val="22"/>
          <w:szCs w:val="22"/>
          <w:lang w:val="en-US"/>
        </w:rPr>
        <w:tab/>
      </w:r>
      <w:r w:rsidRPr="007C1B8B">
        <w:rPr>
          <w:rFonts w:ascii="Open Sans" w:eastAsia="Open Sans" w:hAnsi="Open Sans" w:cs="Open Sans"/>
          <w:color w:val="0000FF"/>
          <w:sz w:val="22"/>
          <w:szCs w:val="22"/>
          <w:lang w:val="en-US"/>
        </w:rPr>
        <w:tab/>
      </w:r>
    </w:p>
    <w:p w14:paraId="00000074" w14:textId="77777777" w:rsidR="00FD290A" w:rsidRPr="007C1B8B" w:rsidRDefault="00000000">
      <w:pPr>
        <w:shd w:val="clear" w:color="auto" w:fill="FFFFFF"/>
        <w:ind w:right="-716"/>
        <w:rPr>
          <w:rFonts w:ascii="Open Sans" w:eastAsia="Open Sans" w:hAnsi="Open Sans" w:cs="Open Sans"/>
          <w:color w:val="000000"/>
          <w:sz w:val="22"/>
          <w:szCs w:val="22"/>
          <w:lang w:val="en-US"/>
        </w:rPr>
      </w:pPr>
      <w:r w:rsidRPr="007C1B8B">
        <w:rPr>
          <w:rFonts w:ascii="Open Sans" w:eastAsia="Open Sans" w:hAnsi="Open Sans" w:cs="Open Sans"/>
          <w:color w:val="000000"/>
          <w:sz w:val="22"/>
          <w:szCs w:val="22"/>
          <w:lang w:val="en-US"/>
        </w:rPr>
        <w:t>663 35 69 75 </w:t>
      </w:r>
    </w:p>
    <w:p w14:paraId="00000075" w14:textId="77777777" w:rsidR="00FD290A" w:rsidRPr="007C1B8B" w:rsidRDefault="00FD290A">
      <w:pPr>
        <w:shd w:val="clear" w:color="auto" w:fill="FFFFFF"/>
        <w:ind w:right="-716"/>
        <w:rPr>
          <w:rFonts w:ascii="Open Sans" w:eastAsia="Open Sans" w:hAnsi="Open Sans" w:cs="Open Sans"/>
          <w:color w:val="000000"/>
          <w:sz w:val="22"/>
          <w:szCs w:val="22"/>
          <w:lang w:val="en-US"/>
        </w:rPr>
      </w:pPr>
    </w:p>
    <w:p w14:paraId="00000076" w14:textId="77777777" w:rsidR="00FD290A" w:rsidRPr="007C1B8B" w:rsidRDefault="00000000">
      <w:pPr>
        <w:shd w:val="clear" w:color="auto" w:fill="FFFFFF"/>
        <w:ind w:right="-716"/>
        <w:rPr>
          <w:rFonts w:ascii="Open Sans" w:eastAsia="Open Sans" w:hAnsi="Open Sans" w:cs="Open Sans"/>
          <w:b/>
          <w:color w:val="000000"/>
          <w:sz w:val="22"/>
          <w:szCs w:val="22"/>
          <w:lang w:val="en-US"/>
        </w:rPr>
      </w:pPr>
      <w:r w:rsidRPr="007C1B8B">
        <w:rPr>
          <w:rFonts w:ascii="Open Sans" w:eastAsia="Open Sans" w:hAnsi="Open Sans" w:cs="Open Sans"/>
          <w:b/>
          <w:color w:val="000000"/>
          <w:sz w:val="22"/>
          <w:szCs w:val="22"/>
          <w:lang w:val="en-US"/>
        </w:rPr>
        <w:t>Paula Iglesias</w:t>
      </w:r>
    </w:p>
    <w:p w14:paraId="00000077" w14:textId="77777777" w:rsidR="00FD290A" w:rsidRPr="007C1B8B" w:rsidRDefault="00000000">
      <w:pPr>
        <w:shd w:val="clear" w:color="auto" w:fill="FFFFFF"/>
        <w:ind w:right="-716"/>
        <w:rPr>
          <w:rFonts w:ascii="Open Sans" w:eastAsia="Open Sans" w:hAnsi="Open Sans" w:cs="Open Sans"/>
          <w:b/>
          <w:color w:val="000000"/>
          <w:sz w:val="22"/>
          <w:szCs w:val="22"/>
          <w:lang w:val="en-US"/>
        </w:rPr>
      </w:pPr>
      <w:hyperlink r:id="rId35">
        <w:r w:rsidRPr="007C1B8B">
          <w:rPr>
            <w:rFonts w:ascii="Open Sans" w:eastAsia="Open Sans" w:hAnsi="Open Sans" w:cs="Open Sans"/>
            <w:color w:val="0000FF"/>
            <w:sz w:val="22"/>
            <w:szCs w:val="22"/>
            <w:u w:val="single"/>
            <w:lang w:val="en-US"/>
          </w:rPr>
          <w:t>piglesias@llorenteycuenca.com</w:t>
        </w:r>
      </w:hyperlink>
      <w:r w:rsidRPr="007C1B8B">
        <w:rPr>
          <w:rFonts w:ascii="Open Sans" w:eastAsia="Open Sans" w:hAnsi="Open Sans" w:cs="Open Sans"/>
          <w:color w:val="0000FF"/>
          <w:sz w:val="22"/>
          <w:szCs w:val="22"/>
          <w:lang w:val="en-US"/>
        </w:rPr>
        <w:tab/>
      </w:r>
      <w:r w:rsidRPr="007C1B8B">
        <w:rPr>
          <w:rFonts w:ascii="Open Sans" w:eastAsia="Open Sans" w:hAnsi="Open Sans" w:cs="Open Sans"/>
          <w:color w:val="0000FF"/>
          <w:sz w:val="22"/>
          <w:szCs w:val="22"/>
          <w:lang w:val="en-US"/>
        </w:rPr>
        <w:tab/>
      </w:r>
    </w:p>
    <w:p w14:paraId="00000078" w14:textId="77777777" w:rsidR="00FD290A"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00000079" w14:textId="77777777" w:rsidR="00FD290A" w:rsidRDefault="00FD290A">
      <w:pPr>
        <w:spacing w:line="276" w:lineRule="auto"/>
        <w:ind w:right="-574"/>
        <w:jc w:val="right"/>
        <w:rPr>
          <w:rFonts w:ascii="Open Sans" w:eastAsia="Open Sans" w:hAnsi="Open Sans" w:cs="Open Sans"/>
          <w:color w:val="000000"/>
          <w:sz w:val="21"/>
          <w:szCs w:val="21"/>
        </w:rPr>
      </w:pPr>
    </w:p>
    <w:sectPr w:rsidR="00FD290A">
      <w:headerReference w:type="default" r:id="rId36"/>
      <w:footerReference w:type="default" r:id="rId3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587E" w14:textId="77777777" w:rsidR="005E7000" w:rsidRDefault="005E7000">
      <w:r>
        <w:separator/>
      </w:r>
    </w:p>
  </w:endnote>
  <w:endnote w:type="continuationSeparator" w:id="0">
    <w:p w14:paraId="2C156E40" w14:textId="77777777" w:rsidR="005E7000" w:rsidRDefault="005E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FD290A"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-1068065</wp:posOffset>
          </wp:positionH>
          <wp:positionV relativeFrom="paragraph">
            <wp:posOffset>174608</wp:posOffset>
          </wp:positionV>
          <wp:extent cx="7670550" cy="451315"/>
          <wp:effectExtent l="0" t="0" r="0" b="0"/>
          <wp:wrapNone/>
          <wp:docPr id="1996847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FAE5" w14:textId="77777777" w:rsidR="005E7000" w:rsidRDefault="005E7000">
      <w:r>
        <w:separator/>
      </w:r>
    </w:p>
  </w:footnote>
  <w:footnote w:type="continuationSeparator" w:id="0">
    <w:p w14:paraId="711E43C0" w14:textId="77777777" w:rsidR="005E7000" w:rsidRDefault="005E7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FD290A"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-1121129</wp:posOffset>
          </wp:positionH>
          <wp:positionV relativeFrom="paragraph">
            <wp:posOffset>225177</wp:posOffset>
          </wp:positionV>
          <wp:extent cx="7581265" cy="1019175"/>
          <wp:effectExtent l="0" t="0" r="0" b="0"/>
          <wp:wrapNone/>
          <wp:docPr id="19968471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000007B" w14:textId="77777777" w:rsidR="00FD290A" w:rsidRDefault="00FD290A">
    <w:pPr>
      <w:pBdr>
        <w:top w:val="nil"/>
        <w:left w:val="nil"/>
        <w:bottom w:val="nil"/>
        <w:right w:val="nil"/>
        <w:between w:val="nil"/>
      </w:pBdr>
      <w:tabs>
        <w:tab w:val="center" w:pos="4252"/>
        <w:tab w:val="right" w:pos="8504"/>
      </w:tabs>
      <w:rPr>
        <w:color w:val="000000"/>
      </w:rPr>
    </w:pPr>
  </w:p>
  <w:p w14:paraId="0000007C" w14:textId="77777777" w:rsidR="00FD290A" w:rsidRDefault="00FD290A">
    <w:pPr>
      <w:pBdr>
        <w:top w:val="nil"/>
        <w:left w:val="nil"/>
        <w:bottom w:val="nil"/>
        <w:right w:val="nil"/>
        <w:between w:val="nil"/>
      </w:pBdr>
      <w:tabs>
        <w:tab w:val="center" w:pos="4252"/>
        <w:tab w:val="right" w:pos="8504"/>
      </w:tabs>
      <w:rPr>
        <w:color w:val="000000"/>
      </w:rPr>
    </w:pPr>
  </w:p>
  <w:p w14:paraId="0000007D" w14:textId="77777777" w:rsidR="00FD290A" w:rsidRDefault="00FD290A">
    <w:pPr>
      <w:pBdr>
        <w:top w:val="nil"/>
        <w:left w:val="nil"/>
        <w:bottom w:val="nil"/>
        <w:right w:val="nil"/>
        <w:between w:val="nil"/>
      </w:pBdr>
      <w:tabs>
        <w:tab w:val="center" w:pos="4252"/>
        <w:tab w:val="right" w:pos="8504"/>
      </w:tabs>
      <w:rPr>
        <w:color w:val="000000"/>
      </w:rPr>
    </w:pPr>
  </w:p>
  <w:p w14:paraId="0000007E" w14:textId="77777777" w:rsidR="00FD290A" w:rsidRDefault="00FD290A">
    <w:pPr>
      <w:pBdr>
        <w:top w:val="nil"/>
        <w:left w:val="nil"/>
        <w:bottom w:val="nil"/>
        <w:right w:val="nil"/>
        <w:between w:val="nil"/>
      </w:pBdr>
      <w:tabs>
        <w:tab w:val="center" w:pos="4252"/>
        <w:tab w:val="right" w:pos="8504"/>
      </w:tabs>
      <w:rPr>
        <w:color w:val="000000"/>
      </w:rPr>
    </w:pPr>
  </w:p>
  <w:p w14:paraId="0000007F" w14:textId="77777777" w:rsidR="00FD290A" w:rsidRDefault="00FD290A">
    <w:pPr>
      <w:pBdr>
        <w:top w:val="nil"/>
        <w:left w:val="nil"/>
        <w:bottom w:val="nil"/>
        <w:right w:val="nil"/>
        <w:between w:val="nil"/>
      </w:pBdr>
      <w:tabs>
        <w:tab w:val="center" w:pos="4252"/>
        <w:tab w:val="right" w:pos="8504"/>
      </w:tabs>
      <w:rPr>
        <w:color w:val="000000"/>
      </w:rPr>
    </w:pPr>
  </w:p>
  <w:p w14:paraId="00000080" w14:textId="77777777" w:rsidR="00FD290A" w:rsidRDefault="00FD290A">
    <w:pPr>
      <w:pBdr>
        <w:top w:val="nil"/>
        <w:left w:val="nil"/>
        <w:bottom w:val="nil"/>
        <w:right w:val="nil"/>
        <w:between w:val="nil"/>
      </w:pBdr>
      <w:tabs>
        <w:tab w:val="center" w:pos="4252"/>
        <w:tab w:val="right" w:pos="8504"/>
      </w:tabs>
      <w:rPr>
        <w:color w:val="000000"/>
      </w:rPr>
    </w:pPr>
  </w:p>
  <w:p w14:paraId="00000081" w14:textId="77777777" w:rsidR="00FD290A" w:rsidRDefault="00FD290A">
    <w:pPr>
      <w:pBdr>
        <w:top w:val="nil"/>
        <w:left w:val="nil"/>
        <w:bottom w:val="nil"/>
        <w:right w:val="nil"/>
        <w:between w:val="nil"/>
      </w:pBdr>
      <w:tabs>
        <w:tab w:val="center" w:pos="4252"/>
        <w:tab w:val="right" w:pos="8504"/>
      </w:tabs>
      <w:rPr>
        <w:color w:val="000000"/>
      </w:rPr>
    </w:pPr>
  </w:p>
  <w:p w14:paraId="00000082" w14:textId="77777777" w:rsidR="00FD290A" w:rsidRDefault="00FD290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23459"/>
    <w:multiLevelType w:val="multilevel"/>
    <w:tmpl w:val="F5681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08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0A"/>
    <w:rsid w:val="005E7000"/>
    <w:rsid w:val="007C1B8B"/>
    <w:rsid w:val="00B32351"/>
    <w:rsid w:val="00FD2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A31F"/>
  <w15:docId w15:val="{49A8FC90-F274-4DF9-B5DB-162DE27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Htzgii449gM" TargetMode="External"/><Relationship Id="rId18" Type="http://schemas.openxmlformats.org/officeDocument/2006/relationships/image" Target="media/image5.png"/><Relationship Id="rId26" Type="http://schemas.openxmlformats.org/officeDocument/2006/relationships/hyperlink" Target="https://www.fotocasa.es/es/" TargetMode="External"/><Relationship Id="rId39" Type="http://schemas.openxmlformats.org/officeDocument/2006/relationships/theme" Target="theme/theme1.xml"/><Relationship Id="rId21" Type="http://schemas.openxmlformats.org/officeDocument/2006/relationships/hyperlink" Target="https://www.fotocasa.es" TargetMode="External"/><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fotocasa.es/es/quienes-somos/" TargetMode="External"/><Relationship Id="rId33" Type="http://schemas.openxmlformats.org/officeDocument/2006/relationships/hyperlink" Target="mailto:rtorne@llorenteycuenca.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 TargetMode="External"/><Relationship Id="rId20" Type="http://schemas.openxmlformats.org/officeDocument/2006/relationships/image" Target="media/image7.png"/><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32" Type="http://schemas.openxmlformats.org/officeDocument/2006/relationships/hyperlink" Target="mailto:comunicacion@fotocasa.e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fotocasa.es/indice/" TargetMode="External"/><Relationship Id="rId28" Type="http://schemas.openxmlformats.org/officeDocument/2006/relationships/hyperlink" Target="https://www.infojobs.net/" TargetMode="External"/><Relationship Id="rId36" Type="http://schemas.openxmlformats.org/officeDocument/2006/relationships/header" Target="header1.xml"/><Relationship Id="rId10" Type="http://schemas.openxmlformats.org/officeDocument/2006/relationships/hyperlink" Target="https://s36360.pcdn.co/wp-content/uploads/2023/05/radiografia-mercado-vivienda-SP-2022-2023.pdf" TargetMode="External"/><Relationship Id="rId19" Type="http://schemas.openxmlformats.org/officeDocument/2006/relationships/image" Target="media/image6.png"/><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2.jpg"/><Relationship Id="rId22" Type="http://schemas.openxmlformats.org/officeDocument/2006/relationships/hyperlink" Target="https://s36360.pcdn.co/wp-content/uploads/2023/05/radiografia-mercado-vivienda-SP-2022-2023.pdf" TargetMode="External"/><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piglesias@llorenteycuenca.com" TargetMode="External"/><Relationship Id="rId8" Type="http://schemas.openxmlformats.org/officeDocument/2006/relationships/hyperlink" Target="https://youtu.be/Htzgii449g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ggVdV/DLp/f14D6NwOGfwO0xag==">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2028</Words>
  <Characters>11156</Characters>
  <Application>Microsoft Office Word</Application>
  <DocSecurity>0</DocSecurity>
  <Lines>92</Lines>
  <Paragraphs>26</Paragraphs>
  <ScaleCrop>false</ScaleCrop>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2023-05-20T20:47:00Z</dcterms:modified>
</cp:coreProperties>
</file>