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13193" w14:textId="77777777" w:rsidR="00E474DA" w:rsidRDefault="00000000">
      <w:pPr>
        <w:ind w:right="-574"/>
      </w:pPr>
      <w:bookmarkStart w:id="0" w:name="_heading=h.gjdgxs" w:colFirst="0" w:colLast="0"/>
      <w:bookmarkEnd w:id="0"/>
      <w:r>
        <w:rPr>
          <w:noProof/>
        </w:rPr>
        <w:drawing>
          <wp:anchor distT="0" distB="0" distL="114300" distR="114300" simplePos="0" relativeHeight="251658240" behindDoc="0" locked="0" layoutInCell="1" hidden="0" allowOverlap="1" wp14:anchorId="6F799ED0" wp14:editId="27CE7A77">
            <wp:simplePos x="0" y="0"/>
            <wp:positionH relativeFrom="column">
              <wp:posOffset>-1078862</wp:posOffset>
            </wp:positionH>
            <wp:positionV relativeFrom="paragraph">
              <wp:posOffset>-350450</wp:posOffset>
            </wp:positionV>
            <wp:extent cx="7581265" cy="1019175"/>
            <wp:effectExtent l="0" t="0" r="0" b="0"/>
            <wp:wrapNone/>
            <wp:docPr id="181328216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7867B761" w14:textId="77777777" w:rsidR="00E474DA" w:rsidRDefault="00E474DA">
      <w:pPr>
        <w:ind w:right="-574"/>
        <w:jc w:val="right"/>
        <w:rPr>
          <w:rFonts w:ascii="National" w:eastAsia="National" w:hAnsi="National" w:cs="National"/>
          <w:color w:val="303AB2"/>
          <w:sz w:val="36"/>
          <w:szCs w:val="36"/>
        </w:rPr>
      </w:pPr>
    </w:p>
    <w:p w14:paraId="3DF3026B" w14:textId="77777777" w:rsidR="00E474DA" w:rsidRDefault="00E474DA">
      <w:pPr>
        <w:ind w:right="-574"/>
        <w:jc w:val="right"/>
        <w:rPr>
          <w:rFonts w:ascii="National" w:eastAsia="National" w:hAnsi="National" w:cs="National"/>
          <w:color w:val="303AB2"/>
          <w:sz w:val="36"/>
          <w:szCs w:val="36"/>
        </w:rPr>
      </w:pPr>
    </w:p>
    <w:p w14:paraId="2EB09837" w14:textId="77777777" w:rsidR="00E474DA" w:rsidRDefault="00E474DA">
      <w:pPr>
        <w:spacing w:line="276" w:lineRule="auto"/>
        <w:ind w:right="-574"/>
        <w:jc w:val="center"/>
        <w:rPr>
          <w:rFonts w:ascii="National" w:eastAsia="National" w:hAnsi="National" w:cs="National"/>
          <w:b/>
          <w:color w:val="1DBDC5"/>
          <w:sz w:val="38"/>
          <w:szCs w:val="38"/>
        </w:rPr>
      </w:pPr>
    </w:p>
    <w:p w14:paraId="47CC4B8C" w14:textId="77777777" w:rsidR="00E474DA" w:rsidRDefault="00000000">
      <w:pPr>
        <w:spacing w:line="276" w:lineRule="auto"/>
        <w:ind w:right="-574"/>
        <w:jc w:val="center"/>
        <w:rPr>
          <w:rFonts w:ascii="National" w:eastAsia="National" w:hAnsi="National" w:cs="National"/>
          <w:b/>
          <w:color w:val="1DBDC5"/>
          <w:sz w:val="38"/>
          <w:szCs w:val="38"/>
        </w:rPr>
      </w:pPr>
      <w:r>
        <w:rPr>
          <w:rFonts w:ascii="National" w:eastAsia="National" w:hAnsi="National" w:cs="National"/>
          <w:b/>
          <w:color w:val="1DBDC5"/>
          <w:sz w:val="38"/>
          <w:szCs w:val="38"/>
        </w:rPr>
        <w:t>2023: ANÁLISIS RENTABILIDAD ZONAS COSTERAS</w:t>
      </w:r>
    </w:p>
    <w:p w14:paraId="037B2456" w14:textId="77777777" w:rsidR="00E474DA" w:rsidRDefault="00000000">
      <w:pPr>
        <w:ind w:right="-574"/>
        <w:jc w:val="center"/>
        <w:rPr>
          <w:rFonts w:ascii="National" w:eastAsia="National" w:hAnsi="National" w:cs="National"/>
          <w:b/>
          <w:color w:val="303AB2"/>
          <w:sz w:val="50"/>
          <w:szCs w:val="50"/>
        </w:rPr>
      </w:pPr>
      <w:r>
        <w:rPr>
          <w:rFonts w:ascii="National" w:eastAsia="National" w:hAnsi="National" w:cs="National"/>
          <w:b/>
          <w:color w:val="303AB2"/>
          <w:sz w:val="50"/>
          <w:szCs w:val="50"/>
        </w:rPr>
        <w:t>Gandía, Laredo, La Manga del Mar Menor y Águilas, los municipios costeros que tienen una rentabilidad superior al 10%</w:t>
      </w:r>
    </w:p>
    <w:p w14:paraId="262DAEFE" w14:textId="77777777" w:rsidR="00E474DA" w:rsidRDefault="00E474DA">
      <w:pPr>
        <w:ind w:right="-574"/>
        <w:jc w:val="center"/>
        <w:rPr>
          <w:rFonts w:ascii="National" w:eastAsia="National" w:hAnsi="National" w:cs="National"/>
          <w:b/>
          <w:color w:val="303AB2"/>
          <w:sz w:val="16"/>
          <w:szCs w:val="16"/>
        </w:rPr>
      </w:pPr>
    </w:p>
    <w:p w14:paraId="419EFF25" w14:textId="77777777" w:rsidR="00E474DA" w:rsidRDefault="00E474DA">
      <w:pPr>
        <w:pBdr>
          <w:top w:val="nil"/>
          <w:left w:val="nil"/>
          <w:bottom w:val="nil"/>
          <w:right w:val="nil"/>
          <w:between w:val="nil"/>
        </w:pBdr>
        <w:spacing w:line="276" w:lineRule="auto"/>
        <w:ind w:left="720" w:right="-574"/>
        <w:rPr>
          <w:rFonts w:ascii="Open Sans" w:eastAsia="Open Sans" w:hAnsi="Open Sans" w:cs="Open Sans"/>
          <w:color w:val="000000"/>
          <w:sz w:val="22"/>
          <w:szCs w:val="22"/>
        </w:rPr>
      </w:pPr>
    </w:p>
    <w:p w14:paraId="0BAF031D" w14:textId="77777777" w:rsidR="00E474DA" w:rsidRDefault="00000000">
      <w:pPr>
        <w:numPr>
          <w:ilvl w:val="0"/>
          <w:numId w:val="1"/>
        </w:numPr>
        <w:pBdr>
          <w:top w:val="nil"/>
          <w:left w:val="nil"/>
          <w:bottom w:val="nil"/>
          <w:right w:val="nil"/>
          <w:between w:val="nil"/>
        </w:pBdr>
        <w:spacing w:line="276" w:lineRule="auto"/>
        <w:ind w:right="-574"/>
        <w:rPr>
          <w:rFonts w:ascii="Open Sans" w:eastAsia="Open Sans" w:hAnsi="Open Sans" w:cs="Open Sans"/>
          <w:color w:val="000000"/>
          <w:sz w:val="22"/>
          <w:szCs w:val="22"/>
        </w:rPr>
      </w:pPr>
      <w:r>
        <w:rPr>
          <w:rFonts w:ascii="Open Sans" w:eastAsia="Open Sans" w:hAnsi="Open Sans" w:cs="Open Sans"/>
          <w:color w:val="000000"/>
          <w:sz w:val="22"/>
          <w:szCs w:val="22"/>
        </w:rPr>
        <w:t xml:space="preserve">La rentabilidad media en España se sitúa en un 6,6% en mayo de 2023 </w:t>
      </w:r>
    </w:p>
    <w:p w14:paraId="54172CC0" w14:textId="77777777" w:rsidR="00E474DA" w:rsidRDefault="00000000">
      <w:pPr>
        <w:numPr>
          <w:ilvl w:val="0"/>
          <w:numId w:val="1"/>
        </w:numPr>
        <w:pBdr>
          <w:top w:val="nil"/>
          <w:left w:val="nil"/>
          <w:bottom w:val="nil"/>
          <w:right w:val="nil"/>
          <w:between w:val="nil"/>
        </w:pBdr>
        <w:spacing w:line="276" w:lineRule="auto"/>
        <w:ind w:right="-574"/>
        <w:rPr>
          <w:rFonts w:ascii="Open Sans" w:eastAsia="Open Sans" w:hAnsi="Open Sans" w:cs="Open Sans"/>
          <w:color w:val="000000"/>
          <w:sz w:val="22"/>
          <w:szCs w:val="22"/>
        </w:rPr>
      </w:pPr>
      <w:r>
        <w:rPr>
          <w:rFonts w:ascii="Open Sans" w:eastAsia="Open Sans" w:hAnsi="Open Sans" w:cs="Open Sans"/>
          <w:color w:val="000000"/>
          <w:sz w:val="22"/>
          <w:szCs w:val="22"/>
        </w:rPr>
        <w:t xml:space="preserve">Gandía multiplica por tres su rentabilidad en 15 años y alcanza el 11,6% en junio  </w:t>
      </w:r>
    </w:p>
    <w:p w14:paraId="181CAAF4" w14:textId="77777777" w:rsidR="00E474DA" w:rsidRDefault="00000000">
      <w:pPr>
        <w:numPr>
          <w:ilvl w:val="0"/>
          <w:numId w:val="1"/>
        </w:numPr>
        <w:pBdr>
          <w:top w:val="nil"/>
          <w:left w:val="nil"/>
          <w:bottom w:val="nil"/>
          <w:right w:val="nil"/>
          <w:between w:val="nil"/>
        </w:pBdr>
        <w:spacing w:line="276" w:lineRule="auto"/>
        <w:ind w:right="-574"/>
        <w:rPr>
          <w:rFonts w:ascii="Open Sans" w:eastAsia="Open Sans" w:hAnsi="Open Sans" w:cs="Open Sans"/>
          <w:color w:val="000000"/>
          <w:sz w:val="22"/>
          <w:szCs w:val="22"/>
        </w:rPr>
      </w:pPr>
      <w:r>
        <w:rPr>
          <w:rFonts w:ascii="Open Sans" w:eastAsia="Open Sans" w:hAnsi="Open Sans" w:cs="Open Sans"/>
          <w:color w:val="000000"/>
          <w:sz w:val="22"/>
          <w:szCs w:val="22"/>
        </w:rPr>
        <w:t>Motril (8,7%), Santa Pola (8,0%), Vera (8,0%), Sanlúcar de Barrameda (8,0%) o Huelva capital (7,8%) son las siguientes ciudades que mayor rentabilidad ofrecen</w:t>
      </w:r>
    </w:p>
    <w:p w14:paraId="1ED70705" w14:textId="77777777" w:rsidR="00E474DA" w:rsidRDefault="00E474DA">
      <w:pPr>
        <w:spacing w:line="276" w:lineRule="auto"/>
        <w:ind w:right="-574"/>
        <w:rPr>
          <w:rFonts w:ascii="Open Sans Light" w:eastAsia="Open Sans Light" w:hAnsi="Open Sans Light" w:cs="Open Sans Light"/>
          <w:b/>
          <w:color w:val="303AB2"/>
        </w:rPr>
      </w:pPr>
    </w:p>
    <w:p w14:paraId="3A34FD05" w14:textId="77777777" w:rsidR="00E474DA" w:rsidRDefault="00000000">
      <w:pPr>
        <w:spacing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Madrid, 26 de junio de 2023</w:t>
      </w:r>
    </w:p>
    <w:p w14:paraId="1DDB771E" w14:textId="77777777" w:rsidR="00E474DA"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La rentabilidad de la vivienda ha pasado por distintos escenarios a lo largo de los últimos 15 años y, en concreto, las ciudades costeras de España han experimentado un cambio de rentabilidad que hace cada vez más atractiva la idea de invertir en ese tipo de viviendas. Muestra de ello es la ciudad de Gandía, en Valencia, que ha visto disparar su rentabilidad y ha pasado del 3,9% (mayo de 2008) al 11,6% (mayo de 2023), es decir, 7,7 puntos más en 15 años. Estos datos corresponden al análisis </w:t>
      </w:r>
      <w:r>
        <w:rPr>
          <w:rFonts w:ascii="Open Sans" w:eastAsia="Open Sans" w:hAnsi="Open Sans" w:cs="Open Sans"/>
          <w:b/>
          <w:i/>
          <w:color w:val="000000"/>
          <w:sz w:val="22"/>
          <w:szCs w:val="22"/>
        </w:rPr>
        <w:t>“Rentabilidad en municipios costeros en verano de 2023”</w:t>
      </w:r>
      <w:r>
        <w:rPr>
          <w:rFonts w:ascii="Open Sans" w:eastAsia="Open Sans" w:hAnsi="Open Sans" w:cs="Open Sans"/>
          <w:color w:val="000000"/>
          <w:sz w:val="22"/>
          <w:szCs w:val="22"/>
        </w:rPr>
        <w:t xml:space="preserve"> realizado por el portal inmobiliario </w:t>
      </w:r>
      <w:hyperlink r:id="rId9">
        <w:r>
          <w:rPr>
            <w:rFonts w:ascii="Open Sans" w:eastAsia="Open Sans" w:hAnsi="Open Sans" w:cs="Open Sans"/>
            <w:color w:val="0000FF"/>
            <w:sz w:val="22"/>
            <w:szCs w:val="22"/>
          </w:rPr>
          <w:t>Fotocasa</w:t>
        </w:r>
      </w:hyperlink>
      <w:r>
        <w:rPr>
          <w:rFonts w:ascii="Open Sans" w:eastAsia="Open Sans" w:hAnsi="Open Sans" w:cs="Open Sans"/>
          <w:color w:val="000000"/>
          <w:sz w:val="22"/>
          <w:szCs w:val="22"/>
        </w:rPr>
        <w:t>, a partir de los datos de oferta del precio de la vivienda en venta y en alquiler del portal y que sitúa la rentabilidad de España en un 6,6% a mitad del año 2023.</w:t>
      </w:r>
    </w:p>
    <w:p w14:paraId="07758CA0" w14:textId="77777777" w:rsidR="00E474DA"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sz w:val="22"/>
          <w:szCs w:val="22"/>
        </w:rPr>
        <w:t xml:space="preserve">“No es de extrañar que la palma de la rentabilidad se la lleven los municipios del sur, pero sí es destacable que despunte la costa valenciana frente a la andaluza. La razón es que el precio de compra en la Comunidad Valenciana ha permanecido relativamente estable hasta 2020, sin un encarecimiento intenso como sí ha hecho la costa andaluza al atraer capital extranjero, y por lo tanto una demanda con mayor poder adquisitivo. Por otro lado, en los últimos ejercicios, la región Valenciana ha demostrado una gran capacidad de atracción poblacional por su expansión tecnológica y turística, que ha elevado el precio de los alquileres, haciendo que la rentabilidad esté muy por encima de la media española. “El rendimiento de la vivienda en la costa se ha convertido en el activo estrella, por su </w:t>
      </w:r>
      <w:r>
        <w:rPr>
          <w:rFonts w:ascii="Open Sans" w:eastAsia="Open Sans" w:hAnsi="Open Sans" w:cs="Open Sans"/>
          <w:sz w:val="22"/>
          <w:szCs w:val="22"/>
        </w:rPr>
        <w:lastRenderedPageBreak/>
        <w:t xml:space="preserve">seguridad y rentabilidad en el inmobiliario”, comenta María Matos, directora de Estudios y portavoz de </w:t>
      </w:r>
      <w:hyperlink r:id="rId10">
        <w:r>
          <w:rPr>
            <w:rFonts w:ascii="Open Sans" w:eastAsia="Open Sans" w:hAnsi="Open Sans" w:cs="Open Sans"/>
            <w:color w:val="0000FF"/>
            <w:sz w:val="22"/>
            <w:szCs w:val="22"/>
          </w:rPr>
          <w:t>Fotocasa</w:t>
        </w:r>
      </w:hyperlink>
      <w:r>
        <w:rPr>
          <w:rFonts w:ascii="Open Sans" w:eastAsia="Open Sans" w:hAnsi="Open Sans" w:cs="Open Sans"/>
          <w:sz w:val="22"/>
          <w:szCs w:val="22"/>
        </w:rPr>
        <w:t xml:space="preserve">. </w:t>
      </w:r>
    </w:p>
    <w:p w14:paraId="43A0779E" w14:textId="77777777" w:rsidR="00E474DA" w:rsidRDefault="00000000">
      <w:pPr>
        <w:spacing w:line="276" w:lineRule="auto"/>
        <w:ind w:right="-574"/>
        <w:jc w:val="center"/>
        <w:rPr>
          <w:rFonts w:ascii="Open Sans Light" w:eastAsia="Open Sans Light" w:hAnsi="Open Sans Light" w:cs="Open Sans Light"/>
          <w:b/>
          <w:color w:val="303AB2"/>
        </w:rPr>
      </w:pPr>
      <w:r>
        <w:rPr>
          <w:rFonts w:ascii="Open Sans Light" w:eastAsia="Open Sans Light" w:hAnsi="Open Sans Light" w:cs="Open Sans Light"/>
          <w:b/>
          <w:color w:val="303AB2"/>
        </w:rPr>
        <w:t>Rentabilidad media de las viviendas en mayo de 2023</w:t>
      </w:r>
    </w:p>
    <w:p w14:paraId="7E19C9A7" w14:textId="77777777" w:rsidR="00E474DA" w:rsidRDefault="00000000">
      <w:pPr>
        <w:pBdr>
          <w:top w:val="nil"/>
          <w:left w:val="nil"/>
          <w:bottom w:val="nil"/>
          <w:right w:val="nil"/>
          <w:between w:val="nil"/>
        </w:pBdr>
        <w:shd w:val="clear" w:color="auto" w:fill="FFFFFF"/>
        <w:spacing w:before="280" w:after="280" w:line="276" w:lineRule="auto"/>
        <w:ind w:right="-574"/>
        <w:jc w:val="center"/>
        <w:rPr>
          <w:rFonts w:ascii="Open Sans" w:eastAsia="Open Sans" w:hAnsi="Open Sans" w:cs="Open Sans"/>
          <w:color w:val="000000"/>
          <w:sz w:val="22"/>
          <w:szCs w:val="22"/>
        </w:rPr>
      </w:pPr>
      <w:r>
        <w:rPr>
          <w:noProof/>
        </w:rPr>
        <w:drawing>
          <wp:inline distT="0" distB="0" distL="0" distR="0" wp14:anchorId="373CE619" wp14:editId="36540FC5">
            <wp:extent cx="5675870" cy="2765425"/>
            <wp:effectExtent l="0" t="0" r="0" b="0"/>
            <wp:docPr id="1813282162" name="Gráfico 18132821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E5A0307" w14:textId="77777777" w:rsidR="00E474DA"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La creciente demanda de vacacionar en zonas de playa ha hecho que la rentabilidad de las viviendas en estas áreas se dispare dos o incluso tres veces en los últimos 15 años. Si en mayo de 2008 apenas nueve ciudades costeras superaban la rentabilidad media de España (4,2%), en 2023 se contabilizan 26 ciudades con una rentabilidad igual o superior a la de España (6,6%).</w:t>
      </w:r>
    </w:p>
    <w:p w14:paraId="1E330B05" w14:textId="77777777" w:rsidR="00E474DA"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Gandía se ha convertido en la ciudad costera española que actualmente ofrece mayor rentabilidad. En mayo de este año, alcanzó un impresionante rendimiento del 11,6%, es decir, 7,7 puntos más que hace 15 años (2008) y 6,5 puntos más que hace 10 años (2013). Le siguen, las rentabilidades de las viviendas ubicadas en los municipios de Laredo (11,1%), La Manga del Mar Menor (10,0%) y Águilas (10,0%), como ciudades con una rentabilidad superior al 10% en mayo.</w:t>
      </w:r>
    </w:p>
    <w:p w14:paraId="273A92BD" w14:textId="77777777" w:rsidR="00E474DA"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bookmarkStart w:id="1" w:name="_heading=h.1fob9te" w:colFirst="0" w:colLast="0"/>
      <w:bookmarkEnd w:id="1"/>
      <w:r>
        <w:rPr>
          <w:rFonts w:ascii="Open Sans" w:eastAsia="Open Sans" w:hAnsi="Open Sans" w:cs="Open Sans"/>
          <w:color w:val="000000"/>
          <w:sz w:val="22"/>
          <w:szCs w:val="22"/>
        </w:rPr>
        <w:t xml:space="preserve">Según el orden de las ciudades en el que las viviendas dan mayores rentabilidades se encuentran: Motril (8,7%), Santa Pola (8,0%), Vera (8,0%), Sanlúcar de Barrameda (8,0%), Huelva capital (7,8%), Tortosa (7,8%), Algeciras (7,8%), Roquetas de Mar (7,7%), Sagunto / Sagunt (7,5%), Ferrol (7,5%), Badalona (7,4%), Narón (7,4%), Cartagena (7,4%), Tarragona capital (7,3%), Benidorm (7,3%), Alicante / Alacant (6,9%), Las Palmas de Gran Canaria (6,8%), Torrevieja (6,7%), Almería capital (6,7%), Avilés (6,6%), Puerto de la Cruz (6,6%) y Elche / Elx (6,6%). </w:t>
      </w:r>
    </w:p>
    <w:p w14:paraId="0D1C20EC" w14:textId="77777777" w:rsidR="00E474DA" w:rsidRDefault="00E474DA">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p>
    <w:p w14:paraId="0B27C36C" w14:textId="77777777" w:rsidR="00E474DA" w:rsidRDefault="00000000">
      <w:pPr>
        <w:spacing w:line="276" w:lineRule="auto"/>
        <w:ind w:right="-574"/>
        <w:jc w:val="center"/>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Comparativa de la rentabilidad de las viviendas en las ciudades costeras 2013-2023</w:t>
      </w:r>
    </w:p>
    <w:p w14:paraId="0F80B6DE" w14:textId="77777777" w:rsidR="00E474DA" w:rsidRDefault="00000000">
      <w:pPr>
        <w:spacing w:line="276" w:lineRule="auto"/>
        <w:ind w:right="-574"/>
        <w:jc w:val="center"/>
        <w:rPr>
          <w:rFonts w:ascii="Open Sans Light" w:eastAsia="Open Sans Light" w:hAnsi="Open Sans Light" w:cs="Open Sans Light"/>
          <w:b/>
          <w:color w:val="303AB2"/>
        </w:rPr>
      </w:pPr>
      <w:r>
        <w:rPr>
          <w:noProof/>
        </w:rPr>
        <w:drawing>
          <wp:inline distT="0" distB="0" distL="0" distR="0" wp14:anchorId="51EDC55E" wp14:editId="29B987F5">
            <wp:extent cx="5864860" cy="3262184"/>
            <wp:effectExtent l="0" t="0" r="0" b="0"/>
            <wp:docPr id="1813282161" name="Gráfico 18132821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7F411B4" w14:textId="77777777" w:rsidR="00E474DA" w:rsidRDefault="00E474DA">
      <w:pPr>
        <w:pBdr>
          <w:top w:val="nil"/>
          <w:left w:val="nil"/>
          <w:bottom w:val="nil"/>
          <w:right w:val="nil"/>
          <w:between w:val="nil"/>
        </w:pBdr>
        <w:shd w:val="clear" w:color="auto" w:fill="FFFFFF"/>
        <w:spacing w:before="280" w:after="280" w:line="276" w:lineRule="auto"/>
        <w:ind w:right="-574"/>
        <w:jc w:val="center"/>
        <w:rPr>
          <w:rFonts w:ascii="Open Sans" w:eastAsia="Open Sans" w:hAnsi="Open Sans" w:cs="Open Sans"/>
          <w:color w:val="000000"/>
          <w:sz w:val="22"/>
          <w:szCs w:val="22"/>
        </w:rPr>
      </w:pPr>
    </w:p>
    <w:p w14:paraId="495802ED" w14:textId="77777777" w:rsidR="00E474DA" w:rsidRDefault="00000000">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Municipios de la costa con mayor rentabilidad en mayo de 2023</w:t>
      </w:r>
    </w:p>
    <w:tbl>
      <w:tblPr>
        <w:tblStyle w:val="a2"/>
        <w:tblW w:w="9498" w:type="dxa"/>
        <w:tblInd w:w="-1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710"/>
        <w:gridCol w:w="1710"/>
        <w:gridCol w:w="1465"/>
        <w:gridCol w:w="1465"/>
        <w:gridCol w:w="1589"/>
        <w:gridCol w:w="1559"/>
      </w:tblGrid>
      <w:tr w:rsidR="00E474DA" w14:paraId="78745274" w14:textId="77777777" w:rsidTr="00E474DA">
        <w:trPr>
          <w:cnfStyle w:val="100000000000" w:firstRow="1" w:lastRow="0" w:firstColumn="0" w:lastColumn="0" w:oddVBand="0" w:evenVBand="0" w:oddHBand="0"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1710" w:type="dxa"/>
            <w:vAlign w:val="center"/>
          </w:tcPr>
          <w:p w14:paraId="50752473" w14:textId="77777777" w:rsidR="00E474DA" w:rsidRDefault="00000000">
            <w:pPr>
              <w:rPr>
                <w:rFonts w:ascii="Open Sans" w:eastAsia="Open Sans" w:hAnsi="Open Sans" w:cs="Open Sans"/>
                <w:sz w:val="20"/>
                <w:szCs w:val="20"/>
              </w:rPr>
            </w:pPr>
            <w:r>
              <w:rPr>
                <w:rFonts w:ascii="Open Sans" w:eastAsia="Open Sans" w:hAnsi="Open Sans" w:cs="Open Sans"/>
                <w:b w:val="0"/>
                <w:sz w:val="20"/>
                <w:szCs w:val="20"/>
              </w:rPr>
              <w:t>CC.AA.</w:t>
            </w:r>
          </w:p>
        </w:tc>
        <w:tc>
          <w:tcPr>
            <w:tcW w:w="1710" w:type="dxa"/>
            <w:vAlign w:val="center"/>
          </w:tcPr>
          <w:p w14:paraId="39042E43" w14:textId="77777777" w:rsidR="00E474DA"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b w:val="0"/>
                <w:sz w:val="20"/>
                <w:szCs w:val="20"/>
              </w:rPr>
              <w:t>Municipio</w:t>
            </w:r>
          </w:p>
        </w:tc>
        <w:tc>
          <w:tcPr>
            <w:tcW w:w="1465" w:type="dxa"/>
            <w:vAlign w:val="center"/>
          </w:tcPr>
          <w:p w14:paraId="706F9C0D" w14:textId="77777777" w:rsidR="00E474DA"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b w:val="0"/>
                <w:sz w:val="20"/>
                <w:szCs w:val="20"/>
              </w:rPr>
              <w:t>Rentabilidad media 2013 (15 años)</w:t>
            </w:r>
          </w:p>
        </w:tc>
        <w:tc>
          <w:tcPr>
            <w:tcW w:w="1465" w:type="dxa"/>
          </w:tcPr>
          <w:p w14:paraId="04C28527" w14:textId="77777777" w:rsidR="00E474DA"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b w:val="0"/>
                <w:sz w:val="20"/>
                <w:szCs w:val="20"/>
              </w:rPr>
              <w:t>Rentabilidad media 2018 (10 años)</w:t>
            </w:r>
          </w:p>
        </w:tc>
        <w:tc>
          <w:tcPr>
            <w:tcW w:w="1589" w:type="dxa"/>
          </w:tcPr>
          <w:p w14:paraId="357AE855" w14:textId="77777777" w:rsidR="00E474DA"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b w:val="0"/>
                <w:sz w:val="20"/>
                <w:szCs w:val="20"/>
              </w:rPr>
              <w:t xml:space="preserve">Rentabilidad media 2018 </w:t>
            </w:r>
          </w:p>
          <w:p w14:paraId="472FE370" w14:textId="77777777" w:rsidR="00E474DA"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b w:val="0"/>
                <w:sz w:val="20"/>
                <w:szCs w:val="20"/>
              </w:rPr>
              <w:t>(5 años)</w:t>
            </w:r>
          </w:p>
        </w:tc>
        <w:tc>
          <w:tcPr>
            <w:tcW w:w="1559" w:type="dxa"/>
            <w:vAlign w:val="center"/>
          </w:tcPr>
          <w:p w14:paraId="1335225F" w14:textId="77777777" w:rsidR="00E474DA"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b w:val="0"/>
                <w:sz w:val="20"/>
                <w:szCs w:val="20"/>
              </w:rPr>
              <w:t>Rentabilidad media 2023</w:t>
            </w:r>
          </w:p>
        </w:tc>
      </w:tr>
      <w:tr w:rsidR="00E474DA" w14:paraId="0C20E961" w14:textId="77777777" w:rsidTr="00E474D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710" w:type="dxa"/>
            <w:vAlign w:val="bottom"/>
          </w:tcPr>
          <w:p w14:paraId="218C11F8" w14:textId="77777777" w:rsidR="00E474DA" w:rsidRDefault="00000000">
            <w:pPr>
              <w:rPr>
                <w:rFonts w:ascii="Open Sans" w:eastAsia="Open Sans" w:hAnsi="Open Sans" w:cs="Open Sans"/>
                <w:sz w:val="20"/>
                <w:szCs w:val="20"/>
              </w:rPr>
            </w:pPr>
            <w:r>
              <w:rPr>
                <w:rFonts w:ascii="Open Sans" w:eastAsia="Open Sans" w:hAnsi="Open Sans" w:cs="Open Sans"/>
                <w:b w:val="0"/>
                <w:sz w:val="20"/>
                <w:szCs w:val="20"/>
              </w:rPr>
              <w:t>Comunitat Valenciana</w:t>
            </w:r>
          </w:p>
        </w:tc>
        <w:tc>
          <w:tcPr>
            <w:tcW w:w="1710" w:type="dxa"/>
            <w:vAlign w:val="bottom"/>
          </w:tcPr>
          <w:p w14:paraId="159A2B3E" w14:textId="77777777" w:rsidR="00E474D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Gandía</w:t>
            </w:r>
          </w:p>
        </w:tc>
        <w:tc>
          <w:tcPr>
            <w:tcW w:w="1465" w:type="dxa"/>
            <w:vAlign w:val="bottom"/>
          </w:tcPr>
          <w:p w14:paraId="56799C53"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3,9%</w:t>
            </w:r>
          </w:p>
        </w:tc>
        <w:tc>
          <w:tcPr>
            <w:tcW w:w="1465" w:type="dxa"/>
            <w:vAlign w:val="bottom"/>
          </w:tcPr>
          <w:p w14:paraId="126EFBD7"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5,1%</w:t>
            </w:r>
          </w:p>
        </w:tc>
        <w:tc>
          <w:tcPr>
            <w:tcW w:w="1589" w:type="dxa"/>
            <w:vAlign w:val="bottom"/>
          </w:tcPr>
          <w:p w14:paraId="46C018DC"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color w:val="000000"/>
                <w:sz w:val="20"/>
                <w:szCs w:val="20"/>
              </w:rPr>
              <w:t>6,2%</w:t>
            </w:r>
          </w:p>
        </w:tc>
        <w:tc>
          <w:tcPr>
            <w:tcW w:w="1559" w:type="dxa"/>
            <w:vAlign w:val="bottom"/>
          </w:tcPr>
          <w:p w14:paraId="52867AC6"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b/>
                <w:color w:val="000000"/>
                <w:sz w:val="20"/>
                <w:szCs w:val="20"/>
              </w:rPr>
              <w:t>11,6%</w:t>
            </w:r>
          </w:p>
        </w:tc>
      </w:tr>
      <w:tr w:rsidR="00E474DA" w14:paraId="521B687F" w14:textId="77777777" w:rsidTr="00E474DA">
        <w:trPr>
          <w:trHeight w:val="272"/>
        </w:trPr>
        <w:tc>
          <w:tcPr>
            <w:cnfStyle w:val="001000000000" w:firstRow="0" w:lastRow="0" w:firstColumn="1" w:lastColumn="0" w:oddVBand="0" w:evenVBand="0" w:oddHBand="0" w:evenHBand="0" w:firstRowFirstColumn="0" w:firstRowLastColumn="0" w:lastRowFirstColumn="0" w:lastRowLastColumn="0"/>
            <w:tcW w:w="1710" w:type="dxa"/>
            <w:vAlign w:val="bottom"/>
          </w:tcPr>
          <w:p w14:paraId="65A5F3D8" w14:textId="77777777" w:rsidR="00E474DA" w:rsidRDefault="00000000">
            <w:pPr>
              <w:rPr>
                <w:rFonts w:ascii="Open Sans" w:eastAsia="Open Sans" w:hAnsi="Open Sans" w:cs="Open Sans"/>
                <w:sz w:val="20"/>
                <w:szCs w:val="20"/>
              </w:rPr>
            </w:pPr>
            <w:r>
              <w:rPr>
                <w:rFonts w:ascii="Open Sans" w:eastAsia="Open Sans" w:hAnsi="Open Sans" w:cs="Open Sans"/>
                <w:b w:val="0"/>
                <w:sz w:val="20"/>
                <w:szCs w:val="20"/>
              </w:rPr>
              <w:t>Cantabria</w:t>
            </w:r>
          </w:p>
        </w:tc>
        <w:tc>
          <w:tcPr>
            <w:tcW w:w="1710" w:type="dxa"/>
            <w:vAlign w:val="bottom"/>
          </w:tcPr>
          <w:p w14:paraId="2A889BDB" w14:textId="77777777" w:rsidR="00E474D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Laredo</w:t>
            </w:r>
          </w:p>
        </w:tc>
        <w:tc>
          <w:tcPr>
            <w:tcW w:w="1465" w:type="dxa"/>
          </w:tcPr>
          <w:p w14:paraId="55CFFA19"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w:t>
            </w:r>
          </w:p>
        </w:tc>
        <w:tc>
          <w:tcPr>
            <w:tcW w:w="1465" w:type="dxa"/>
          </w:tcPr>
          <w:p w14:paraId="26BA6D3F"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w:t>
            </w:r>
          </w:p>
        </w:tc>
        <w:tc>
          <w:tcPr>
            <w:tcW w:w="1589" w:type="dxa"/>
          </w:tcPr>
          <w:p w14:paraId="58FDCD65"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color w:val="000000"/>
                <w:sz w:val="20"/>
                <w:szCs w:val="20"/>
              </w:rPr>
              <w:t>-</w:t>
            </w:r>
          </w:p>
        </w:tc>
        <w:tc>
          <w:tcPr>
            <w:tcW w:w="1559" w:type="dxa"/>
            <w:vAlign w:val="bottom"/>
          </w:tcPr>
          <w:p w14:paraId="1BBD8EC9"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b/>
                <w:color w:val="000000"/>
                <w:sz w:val="20"/>
                <w:szCs w:val="20"/>
              </w:rPr>
              <w:t>11,1%</w:t>
            </w:r>
          </w:p>
        </w:tc>
      </w:tr>
      <w:tr w:rsidR="00E474DA" w14:paraId="0C1D99F2" w14:textId="77777777" w:rsidTr="00E474D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710" w:type="dxa"/>
            <w:vAlign w:val="bottom"/>
          </w:tcPr>
          <w:p w14:paraId="0084A1D0" w14:textId="77777777" w:rsidR="00E474DA" w:rsidRDefault="00000000">
            <w:pPr>
              <w:rPr>
                <w:rFonts w:ascii="Open Sans" w:eastAsia="Open Sans" w:hAnsi="Open Sans" w:cs="Open Sans"/>
                <w:sz w:val="20"/>
                <w:szCs w:val="20"/>
              </w:rPr>
            </w:pPr>
            <w:r>
              <w:rPr>
                <w:rFonts w:ascii="Open Sans" w:eastAsia="Open Sans" w:hAnsi="Open Sans" w:cs="Open Sans"/>
                <w:b w:val="0"/>
                <w:sz w:val="20"/>
                <w:szCs w:val="20"/>
              </w:rPr>
              <w:t>Región de Murcia</w:t>
            </w:r>
          </w:p>
        </w:tc>
        <w:tc>
          <w:tcPr>
            <w:tcW w:w="1710" w:type="dxa"/>
            <w:vAlign w:val="bottom"/>
          </w:tcPr>
          <w:p w14:paraId="7B405B96" w14:textId="77777777" w:rsidR="00E474D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La Manga del Mar Menor</w:t>
            </w:r>
          </w:p>
        </w:tc>
        <w:tc>
          <w:tcPr>
            <w:tcW w:w="1465" w:type="dxa"/>
          </w:tcPr>
          <w:p w14:paraId="6F067E14"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w:t>
            </w:r>
          </w:p>
        </w:tc>
        <w:tc>
          <w:tcPr>
            <w:tcW w:w="1465" w:type="dxa"/>
          </w:tcPr>
          <w:p w14:paraId="671FC2EB"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w:t>
            </w:r>
          </w:p>
        </w:tc>
        <w:tc>
          <w:tcPr>
            <w:tcW w:w="1589" w:type="dxa"/>
          </w:tcPr>
          <w:p w14:paraId="4885A2BD"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color w:val="000000"/>
                <w:sz w:val="20"/>
                <w:szCs w:val="20"/>
              </w:rPr>
              <w:t>-</w:t>
            </w:r>
          </w:p>
        </w:tc>
        <w:tc>
          <w:tcPr>
            <w:tcW w:w="1559" w:type="dxa"/>
            <w:vAlign w:val="bottom"/>
          </w:tcPr>
          <w:p w14:paraId="49C0FFAE"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b/>
                <w:color w:val="000000"/>
                <w:sz w:val="20"/>
                <w:szCs w:val="20"/>
              </w:rPr>
              <w:t>10,0%</w:t>
            </w:r>
          </w:p>
        </w:tc>
      </w:tr>
      <w:tr w:rsidR="00E474DA" w14:paraId="47662B52" w14:textId="77777777" w:rsidTr="00E474DA">
        <w:trPr>
          <w:trHeight w:val="272"/>
        </w:trPr>
        <w:tc>
          <w:tcPr>
            <w:cnfStyle w:val="001000000000" w:firstRow="0" w:lastRow="0" w:firstColumn="1" w:lastColumn="0" w:oddVBand="0" w:evenVBand="0" w:oddHBand="0" w:evenHBand="0" w:firstRowFirstColumn="0" w:firstRowLastColumn="0" w:lastRowFirstColumn="0" w:lastRowLastColumn="0"/>
            <w:tcW w:w="1710" w:type="dxa"/>
            <w:vAlign w:val="bottom"/>
          </w:tcPr>
          <w:p w14:paraId="66A78352" w14:textId="77777777" w:rsidR="00E474DA" w:rsidRDefault="00000000">
            <w:pPr>
              <w:rPr>
                <w:rFonts w:ascii="Open Sans" w:eastAsia="Open Sans" w:hAnsi="Open Sans" w:cs="Open Sans"/>
                <w:sz w:val="20"/>
                <w:szCs w:val="20"/>
              </w:rPr>
            </w:pPr>
            <w:r>
              <w:rPr>
                <w:rFonts w:ascii="Open Sans" w:eastAsia="Open Sans" w:hAnsi="Open Sans" w:cs="Open Sans"/>
                <w:b w:val="0"/>
                <w:sz w:val="20"/>
                <w:szCs w:val="20"/>
              </w:rPr>
              <w:t>Región de Murcia</w:t>
            </w:r>
          </w:p>
        </w:tc>
        <w:tc>
          <w:tcPr>
            <w:tcW w:w="1710" w:type="dxa"/>
            <w:vAlign w:val="bottom"/>
          </w:tcPr>
          <w:p w14:paraId="4365D9A6" w14:textId="77777777" w:rsidR="00E474D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Águilas</w:t>
            </w:r>
          </w:p>
        </w:tc>
        <w:tc>
          <w:tcPr>
            <w:tcW w:w="1465" w:type="dxa"/>
          </w:tcPr>
          <w:p w14:paraId="355B8E9F"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w:t>
            </w:r>
          </w:p>
        </w:tc>
        <w:tc>
          <w:tcPr>
            <w:tcW w:w="1465" w:type="dxa"/>
          </w:tcPr>
          <w:p w14:paraId="147B3106"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w:t>
            </w:r>
          </w:p>
        </w:tc>
        <w:tc>
          <w:tcPr>
            <w:tcW w:w="1589" w:type="dxa"/>
          </w:tcPr>
          <w:p w14:paraId="55145CB0"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color w:val="000000"/>
                <w:sz w:val="20"/>
                <w:szCs w:val="20"/>
              </w:rPr>
              <w:t>-</w:t>
            </w:r>
          </w:p>
        </w:tc>
        <w:tc>
          <w:tcPr>
            <w:tcW w:w="1559" w:type="dxa"/>
            <w:vAlign w:val="bottom"/>
          </w:tcPr>
          <w:p w14:paraId="0934BDE8"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b/>
                <w:color w:val="000000"/>
                <w:sz w:val="20"/>
                <w:szCs w:val="20"/>
              </w:rPr>
              <w:t>10,0%</w:t>
            </w:r>
          </w:p>
        </w:tc>
      </w:tr>
      <w:tr w:rsidR="00E474DA" w14:paraId="040EF97B" w14:textId="77777777" w:rsidTr="00E474D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710" w:type="dxa"/>
            <w:vAlign w:val="bottom"/>
          </w:tcPr>
          <w:p w14:paraId="3598D1EA" w14:textId="77777777" w:rsidR="00E474DA" w:rsidRDefault="00000000">
            <w:pPr>
              <w:rPr>
                <w:rFonts w:ascii="Open Sans" w:eastAsia="Open Sans" w:hAnsi="Open Sans" w:cs="Open Sans"/>
                <w:sz w:val="20"/>
                <w:szCs w:val="20"/>
              </w:rPr>
            </w:pPr>
            <w:r>
              <w:rPr>
                <w:rFonts w:ascii="Open Sans" w:eastAsia="Open Sans" w:hAnsi="Open Sans" w:cs="Open Sans"/>
                <w:b w:val="0"/>
                <w:sz w:val="20"/>
                <w:szCs w:val="20"/>
              </w:rPr>
              <w:t>Andalucía</w:t>
            </w:r>
          </w:p>
        </w:tc>
        <w:tc>
          <w:tcPr>
            <w:tcW w:w="1710" w:type="dxa"/>
            <w:vAlign w:val="bottom"/>
          </w:tcPr>
          <w:p w14:paraId="42B9D1C7" w14:textId="77777777" w:rsidR="00E474D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Motril</w:t>
            </w:r>
          </w:p>
        </w:tc>
        <w:tc>
          <w:tcPr>
            <w:tcW w:w="1465" w:type="dxa"/>
          </w:tcPr>
          <w:p w14:paraId="6DB19BFA"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w:t>
            </w:r>
          </w:p>
        </w:tc>
        <w:tc>
          <w:tcPr>
            <w:tcW w:w="1465" w:type="dxa"/>
            <w:vAlign w:val="bottom"/>
          </w:tcPr>
          <w:p w14:paraId="51B9BA1C"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4,0%</w:t>
            </w:r>
          </w:p>
        </w:tc>
        <w:tc>
          <w:tcPr>
            <w:tcW w:w="1589" w:type="dxa"/>
          </w:tcPr>
          <w:p w14:paraId="5D259A6A"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color w:val="000000"/>
                <w:sz w:val="20"/>
                <w:szCs w:val="20"/>
              </w:rPr>
              <w:t>-</w:t>
            </w:r>
          </w:p>
        </w:tc>
        <w:tc>
          <w:tcPr>
            <w:tcW w:w="1559" w:type="dxa"/>
            <w:vAlign w:val="bottom"/>
          </w:tcPr>
          <w:p w14:paraId="06A1B0F9"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b/>
                <w:color w:val="000000"/>
                <w:sz w:val="20"/>
                <w:szCs w:val="20"/>
              </w:rPr>
              <w:t>8,7%</w:t>
            </w:r>
          </w:p>
        </w:tc>
      </w:tr>
      <w:tr w:rsidR="00E474DA" w14:paraId="3D78ED52" w14:textId="77777777" w:rsidTr="00E474DA">
        <w:trPr>
          <w:trHeight w:val="272"/>
        </w:trPr>
        <w:tc>
          <w:tcPr>
            <w:cnfStyle w:val="001000000000" w:firstRow="0" w:lastRow="0" w:firstColumn="1" w:lastColumn="0" w:oddVBand="0" w:evenVBand="0" w:oddHBand="0" w:evenHBand="0" w:firstRowFirstColumn="0" w:firstRowLastColumn="0" w:lastRowFirstColumn="0" w:lastRowLastColumn="0"/>
            <w:tcW w:w="1710" w:type="dxa"/>
            <w:vAlign w:val="bottom"/>
          </w:tcPr>
          <w:p w14:paraId="4D859FED" w14:textId="77777777" w:rsidR="00E474DA" w:rsidRDefault="00000000">
            <w:pPr>
              <w:rPr>
                <w:rFonts w:ascii="Open Sans" w:eastAsia="Open Sans" w:hAnsi="Open Sans" w:cs="Open Sans"/>
                <w:sz w:val="20"/>
                <w:szCs w:val="20"/>
              </w:rPr>
            </w:pPr>
            <w:r>
              <w:rPr>
                <w:rFonts w:ascii="Open Sans" w:eastAsia="Open Sans" w:hAnsi="Open Sans" w:cs="Open Sans"/>
                <w:b w:val="0"/>
                <w:sz w:val="20"/>
                <w:szCs w:val="20"/>
              </w:rPr>
              <w:t>Comunitat Valenciana</w:t>
            </w:r>
          </w:p>
        </w:tc>
        <w:tc>
          <w:tcPr>
            <w:tcW w:w="1710" w:type="dxa"/>
            <w:vAlign w:val="bottom"/>
          </w:tcPr>
          <w:p w14:paraId="1A552270" w14:textId="77777777" w:rsidR="00E474D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Santa Pola</w:t>
            </w:r>
          </w:p>
        </w:tc>
        <w:tc>
          <w:tcPr>
            <w:tcW w:w="1465" w:type="dxa"/>
          </w:tcPr>
          <w:p w14:paraId="4F16E646"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w:t>
            </w:r>
          </w:p>
        </w:tc>
        <w:tc>
          <w:tcPr>
            <w:tcW w:w="1465" w:type="dxa"/>
            <w:vAlign w:val="bottom"/>
          </w:tcPr>
          <w:p w14:paraId="3C8CDF20"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5,2%</w:t>
            </w:r>
          </w:p>
        </w:tc>
        <w:tc>
          <w:tcPr>
            <w:tcW w:w="1589" w:type="dxa"/>
          </w:tcPr>
          <w:p w14:paraId="0358A459"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color w:val="000000"/>
                <w:sz w:val="20"/>
                <w:szCs w:val="20"/>
              </w:rPr>
              <w:t>-</w:t>
            </w:r>
          </w:p>
        </w:tc>
        <w:tc>
          <w:tcPr>
            <w:tcW w:w="1559" w:type="dxa"/>
            <w:vAlign w:val="bottom"/>
          </w:tcPr>
          <w:p w14:paraId="7AA59603"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b/>
                <w:color w:val="000000"/>
                <w:sz w:val="20"/>
                <w:szCs w:val="20"/>
              </w:rPr>
              <w:t>8,0%</w:t>
            </w:r>
          </w:p>
        </w:tc>
      </w:tr>
      <w:tr w:rsidR="00E474DA" w14:paraId="4BBFB0D0" w14:textId="77777777" w:rsidTr="00E474D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710" w:type="dxa"/>
            <w:vAlign w:val="bottom"/>
          </w:tcPr>
          <w:p w14:paraId="633542EC" w14:textId="77777777" w:rsidR="00E474DA" w:rsidRDefault="00000000">
            <w:pPr>
              <w:rPr>
                <w:rFonts w:ascii="Open Sans" w:eastAsia="Open Sans" w:hAnsi="Open Sans" w:cs="Open Sans"/>
                <w:sz w:val="20"/>
                <w:szCs w:val="20"/>
              </w:rPr>
            </w:pPr>
            <w:r>
              <w:rPr>
                <w:rFonts w:ascii="Open Sans" w:eastAsia="Open Sans" w:hAnsi="Open Sans" w:cs="Open Sans"/>
                <w:b w:val="0"/>
                <w:sz w:val="20"/>
                <w:szCs w:val="20"/>
              </w:rPr>
              <w:t>Andalucía</w:t>
            </w:r>
          </w:p>
        </w:tc>
        <w:tc>
          <w:tcPr>
            <w:tcW w:w="1710" w:type="dxa"/>
            <w:vAlign w:val="bottom"/>
          </w:tcPr>
          <w:p w14:paraId="0D55334D" w14:textId="77777777" w:rsidR="00E474D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Vera</w:t>
            </w:r>
          </w:p>
        </w:tc>
        <w:tc>
          <w:tcPr>
            <w:tcW w:w="1465" w:type="dxa"/>
          </w:tcPr>
          <w:p w14:paraId="189DC31A"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w:t>
            </w:r>
          </w:p>
        </w:tc>
        <w:tc>
          <w:tcPr>
            <w:tcW w:w="1465" w:type="dxa"/>
            <w:vAlign w:val="bottom"/>
          </w:tcPr>
          <w:p w14:paraId="775283C6"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0"/>
                <w:szCs w:val="20"/>
              </w:rPr>
            </w:pPr>
            <w:r>
              <w:rPr>
                <w:rFonts w:ascii="Open Sans" w:eastAsia="Open Sans" w:hAnsi="Open Sans" w:cs="Open Sans"/>
                <w:color w:val="000000"/>
                <w:sz w:val="20"/>
                <w:szCs w:val="20"/>
              </w:rPr>
              <w:t>5,4%</w:t>
            </w:r>
          </w:p>
        </w:tc>
        <w:tc>
          <w:tcPr>
            <w:tcW w:w="1589" w:type="dxa"/>
          </w:tcPr>
          <w:p w14:paraId="33964023"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color w:val="000000"/>
                <w:sz w:val="20"/>
                <w:szCs w:val="20"/>
              </w:rPr>
              <w:t>-</w:t>
            </w:r>
          </w:p>
        </w:tc>
        <w:tc>
          <w:tcPr>
            <w:tcW w:w="1559" w:type="dxa"/>
            <w:vAlign w:val="bottom"/>
          </w:tcPr>
          <w:p w14:paraId="26274646"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b/>
                <w:color w:val="000000"/>
                <w:sz w:val="20"/>
                <w:szCs w:val="20"/>
              </w:rPr>
              <w:t>8,0%</w:t>
            </w:r>
          </w:p>
        </w:tc>
      </w:tr>
      <w:tr w:rsidR="00E474DA" w14:paraId="3EE112D7" w14:textId="77777777" w:rsidTr="00E474DA">
        <w:trPr>
          <w:trHeight w:val="272"/>
        </w:trPr>
        <w:tc>
          <w:tcPr>
            <w:cnfStyle w:val="001000000000" w:firstRow="0" w:lastRow="0" w:firstColumn="1" w:lastColumn="0" w:oddVBand="0" w:evenVBand="0" w:oddHBand="0" w:evenHBand="0" w:firstRowFirstColumn="0" w:firstRowLastColumn="0" w:lastRowFirstColumn="0" w:lastRowLastColumn="0"/>
            <w:tcW w:w="1710" w:type="dxa"/>
            <w:vAlign w:val="bottom"/>
          </w:tcPr>
          <w:p w14:paraId="13EEFD0C" w14:textId="77777777" w:rsidR="00E474DA" w:rsidRDefault="00000000">
            <w:pPr>
              <w:rPr>
                <w:rFonts w:ascii="Open Sans" w:eastAsia="Open Sans" w:hAnsi="Open Sans" w:cs="Open Sans"/>
                <w:sz w:val="20"/>
                <w:szCs w:val="20"/>
              </w:rPr>
            </w:pPr>
            <w:r>
              <w:rPr>
                <w:rFonts w:ascii="Open Sans" w:eastAsia="Open Sans" w:hAnsi="Open Sans" w:cs="Open Sans"/>
                <w:b w:val="0"/>
                <w:sz w:val="20"/>
                <w:szCs w:val="20"/>
              </w:rPr>
              <w:t>Andalucía</w:t>
            </w:r>
          </w:p>
        </w:tc>
        <w:tc>
          <w:tcPr>
            <w:tcW w:w="1710" w:type="dxa"/>
            <w:vAlign w:val="bottom"/>
          </w:tcPr>
          <w:p w14:paraId="526E74E6" w14:textId="77777777" w:rsidR="00E474D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Sanlúcar de Barrameda</w:t>
            </w:r>
          </w:p>
        </w:tc>
        <w:tc>
          <w:tcPr>
            <w:tcW w:w="1465" w:type="dxa"/>
          </w:tcPr>
          <w:p w14:paraId="72877697"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w:t>
            </w:r>
          </w:p>
        </w:tc>
        <w:tc>
          <w:tcPr>
            <w:tcW w:w="1465" w:type="dxa"/>
            <w:vAlign w:val="bottom"/>
          </w:tcPr>
          <w:p w14:paraId="51DD734B"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5,2%</w:t>
            </w:r>
          </w:p>
        </w:tc>
        <w:tc>
          <w:tcPr>
            <w:tcW w:w="1589" w:type="dxa"/>
          </w:tcPr>
          <w:p w14:paraId="379CE893"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color w:val="000000"/>
                <w:sz w:val="20"/>
                <w:szCs w:val="20"/>
              </w:rPr>
              <w:t>-</w:t>
            </w:r>
          </w:p>
        </w:tc>
        <w:tc>
          <w:tcPr>
            <w:tcW w:w="1559" w:type="dxa"/>
            <w:vAlign w:val="bottom"/>
          </w:tcPr>
          <w:p w14:paraId="19933190"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b/>
                <w:color w:val="000000"/>
                <w:sz w:val="20"/>
                <w:szCs w:val="20"/>
              </w:rPr>
              <w:t>8,0%</w:t>
            </w:r>
          </w:p>
        </w:tc>
      </w:tr>
      <w:tr w:rsidR="00E474DA" w14:paraId="1739A80E" w14:textId="77777777" w:rsidTr="00E474D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710" w:type="dxa"/>
            <w:vAlign w:val="bottom"/>
          </w:tcPr>
          <w:p w14:paraId="5B9C9E6A" w14:textId="77777777" w:rsidR="00E474DA" w:rsidRDefault="00000000">
            <w:pPr>
              <w:rPr>
                <w:rFonts w:ascii="Open Sans" w:eastAsia="Open Sans" w:hAnsi="Open Sans" w:cs="Open Sans"/>
                <w:sz w:val="20"/>
                <w:szCs w:val="20"/>
              </w:rPr>
            </w:pPr>
            <w:r>
              <w:rPr>
                <w:rFonts w:ascii="Open Sans" w:eastAsia="Open Sans" w:hAnsi="Open Sans" w:cs="Open Sans"/>
                <w:b w:val="0"/>
                <w:sz w:val="20"/>
                <w:szCs w:val="20"/>
              </w:rPr>
              <w:t>Andalucía</w:t>
            </w:r>
          </w:p>
        </w:tc>
        <w:tc>
          <w:tcPr>
            <w:tcW w:w="1710" w:type="dxa"/>
            <w:vAlign w:val="bottom"/>
          </w:tcPr>
          <w:p w14:paraId="22764052" w14:textId="77777777" w:rsidR="00E474D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Huelva Capital</w:t>
            </w:r>
          </w:p>
        </w:tc>
        <w:tc>
          <w:tcPr>
            <w:tcW w:w="1465" w:type="dxa"/>
            <w:vAlign w:val="bottom"/>
          </w:tcPr>
          <w:p w14:paraId="2D8E4E46"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4,3%</w:t>
            </w:r>
          </w:p>
        </w:tc>
        <w:tc>
          <w:tcPr>
            <w:tcW w:w="1465" w:type="dxa"/>
            <w:vAlign w:val="bottom"/>
          </w:tcPr>
          <w:p w14:paraId="475DAE05"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4,7%</w:t>
            </w:r>
          </w:p>
        </w:tc>
        <w:tc>
          <w:tcPr>
            <w:tcW w:w="1589" w:type="dxa"/>
            <w:vAlign w:val="bottom"/>
          </w:tcPr>
          <w:p w14:paraId="6FE9C071"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color w:val="000000"/>
                <w:sz w:val="20"/>
                <w:szCs w:val="20"/>
              </w:rPr>
              <w:t>6,4%</w:t>
            </w:r>
          </w:p>
        </w:tc>
        <w:tc>
          <w:tcPr>
            <w:tcW w:w="1559" w:type="dxa"/>
            <w:vAlign w:val="bottom"/>
          </w:tcPr>
          <w:p w14:paraId="7588ABF4"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b/>
                <w:color w:val="000000"/>
                <w:sz w:val="20"/>
                <w:szCs w:val="20"/>
              </w:rPr>
              <w:t>7,8%</w:t>
            </w:r>
          </w:p>
        </w:tc>
      </w:tr>
      <w:tr w:rsidR="00E474DA" w14:paraId="13183A94" w14:textId="77777777" w:rsidTr="00E474DA">
        <w:trPr>
          <w:trHeight w:val="272"/>
        </w:trPr>
        <w:tc>
          <w:tcPr>
            <w:cnfStyle w:val="001000000000" w:firstRow="0" w:lastRow="0" w:firstColumn="1" w:lastColumn="0" w:oddVBand="0" w:evenVBand="0" w:oddHBand="0" w:evenHBand="0" w:firstRowFirstColumn="0" w:firstRowLastColumn="0" w:lastRowFirstColumn="0" w:lastRowLastColumn="0"/>
            <w:tcW w:w="1710" w:type="dxa"/>
            <w:vAlign w:val="bottom"/>
          </w:tcPr>
          <w:p w14:paraId="19F0D0AB" w14:textId="77777777" w:rsidR="00E474DA" w:rsidRDefault="00000000">
            <w:pPr>
              <w:rPr>
                <w:rFonts w:ascii="Open Sans" w:eastAsia="Open Sans" w:hAnsi="Open Sans" w:cs="Open Sans"/>
                <w:sz w:val="20"/>
                <w:szCs w:val="20"/>
              </w:rPr>
            </w:pPr>
            <w:r>
              <w:rPr>
                <w:rFonts w:ascii="Open Sans" w:eastAsia="Open Sans" w:hAnsi="Open Sans" w:cs="Open Sans"/>
                <w:b w:val="0"/>
                <w:sz w:val="20"/>
                <w:szCs w:val="20"/>
              </w:rPr>
              <w:t>Cataluña</w:t>
            </w:r>
          </w:p>
        </w:tc>
        <w:tc>
          <w:tcPr>
            <w:tcW w:w="1710" w:type="dxa"/>
            <w:vAlign w:val="bottom"/>
          </w:tcPr>
          <w:p w14:paraId="4681F0B6" w14:textId="77777777" w:rsidR="00E474D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Tortosa</w:t>
            </w:r>
          </w:p>
        </w:tc>
        <w:tc>
          <w:tcPr>
            <w:tcW w:w="1465" w:type="dxa"/>
            <w:vAlign w:val="bottom"/>
          </w:tcPr>
          <w:p w14:paraId="01FC3FA0" w14:textId="77777777" w:rsidR="00E474DA" w:rsidRDefault="00E474D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p>
        </w:tc>
        <w:tc>
          <w:tcPr>
            <w:tcW w:w="1465" w:type="dxa"/>
            <w:vAlign w:val="bottom"/>
          </w:tcPr>
          <w:p w14:paraId="452197DE" w14:textId="77777777" w:rsidR="00E474DA" w:rsidRDefault="00E474D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p>
        </w:tc>
        <w:tc>
          <w:tcPr>
            <w:tcW w:w="1589" w:type="dxa"/>
            <w:vAlign w:val="bottom"/>
          </w:tcPr>
          <w:p w14:paraId="34CC0913" w14:textId="77777777" w:rsidR="00E474DA" w:rsidRDefault="00E474D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0"/>
                <w:szCs w:val="20"/>
              </w:rPr>
            </w:pPr>
          </w:p>
        </w:tc>
        <w:tc>
          <w:tcPr>
            <w:tcW w:w="1559" w:type="dxa"/>
            <w:vAlign w:val="bottom"/>
          </w:tcPr>
          <w:p w14:paraId="1284FE30"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b/>
                <w:color w:val="000000"/>
                <w:sz w:val="20"/>
                <w:szCs w:val="20"/>
              </w:rPr>
              <w:t>7,8%</w:t>
            </w:r>
          </w:p>
        </w:tc>
      </w:tr>
      <w:tr w:rsidR="00E474DA" w14:paraId="16F615AF" w14:textId="77777777" w:rsidTr="00E474D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710" w:type="dxa"/>
            <w:vAlign w:val="bottom"/>
          </w:tcPr>
          <w:p w14:paraId="238BE9A7" w14:textId="77777777" w:rsidR="00E474DA" w:rsidRDefault="00000000">
            <w:pPr>
              <w:rPr>
                <w:rFonts w:ascii="Open Sans" w:eastAsia="Open Sans" w:hAnsi="Open Sans" w:cs="Open Sans"/>
                <w:sz w:val="20"/>
                <w:szCs w:val="20"/>
              </w:rPr>
            </w:pPr>
            <w:r>
              <w:rPr>
                <w:rFonts w:ascii="Open Sans" w:eastAsia="Open Sans" w:hAnsi="Open Sans" w:cs="Open Sans"/>
                <w:b w:val="0"/>
                <w:sz w:val="20"/>
                <w:szCs w:val="20"/>
              </w:rPr>
              <w:t>Andalucía</w:t>
            </w:r>
          </w:p>
        </w:tc>
        <w:tc>
          <w:tcPr>
            <w:tcW w:w="1710" w:type="dxa"/>
            <w:vAlign w:val="bottom"/>
          </w:tcPr>
          <w:p w14:paraId="498F73C0" w14:textId="77777777" w:rsidR="00E474D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Algeciras</w:t>
            </w:r>
          </w:p>
        </w:tc>
        <w:tc>
          <w:tcPr>
            <w:tcW w:w="1465" w:type="dxa"/>
            <w:vAlign w:val="bottom"/>
          </w:tcPr>
          <w:p w14:paraId="1F585C8D"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4,2%</w:t>
            </w:r>
          </w:p>
        </w:tc>
        <w:tc>
          <w:tcPr>
            <w:tcW w:w="1465" w:type="dxa"/>
            <w:vAlign w:val="bottom"/>
          </w:tcPr>
          <w:p w14:paraId="1BE351DC"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5,2%</w:t>
            </w:r>
          </w:p>
        </w:tc>
        <w:tc>
          <w:tcPr>
            <w:tcW w:w="1589" w:type="dxa"/>
            <w:vAlign w:val="bottom"/>
          </w:tcPr>
          <w:p w14:paraId="7AC82715"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color w:val="000000"/>
                <w:sz w:val="20"/>
                <w:szCs w:val="20"/>
              </w:rPr>
              <w:t>7,2%</w:t>
            </w:r>
          </w:p>
        </w:tc>
        <w:tc>
          <w:tcPr>
            <w:tcW w:w="1559" w:type="dxa"/>
            <w:vAlign w:val="bottom"/>
          </w:tcPr>
          <w:p w14:paraId="6B903960"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b/>
                <w:color w:val="000000"/>
                <w:sz w:val="20"/>
                <w:szCs w:val="20"/>
              </w:rPr>
              <w:t>7,8%</w:t>
            </w:r>
          </w:p>
        </w:tc>
      </w:tr>
      <w:tr w:rsidR="00E474DA" w14:paraId="11F20446" w14:textId="77777777" w:rsidTr="00E474DA">
        <w:trPr>
          <w:trHeight w:val="272"/>
        </w:trPr>
        <w:tc>
          <w:tcPr>
            <w:cnfStyle w:val="001000000000" w:firstRow="0" w:lastRow="0" w:firstColumn="1" w:lastColumn="0" w:oddVBand="0" w:evenVBand="0" w:oddHBand="0" w:evenHBand="0" w:firstRowFirstColumn="0" w:firstRowLastColumn="0" w:lastRowFirstColumn="0" w:lastRowLastColumn="0"/>
            <w:tcW w:w="1710" w:type="dxa"/>
            <w:vAlign w:val="bottom"/>
          </w:tcPr>
          <w:p w14:paraId="79AA8D26" w14:textId="77777777" w:rsidR="00E474DA" w:rsidRDefault="00000000">
            <w:pPr>
              <w:rPr>
                <w:rFonts w:ascii="Open Sans" w:eastAsia="Open Sans" w:hAnsi="Open Sans" w:cs="Open Sans"/>
                <w:sz w:val="20"/>
                <w:szCs w:val="20"/>
              </w:rPr>
            </w:pPr>
            <w:r>
              <w:rPr>
                <w:rFonts w:ascii="Open Sans" w:eastAsia="Open Sans" w:hAnsi="Open Sans" w:cs="Open Sans"/>
                <w:b w:val="0"/>
                <w:sz w:val="20"/>
                <w:szCs w:val="20"/>
              </w:rPr>
              <w:t>Andalucía</w:t>
            </w:r>
          </w:p>
        </w:tc>
        <w:tc>
          <w:tcPr>
            <w:tcW w:w="1710" w:type="dxa"/>
            <w:vAlign w:val="bottom"/>
          </w:tcPr>
          <w:p w14:paraId="1EF5DBF3" w14:textId="77777777" w:rsidR="00E474D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Roquetas de Mar</w:t>
            </w:r>
          </w:p>
        </w:tc>
        <w:tc>
          <w:tcPr>
            <w:tcW w:w="1465" w:type="dxa"/>
            <w:vAlign w:val="bottom"/>
          </w:tcPr>
          <w:p w14:paraId="5903B78B"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4,1%</w:t>
            </w:r>
          </w:p>
        </w:tc>
        <w:tc>
          <w:tcPr>
            <w:tcW w:w="1465" w:type="dxa"/>
            <w:vAlign w:val="bottom"/>
          </w:tcPr>
          <w:p w14:paraId="7EA52729"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4,0%</w:t>
            </w:r>
          </w:p>
        </w:tc>
        <w:tc>
          <w:tcPr>
            <w:tcW w:w="1589" w:type="dxa"/>
          </w:tcPr>
          <w:p w14:paraId="20DC3DAB"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color w:val="000000"/>
                <w:sz w:val="20"/>
                <w:szCs w:val="20"/>
              </w:rPr>
              <w:t>-</w:t>
            </w:r>
          </w:p>
        </w:tc>
        <w:tc>
          <w:tcPr>
            <w:tcW w:w="1559" w:type="dxa"/>
            <w:vAlign w:val="bottom"/>
          </w:tcPr>
          <w:p w14:paraId="3C3680A5"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b/>
                <w:color w:val="000000"/>
                <w:sz w:val="20"/>
                <w:szCs w:val="20"/>
              </w:rPr>
              <w:t>7,7%</w:t>
            </w:r>
          </w:p>
        </w:tc>
      </w:tr>
      <w:tr w:rsidR="00E474DA" w14:paraId="413C91AD" w14:textId="77777777" w:rsidTr="00E474D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710" w:type="dxa"/>
            <w:vAlign w:val="bottom"/>
          </w:tcPr>
          <w:p w14:paraId="0C9AAC1A" w14:textId="77777777" w:rsidR="00E474DA" w:rsidRDefault="00000000">
            <w:pPr>
              <w:rPr>
                <w:rFonts w:ascii="Open Sans" w:eastAsia="Open Sans" w:hAnsi="Open Sans" w:cs="Open Sans"/>
                <w:sz w:val="20"/>
                <w:szCs w:val="20"/>
              </w:rPr>
            </w:pPr>
            <w:r>
              <w:rPr>
                <w:rFonts w:ascii="Open Sans" w:eastAsia="Open Sans" w:hAnsi="Open Sans" w:cs="Open Sans"/>
                <w:b w:val="0"/>
                <w:sz w:val="20"/>
                <w:szCs w:val="20"/>
              </w:rPr>
              <w:t>Comunitat Valenciana</w:t>
            </w:r>
          </w:p>
        </w:tc>
        <w:tc>
          <w:tcPr>
            <w:tcW w:w="1710" w:type="dxa"/>
            <w:vAlign w:val="bottom"/>
          </w:tcPr>
          <w:p w14:paraId="24C91D8A" w14:textId="77777777" w:rsidR="00E474D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Sagunto / Sagunt</w:t>
            </w:r>
          </w:p>
        </w:tc>
        <w:tc>
          <w:tcPr>
            <w:tcW w:w="1465" w:type="dxa"/>
            <w:vAlign w:val="bottom"/>
          </w:tcPr>
          <w:p w14:paraId="527F0488"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4,2%</w:t>
            </w:r>
          </w:p>
        </w:tc>
        <w:tc>
          <w:tcPr>
            <w:tcW w:w="1465" w:type="dxa"/>
            <w:vAlign w:val="bottom"/>
          </w:tcPr>
          <w:p w14:paraId="6DDDC798"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4,7%</w:t>
            </w:r>
          </w:p>
        </w:tc>
        <w:tc>
          <w:tcPr>
            <w:tcW w:w="1589" w:type="dxa"/>
            <w:vAlign w:val="bottom"/>
          </w:tcPr>
          <w:p w14:paraId="703F0B86"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color w:val="000000"/>
                <w:sz w:val="20"/>
                <w:szCs w:val="20"/>
              </w:rPr>
              <w:t>5,8%</w:t>
            </w:r>
          </w:p>
        </w:tc>
        <w:tc>
          <w:tcPr>
            <w:tcW w:w="1559" w:type="dxa"/>
            <w:vAlign w:val="bottom"/>
          </w:tcPr>
          <w:p w14:paraId="3DAA16E1"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b/>
                <w:color w:val="000000"/>
                <w:sz w:val="20"/>
                <w:szCs w:val="20"/>
              </w:rPr>
              <w:t>7,5%</w:t>
            </w:r>
          </w:p>
        </w:tc>
      </w:tr>
      <w:tr w:rsidR="00E474DA" w14:paraId="17ED8A65" w14:textId="77777777" w:rsidTr="00E474DA">
        <w:trPr>
          <w:trHeight w:val="272"/>
        </w:trPr>
        <w:tc>
          <w:tcPr>
            <w:cnfStyle w:val="001000000000" w:firstRow="0" w:lastRow="0" w:firstColumn="1" w:lastColumn="0" w:oddVBand="0" w:evenVBand="0" w:oddHBand="0" w:evenHBand="0" w:firstRowFirstColumn="0" w:firstRowLastColumn="0" w:lastRowFirstColumn="0" w:lastRowLastColumn="0"/>
            <w:tcW w:w="1710" w:type="dxa"/>
            <w:vAlign w:val="bottom"/>
          </w:tcPr>
          <w:p w14:paraId="4BAD6ED1" w14:textId="77777777" w:rsidR="00E474DA" w:rsidRDefault="00000000">
            <w:pPr>
              <w:rPr>
                <w:rFonts w:ascii="Open Sans" w:eastAsia="Open Sans" w:hAnsi="Open Sans" w:cs="Open Sans"/>
                <w:sz w:val="20"/>
                <w:szCs w:val="20"/>
              </w:rPr>
            </w:pPr>
            <w:r>
              <w:rPr>
                <w:rFonts w:ascii="Open Sans" w:eastAsia="Open Sans" w:hAnsi="Open Sans" w:cs="Open Sans"/>
                <w:b w:val="0"/>
                <w:sz w:val="20"/>
                <w:szCs w:val="20"/>
              </w:rPr>
              <w:lastRenderedPageBreak/>
              <w:t>Galicia</w:t>
            </w:r>
          </w:p>
        </w:tc>
        <w:tc>
          <w:tcPr>
            <w:tcW w:w="1710" w:type="dxa"/>
            <w:vAlign w:val="bottom"/>
          </w:tcPr>
          <w:p w14:paraId="57812104" w14:textId="77777777" w:rsidR="00E474D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Ferrol</w:t>
            </w:r>
          </w:p>
        </w:tc>
        <w:tc>
          <w:tcPr>
            <w:tcW w:w="1465" w:type="dxa"/>
            <w:vAlign w:val="bottom"/>
          </w:tcPr>
          <w:p w14:paraId="0FDC6F2C"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4,3%</w:t>
            </w:r>
          </w:p>
        </w:tc>
        <w:tc>
          <w:tcPr>
            <w:tcW w:w="1465" w:type="dxa"/>
            <w:vAlign w:val="bottom"/>
          </w:tcPr>
          <w:p w14:paraId="16A1A0DC"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4,8%</w:t>
            </w:r>
          </w:p>
        </w:tc>
        <w:tc>
          <w:tcPr>
            <w:tcW w:w="1589" w:type="dxa"/>
            <w:vAlign w:val="bottom"/>
          </w:tcPr>
          <w:p w14:paraId="51A4E266"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color w:val="000000"/>
                <w:sz w:val="20"/>
                <w:szCs w:val="20"/>
              </w:rPr>
              <w:t>5,2%</w:t>
            </w:r>
          </w:p>
        </w:tc>
        <w:tc>
          <w:tcPr>
            <w:tcW w:w="1559" w:type="dxa"/>
            <w:vAlign w:val="bottom"/>
          </w:tcPr>
          <w:p w14:paraId="3D8E5206"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b/>
                <w:color w:val="000000"/>
                <w:sz w:val="20"/>
                <w:szCs w:val="20"/>
              </w:rPr>
              <w:t>7,5%</w:t>
            </w:r>
          </w:p>
        </w:tc>
      </w:tr>
      <w:tr w:rsidR="00E474DA" w14:paraId="64D26B94" w14:textId="77777777" w:rsidTr="00E474D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710" w:type="dxa"/>
            <w:vAlign w:val="bottom"/>
          </w:tcPr>
          <w:p w14:paraId="0EE312D8" w14:textId="77777777" w:rsidR="00E474DA" w:rsidRDefault="00000000">
            <w:pPr>
              <w:rPr>
                <w:rFonts w:ascii="Open Sans" w:eastAsia="Open Sans" w:hAnsi="Open Sans" w:cs="Open Sans"/>
                <w:sz w:val="20"/>
                <w:szCs w:val="20"/>
              </w:rPr>
            </w:pPr>
            <w:r>
              <w:rPr>
                <w:rFonts w:ascii="Open Sans" w:eastAsia="Open Sans" w:hAnsi="Open Sans" w:cs="Open Sans"/>
                <w:b w:val="0"/>
                <w:sz w:val="20"/>
                <w:szCs w:val="20"/>
              </w:rPr>
              <w:t>Cataluña</w:t>
            </w:r>
          </w:p>
        </w:tc>
        <w:tc>
          <w:tcPr>
            <w:tcW w:w="1710" w:type="dxa"/>
            <w:vAlign w:val="bottom"/>
          </w:tcPr>
          <w:p w14:paraId="3856AD41" w14:textId="77777777" w:rsidR="00E474D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Badalona</w:t>
            </w:r>
          </w:p>
        </w:tc>
        <w:tc>
          <w:tcPr>
            <w:tcW w:w="1465" w:type="dxa"/>
            <w:vAlign w:val="bottom"/>
          </w:tcPr>
          <w:p w14:paraId="704166B6"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3,8%</w:t>
            </w:r>
          </w:p>
        </w:tc>
        <w:tc>
          <w:tcPr>
            <w:tcW w:w="1465" w:type="dxa"/>
            <w:vAlign w:val="bottom"/>
          </w:tcPr>
          <w:p w14:paraId="180E34A1"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4,7%</w:t>
            </w:r>
          </w:p>
        </w:tc>
        <w:tc>
          <w:tcPr>
            <w:tcW w:w="1589" w:type="dxa"/>
            <w:vAlign w:val="bottom"/>
          </w:tcPr>
          <w:p w14:paraId="7405B62A"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color w:val="000000"/>
                <w:sz w:val="20"/>
                <w:szCs w:val="20"/>
              </w:rPr>
              <w:t>6,3%</w:t>
            </w:r>
          </w:p>
        </w:tc>
        <w:tc>
          <w:tcPr>
            <w:tcW w:w="1559" w:type="dxa"/>
            <w:vAlign w:val="bottom"/>
          </w:tcPr>
          <w:p w14:paraId="1A2A5382"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b/>
                <w:color w:val="000000"/>
                <w:sz w:val="20"/>
                <w:szCs w:val="20"/>
              </w:rPr>
              <w:t>7,4%</w:t>
            </w:r>
          </w:p>
        </w:tc>
      </w:tr>
      <w:tr w:rsidR="00E474DA" w14:paraId="5A25D616" w14:textId="77777777" w:rsidTr="00E474DA">
        <w:trPr>
          <w:trHeight w:val="272"/>
        </w:trPr>
        <w:tc>
          <w:tcPr>
            <w:cnfStyle w:val="001000000000" w:firstRow="0" w:lastRow="0" w:firstColumn="1" w:lastColumn="0" w:oddVBand="0" w:evenVBand="0" w:oddHBand="0" w:evenHBand="0" w:firstRowFirstColumn="0" w:firstRowLastColumn="0" w:lastRowFirstColumn="0" w:lastRowLastColumn="0"/>
            <w:tcW w:w="1710" w:type="dxa"/>
            <w:vAlign w:val="bottom"/>
          </w:tcPr>
          <w:p w14:paraId="7776064C" w14:textId="77777777" w:rsidR="00E474DA" w:rsidRDefault="00000000">
            <w:pPr>
              <w:rPr>
                <w:rFonts w:ascii="Open Sans" w:eastAsia="Open Sans" w:hAnsi="Open Sans" w:cs="Open Sans"/>
                <w:sz w:val="20"/>
                <w:szCs w:val="20"/>
              </w:rPr>
            </w:pPr>
            <w:r>
              <w:rPr>
                <w:rFonts w:ascii="Open Sans" w:eastAsia="Open Sans" w:hAnsi="Open Sans" w:cs="Open Sans"/>
                <w:b w:val="0"/>
                <w:sz w:val="20"/>
                <w:szCs w:val="20"/>
              </w:rPr>
              <w:t>Galicia</w:t>
            </w:r>
          </w:p>
        </w:tc>
        <w:tc>
          <w:tcPr>
            <w:tcW w:w="1710" w:type="dxa"/>
            <w:vAlign w:val="bottom"/>
          </w:tcPr>
          <w:p w14:paraId="05DC8348" w14:textId="77777777" w:rsidR="00E474D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Narón</w:t>
            </w:r>
          </w:p>
        </w:tc>
        <w:tc>
          <w:tcPr>
            <w:tcW w:w="1465" w:type="dxa"/>
          </w:tcPr>
          <w:p w14:paraId="77A50365"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w:t>
            </w:r>
          </w:p>
        </w:tc>
        <w:tc>
          <w:tcPr>
            <w:tcW w:w="1465" w:type="dxa"/>
          </w:tcPr>
          <w:p w14:paraId="10803A46"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w:t>
            </w:r>
          </w:p>
        </w:tc>
        <w:tc>
          <w:tcPr>
            <w:tcW w:w="1589" w:type="dxa"/>
            <w:vAlign w:val="bottom"/>
          </w:tcPr>
          <w:p w14:paraId="22483738"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color w:val="000000"/>
                <w:sz w:val="20"/>
                <w:szCs w:val="20"/>
              </w:rPr>
              <w:t>4,8%</w:t>
            </w:r>
          </w:p>
        </w:tc>
        <w:tc>
          <w:tcPr>
            <w:tcW w:w="1559" w:type="dxa"/>
            <w:vAlign w:val="bottom"/>
          </w:tcPr>
          <w:p w14:paraId="477B2421"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b/>
                <w:color w:val="000000"/>
                <w:sz w:val="20"/>
                <w:szCs w:val="20"/>
              </w:rPr>
              <w:t>7,4%</w:t>
            </w:r>
          </w:p>
        </w:tc>
      </w:tr>
      <w:tr w:rsidR="00E474DA" w14:paraId="1255D0F2" w14:textId="77777777" w:rsidTr="00E474D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710" w:type="dxa"/>
            <w:vAlign w:val="bottom"/>
          </w:tcPr>
          <w:p w14:paraId="7892EA7F" w14:textId="77777777" w:rsidR="00E474DA" w:rsidRDefault="00000000">
            <w:pPr>
              <w:rPr>
                <w:rFonts w:ascii="Open Sans" w:eastAsia="Open Sans" w:hAnsi="Open Sans" w:cs="Open Sans"/>
                <w:sz w:val="20"/>
                <w:szCs w:val="20"/>
              </w:rPr>
            </w:pPr>
            <w:r>
              <w:rPr>
                <w:rFonts w:ascii="Open Sans" w:eastAsia="Open Sans" w:hAnsi="Open Sans" w:cs="Open Sans"/>
                <w:b w:val="0"/>
                <w:sz w:val="20"/>
                <w:szCs w:val="20"/>
              </w:rPr>
              <w:t>Región de Murcia</w:t>
            </w:r>
          </w:p>
        </w:tc>
        <w:tc>
          <w:tcPr>
            <w:tcW w:w="1710" w:type="dxa"/>
            <w:vAlign w:val="bottom"/>
          </w:tcPr>
          <w:p w14:paraId="373B088B" w14:textId="77777777" w:rsidR="00E474D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Cartagena</w:t>
            </w:r>
          </w:p>
        </w:tc>
        <w:tc>
          <w:tcPr>
            <w:tcW w:w="1465" w:type="dxa"/>
            <w:vAlign w:val="bottom"/>
          </w:tcPr>
          <w:p w14:paraId="6EC38074"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4,4%</w:t>
            </w:r>
          </w:p>
        </w:tc>
        <w:tc>
          <w:tcPr>
            <w:tcW w:w="1465" w:type="dxa"/>
            <w:vAlign w:val="bottom"/>
          </w:tcPr>
          <w:p w14:paraId="5D23D8AD"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4,7%</w:t>
            </w:r>
          </w:p>
        </w:tc>
        <w:tc>
          <w:tcPr>
            <w:tcW w:w="1589" w:type="dxa"/>
            <w:vAlign w:val="bottom"/>
          </w:tcPr>
          <w:p w14:paraId="433C4C79"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color w:val="000000"/>
                <w:sz w:val="20"/>
                <w:szCs w:val="20"/>
              </w:rPr>
              <w:t>6,1%</w:t>
            </w:r>
          </w:p>
        </w:tc>
        <w:tc>
          <w:tcPr>
            <w:tcW w:w="1559" w:type="dxa"/>
            <w:vAlign w:val="bottom"/>
          </w:tcPr>
          <w:p w14:paraId="7B4E9FCF"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b/>
                <w:color w:val="000000"/>
                <w:sz w:val="20"/>
                <w:szCs w:val="20"/>
              </w:rPr>
              <w:t>7,4%</w:t>
            </w:r>
          </w:p>
        </w:tc>
      </w:tr>
      <w:tr w:rsidR="00E474DA" w14:paraId="28A78F40" w14:textId="77777777" w:rsidTr="00E474DA">
        <w:trPr>
          <w:trHeight w:val="272"/>
        </w:trPr>
        <w:tc>
          <w:tcPr>
            <w:cnfStyle w:val="001000000000" w:firstRow="0" w:lastRow="0" w:firstColumn="1" w:lastColumn="0" w:oddVBand="0" w:evenVBand="0" w:oddHBand="0" w:evenHBand="0" w:firstRowFirstColumn="0" w:firstRowLastColumn="0" w:lastRowFirstColumn="0" w:lastRowLastColumn="0"/>
            <w:tcW w:w="1710" w:type="dxa"/>
            <w:vAlign w:val="bottom"/>
          </w:tcPr>
          <w:p w14:paraId="013D9A6D" w14:textId="77777777" w:rsidR="00E474DA" w:rsidRDefault="00000000">
            <w:pPr>
              <w:rPr>
                <w:rFonts w:ascii="Open Sans" w:eastAsia="Open Sans" w:hAnsi="Open Sans" w:cs="Open Sans"/>
                <w:sz w:val="20"/>
                <w:szCs w:val="20"/>
              </w:rPr>
            </w:pPr>
            <w:r>
              <w:rPr>
                <w:rFonts w:ascii="Open Sans" w:eastAsia="Open Sans" w:hAnsi="Open Sans" w:cs="Open Sans"/>
                <w:b w:val="0"/>
                <w:sz w:val="20"/>
                <w:szCs w:val="20"/>
              </w:rPr>
              <w:t>Cataluña</w:t>
            </w:r>
          </w:p>
        </w:tc>
        <w:tc>
          <w:tcPr>
            <w:tcW w:w="1710" w:type="dxa"/>
            <w:vAlign w:val="bottom"/>
          </w:tcPr>
          <w:p w14:paraId="3359F827" w14:textId="77777777" w:rsidR="00E474D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Tarragona Capital</w:t>
            </w:r>
          </w:p>
        </w:tc>
        <w:tc>
          <w:tcPr>
            <w:tcW w:w="1465" w:type="dxa"/>
            <w:vAlign w:val="bottom"/>
          </w:tcPr>
          <w:p w14:paraId="1D91BE9F"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3,7%</w:t>
            </w:r>
          </w:p>
        </w:tc>
        <w:tc>
          <w:tcPr>
            <w:tcW w:w="1465" w:type="dxa"/>
            <w:vAlign w:val="bottom"/>
          </w:tcPr>
          <w:p w14:paraId="7B4A9F8E"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4,9%</w:t>
            </w:r>
          </w:p>
        </w:tc>
        <w:tc>
          <w:tcPr>
            <w:tcW w:w="1589" w:type="dxa"/>
            <w:vAlign w:val="bottom"/>
          </w:tcPr>
          <w:p w14:paraId="78D7FF35"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color w:val="000000"/>
                <w:sz w:val="20"/>
                <w:szCs w:val="20"/>
              </w:rPr>
              <w:t>6,2%</w:t>
            </w:r>
          </w:p>
        </w:tc>
        <w:tc>
          <w:tcPr>
            <w:tcW w:w="1559" w:type="dxa"/>
            <w:vAlign w:val="bottom"/>
          </w:tcPr>
          <w:p w14:paraId="11669D27"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b/>
                <w:color w:val="000000"/>
                <w:sz w:val="20"/>
                <w:szCs w:val="20"/>
              </w:rPr>
              <w:t>7,3%</w:t>
            </w:r>
          </w:p>
        </w:tc>
      </w:tr>
      <w:tr w:rsidR="00E474DA" w14:paraId="09A5A77B" w14:textId="77777777" w:rsidTr="00E474D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710" w:type="dxa"/>
            <w:vAlign w:val="bottom"/>
          </w:tcPr>
          <w:p w14:paraId="3F2F58ED" w14:textId="77777777" w:rsidR="00E474DA" w:rsidRDefault="00000000">
            <w:pPr>
              <w:rPr>
                <w:rFonts w:ascii="Open Sans" w:eastAsia="Open Sans" w:hAnsi="Open Sans" w:cs="Open Sans"/>
                <w:sz w:val="20"/>
                <w:szCs w:val="20"/>
              </w:rPr>
            </w:pPr>
            <w:r>
              <w:rPr>
                <w:rFonts w:ascii="Open Sans" w:eastAsia="Open Sans" w:hAnsi="Open Sans" w:cs="Open Sans"/>
                <w:b w:val="0"/>
                <w:sz w:val="20"/>
                <w:szCs w:val="20"/>
              </w:rPr>
              <w:t>Comunitat Valenciana</w:t>
            </w:r>
          </w:p>
        </w:tc>
        <w:tc>
          <w:tcPr>
            <w:tcW w:w="1710" w:type="dxa"/>
            <w:vAlign w:val="bottom"/>
          </w:tcPr>
          <w:p w14:paraId="16734B4D" w14:textId="77777777" w:rsidR="00E474D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Benidorm</w:t>
            </w:r>
          </w:p>
        </w:tc>
        <w:tc>
          <w:tcPr>
            <w:tcW w:w="1465" w:type="dxa"/>
            <w:vAlign w:val="bottom"/>
          </w:tcPr>
          <w:p w14:paraId="601C7C39"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3,6%</w:t>
            </w:r>
          </w:p>
        </w:tc>
        <w:tc>
          <w:tcPr>
            <w:tcW w:w="1465" w:type="dxa"/>
            <w:vAlign w:val="bottom"/>
          </w:tcPr>
          <w:p w14:paraId="3FD679D6"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4,6%</w:t>
            </w:r>
          </w:p>
        </w:tc>
        <w:tc>
          <w:tcPr>
            <w:tcW w:w="1589" w:type="dxa"/>
            <w:vAlign w:val="bottom"/>
          </w:tcPr>
          <w:p w14:paraId="220CEC7F"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color w:val="000000"/>
                <w:sz w:val="20"/>
                <w:szCs w:val="20"/>
              </w:rPr>
              <w:t>5,6%</w:t>
            </w:r>
          </w:p>
        </w:tc>
        <w:tc>
          <w:tcPr>
            <w:tcW w:w="1559" w:type="dxa"/>
            <w:vAlign w:val="bottom"/>
          </w:tcPr>
          <w:p w14:paraId="64D9913C"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b/>
                <w:color w:val="000000"/>
                <w:sz w:val="20"/>
                <w:szCs w:val="20"/>
              </w:rPr>
              <w:t>7,3%</w:t>
            </w:r>
          </w:p>
        </w:tc>
      </w:tr>
      <w:tr w:rsidR="00E474DA" w14:paraId="7C6B7504" w14:textId="77777777" w:rsidTr="00E474DA">
        <w:trPr>
          <w:trHeight w:val="272"/>
        </w:trPr>
        <w:tc>
          <w:tcPr>
            <w:cnfStyle w:val="001000000000" w:firstRow="0" w:lastRow="0" w:firstColumn="1" w:lastColumn="0" w:oddVBand="0" w:evenVBand="0" w:oddHBand="0" w:evenHBand="0" w:firstRowFirstColumn="0" w:firstRowLastColumn="0" w:lastRowFirstColumn="0" w:lastRowLastColumn="0"/>
            <w:tcW w:w="1710" w:type="dxa"/>
            <w:vAlign w:val="bottom"/>
          </w:tcPr>
          <w:p w14:paraId="3316D6C0" w14:textId="77777777" w:rsidR="00E474DA" w:rsidRDefault="00000000">
            <w:pPr>
              <w:rPr>
                <w:rFonts w:ascii="Open Sans" w:eastAsia="Open Sans" w:hAnsi="Open Sans" w:cs="Open Sans"/>
                <w:sz w:val="20"/>
                <w:szCs w:val="20"/>
              </w:rPr>
            </w:pPr>
            <w:r>
              <w:rPr>
                <w:rFonts w:ascii="Open Sans" w:eastAsia="Open Sans" w:hAnsi="Open Sans" w:cs="Open Sans"/>
                <w:b w:val="0"/>
                <w:sz w:val="20"/>
                <w:szCs w:val="20"/>
              </w:rPr>
              <w:t>Comunitat Valenciana</w:t>
            </w:r>
          </w:p>
        </w:tc>
        <w:tc>
          <w:tcPr>
            <w:tcW w:w="1710" w:type="dxa"/>
            <w:vAlign w:val="bottom"/>
          </w:tcPr>
          <w:p w14:paraId="0E395F04" w14:textId="77777777" w:rsidR="00E474D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Alicante / Alacant</w:t>
            </w:r>
          </w:p>
        </w:tc>
        <w:tc>
          <w:tcPr>
            <w:tcW w:w="1465" w:type="dxa"/>
            <w:vAlign w:val="bottom"/>
          </w:tcPr>
          <w:p w14:paraId="49FED912"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4,1%</w:t>
            </w:r>
          </w:p>
        </w:tc>
        <w:tc>
          <w:tcPr>
            <w:tcW w:w="1465" w:type="dxa"/>
            <w:vAlign w:val="bottom"/>
          </w:tcPr>
          <w:p w14:paraId="50DA5F5B"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4,2%</w:t>
            </w:r>
          </w:p>
        </w:tc>
        <w:tc>
          <w:tcPr>
            <w:tcW w:w="1589" w:type="dxa"/>
            <w:vAlign w:val="bottom"/>
          </w:tcPr>
          <w:p w14:paraId="6488FB66"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color w:val="000000"/>
                <w:sz w:val="20"/>
                <w:szCs w:val="20"/>
              </w:rPr>
              <w:t>6,3%</w:t>
            </w:r>
          </w:p>
        </w:tc>
        <w:tc>
          <w:tcPr>
            <w:tcW w:w="1559" w:type="dxa"/>
            <w:vAlign w:val="bottom"/>
          </w:tcPr>
          <w:p w14:paraId="762173FC"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b/>
                <w:color w:val="000000"/>
                <w:sz w:val="20"/>
                <w:szCs w:val="20"/>
              </w:rPr>
              <w:t>6,9%</w:t>
            </w:r>
          </w:p>
        </w:tc>
      </w:tr>
      <w:tr w:rsidR="00E474DA" w14:paraId="1A4CEE85" w14:textId="77777777" w:rsidTr="00E474D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710" w:type="dxa"/>
            <w:vAlign w:val="bottom"/>
          </w:tcPr>
          <w:p w14:paraId="41751F00" w14:textId="77777777" w:rsidR="00E474DA" w:rsidRDefault="00000000">
            <w:pPr>
              <w:rPr>
                <w:rFonts w:ascii="Open Sans" w:eastAsia="Open Sans" w:hAnsi="Open Sans" w:cs="Open Sans"/>
                <w:sz w:val="20"/>
                <w:szCs w:val="20"/>
              </w:rPr>
            </w:pPr>
            <w:r>
              <w:rPr>
                <w:rFonts w:ascii="Open Sans" w:eastAsia="Open Sans" w:hAnsi="Open Sans" w:cs="Open Sans"/>
                <w:b w:val="0"/>
                <w:sz w:val="20"/>
                <w:szCs w:val="20"/>
              </w:rPr>
              <w:t>Canarias</w:t>
            </w:r>
          </w:p>
        </w:tc>
        <w:tc>
          <w:tcPr>
            <w:tcW w:w="1710" w:type="dxa"/>
            <w:vAlign w:val="bottom"/>
          </w:tcPr>
          <w:p w14:paraId="45332947" w14:textId="77777777" w:rsidR="00E474D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Las Palmas de Gran Canaria</w:t>
            </w:r>
          </w:p>
        </w:tc>
        <w:tc>
          <w:tcPr>
            <w:tcW w:w="1465" w:type="dxa"/>
            <w:vAlign w:val="bottom"/>
          </w:tcPr>
          <w:p w14:paraId="56C3604F"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4,1%</w:t>
            </w:r>
          </w:p>
        </w:tc>
        <w:tc>
          <w:tcPr>
            <w:tcW w:w="1465" w:type="dxa"/>
            <w:vAlign w:val="bottom"/>
          </w:tcPr>
          <w:p w14:paraId="20529689"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4,7%</w:t>
            </w:r>
          </w:p>
        </w:tc>
        <w:tc>
          <w:tcPr>
            <w:tcW w:w="1589" w:type="dxa"/>
            <w:vAlign w:val="bottom"/>
          </w:tcPr>
          <w:p w14:paraId="1B65C576"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color w:val="000000"/>
                <w:sz w:val="20"/>
                <w:szCs w:val="20"/>
              </w:rPr>
              <w:t>7,0%</w:t>
            </w:r>
          </w:p>
        </w:tc>
        <w:tc>
          <w:tcPr>
            <w:tcW w:w="1559" w:type="dxa"/>
            <w:vAlign w:val="bottom"/>
          </w:tcPr>
          <w:p w14:paraId="2A55027B"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b/>
                <w:color w:val="000000"/>
                <w:sz w:val="20"/>
                <w:szCs w:val="20"/>
              </w:rPr>
              <w:t>6,8%</w:t>
            </w:r>
          </w:p>
        </w:tc>
      </w:tr>
      <w:tr w:rsidR="00E474DA" w14:paraId="35AF6215" w14:textId="77777777" w:rsidTr="00E474DA">
        <w:trPr>
          <w:trHeight w:val="272"/>
        </w:trPr>
        <w:tc>
          <w:tcPr>
            <w:cnfStyle w:val="001000000000" w:firstRow="0" w:lastRow="0" w:firstColumn="1" w:lastColumn="0" w:oddVBand="0" w:evenVBand="0" w:oddHBand="0" w:evenHBand="0" w:firstRowFirstColumn="0" w:firstRowLastColumn="0" w:lastRowFirstColumn="0" w:lastRowLastColumn="0"/>
            <w:tcW w:w="1710" w:type="dxa"/>
            <w:vAlign w:val="bottom"/>
          </w:tcPr>
          <w:p w14:paraId="146722E2" w14:textId="77777777" w:rsidR="00E474DA" w:rsidRDefault="00000000">
            <w:pPr>
              <w:rPr>
                <w:rFonts w:ascii="Open Sans" w:eastAsia="Open Sans" w:hAnsi="Open Sans" w:cs="Open Sans"/>
                <w:sz w:val="20"/>
                <w:szCs w:val="20"/>
              </w:rPr>
            </w:pPr>
            <w:r>
              <w:rPr>
                <w:rFonts w:ascii="Open Sans" w:eastAsia="Open Sans" w:hAnsi="Open Sans" w:cs="Open Sans"/>
                <w:b w:val="0"/>
                <w:sz w:val="20"/>
                <w:szCs w:val="20"/>
              </w:rPr>
              <w:t>Comunitat Valenciana</w:t>
            </w:r>
          </w:p>
        </w:tc>
        <w:tc>
          <w:tcPr>
            <w:tcW w:w="1710" w:type="dxa"/>
            <w:vAlign w:val="bottom"/>
          </w:tcPr>
          <w:p w14:paraId="53B20547" w14:textId="77777777" w:rsidR="00E474D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Torrevieja</w:t>
            </w:r>
          </w:p>
        </w:tc>
        <w:tc>
          <w:tcPr>
            <w:tcW w:w="1465" w:type="dxa"/>
            <w:vAlign w:val="bottom"/>
          </w:tcPr>
          <w:p w14:paraId="6F815213"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4,6%</w:t>
            </w:r>
          </w:p>
        </w:tc>
        <w:tc>
          <w:tcPr>
            <w:tcW w:w="1465" w:type="dxa"/>
            <w:vAlign w:val="bottom"/>
          </w:tcPr>
          <w:p w14:paraId="4F36A893"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5,4%</w:t>
            </w:r>
          </w:p>
        </w:tc>
        <w:tc>
          <w:tcPr>
            <w:tcW w:w="1589" w:type="dxa"/>
            <w:vAlign w:val="bottom"/>
          </w:tcPr>
          <w:p w14:paraId="7EEDEB09"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color w:val="000000"/>
                <w:sz w:val="20"/>
                <w:szCs w:val="20"/>
              </w:rPr>
              <w:t>6,5%</w:t>
            </w:r>
          </w:p>
        </w:tc>
        <w:tc>
          <w:tcPr>
            <w:tcW w:w="1559" w:type="dxa"/>
            <w:vAlign w:val="bottom"/>
          </w:tcPr>
          <w:p w14:paraId="085EBE18"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b/>
                <w:color w:val="000000"/>
                <w:sz w:val="20"/>
                <w:szCs w:val="20"/>
              </w:rPr>
              <w:t>6,7%</w:t>
            </w:r>
          </w:p>
        </w:tc>
      </w:tr>
      <w:tr w:rsidR="00E474DA" w14:paraId="1FAA8D35" w14:textId="77777777" w:rsidTr="00E474D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710" w:type="dxa"/>
            <w:vAlign w:val="bottom"/>
          </w:tcPr>
          <w:p w14:paraId="24527E6C" w14:textId="77777777" w:rsidR="00E474DA" w:rsidRDefault="00000000">
            <w:pPr>
              <w:rPr>
                <w:rFonts w:ascii="Open Sans" w:eastAsia="Open Sans" w:hAnsi="Open Sans" w:cs="Open Sans"/>
                <w:sz w:val="20"/>
                <w:szCs w:val="20"/>
              </w:rPr>
            </w:pPr>
            <w:r>
              <w:rPr>
                <w:rFonts w:ascii="Open Sans" w:eastAsia="Open Sans" w:hAnsi="Open Sans" w:cs="Open Sans"/>
                <w:b w:val="0"/>
                <w:sz w:val="20"/>
                <w:szCs w:val="20"/>
              </w:rPr>
              <w:t>Andalucía</w:t>
            </w:r>
          </w:p>
        </w:tc>
        <w:tc>
          <w:tcPr>
            <w:tcW w:w="1710" w:type="dxa"/>
            <w:vAlign w:val="bottom"/>
          </w:tcPr>
          <w:p w14:paraId="0BC8B0F5" w14:textId="77777777" w:rsidR="00E474D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Almería Capital</w:t>
            </w:r>
          </w:p>
        </w:tc>
        <w:tc>
          <w:tcPr>
            <w:tcW w:w="1465" w:type="dxa"/>
            <w:vAlign w:val="bottom"/>
          </w:tcPr>
          <w:p w14:paraId="2D395191"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4,0%</w:t>
            </w:r>
          </w:p>
        </w:tc>
        <w:tc>
          <w:tcPr>
            <w:tcW w:w="1465" w:type="dxa"/>
            <w:vAlign w:val="bottom"/>
          </w:tcPr>
          <w:p w14:paraId="0AFAE1C0"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4,1%</w:t>
            </w:r>
          </w:p>
        </w:tc>
        <w:tc>
          <w:tcPr>
            <w:tcW w:w="1589" w:type="dxa"/>
            <w:vAlign w:val="bottom"/>
          </w:tcPr>
          <w:p w14:paraId="55B32D75"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color w:val="000000"/>
                <w:sz w:val="20"/>
                <w:szCs w:val="20"/>
              </w:rPr>
              <w:t>5,7%</w:t>
            </w:r>
          </w:p>
        </w:tc>
        <w:tc>
          <w:tcPr>
            <w:tcW w:w="1559" w:type="dxa"/>
            <w:vAlign w:val="bottom"/>
          </w:tcPr>
          <w:p w14:paraId="55E3CFDF"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b/>
                <w:color w:val="000000"/>
                <w:sz w:val="20"/>
                <w:szCs w:val="20"/>
              </w:rPr>
              <w:t>6,7%</w:t>
            </w:r>
          </w:p>
        </w:tc>
      </w:tr>
      <w:tr w:rsidR="00E474DA" w14:paraId="05E9CA51" w14:textId="77777777" w:rsidTr="00E474DA">
        <w:trPr>
          <w:trHeight w:val="272"/>
        </w:trPr>
        <w:tc>
          <w:tcPr>
            <w:cnfStyle w:val="001000000000" w:firstRow="0" w:lastRow="0" w:firstColumn="1" w:lastColumn="0" w:oddVBand="0" w:evenVBand="0" w:oddHBand="0" w:evenHBand="0" w:firstRowFirstColumn="0" w:firstRowLastColumn="0" w:lastRowFirstColumn="0" w:lastRowLastColumn="0"/>
            <w:tcW w:w="1710" w:type="dxa"/>
            <w:vAlign w:val="bottom"/>
          </w:tcPr>
          <w:p w14:paraId="6CF7F302" w14:textId="77777777" w:rsidR="00E474DA" w:rsidRDefault="00000000">
            <w:pPr>
              <w:rPr>
                <w:rFonts w:ascii="Open Sans" w:eastAsia="Open Sans" w:hAnsi="Open Sans" w:cs="Open Sans"/>
                <w:sz w:val="20"/>
                <w:szCs w:val="20"/>
              </w:rPr>
            </w:pPr>
            <w:r>
              <w:rPr>
                <w:rFonts w:ascii="Open Sans" w:eastAsia="Open Sans" w:hAnsi="Open Sans" w:cs="Open Sans"/>
                <w:b w:val="0"/>
                <w:sz w:val="20"/>
                <w:szCs w:val="20"/>
              </w:rPr>
              <w:t>Asturias</w:t>
            </w:r>
          </w:p>
        </w:tc>
        <w:tc>
          <w:tcPr>
            <w:tcW w:w="1710" w:type="dxa"/>
            <w:vAlign w:val="bottom"/>
          </w:tcPr>
          <w:p w14:paraId="7F327BE0" w14:textId="77777777" w:rsidR="00E474D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Avilés</w:t>
            </w:r>
          </w:p>
        </w:tc>
        <w:tc>
          <w:tcPr>
            <w:tcW w:w="1465" w:type="dxa"/>
          </w:tcPr>
          <w:p w14:paraId="4EC72CCC"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w:t>
            </w:r>
          </w:p>
        </w:tc>
        <w:tc>
          <w:tcPr>
            <w:tcW w:w="1465" w:type="dxa"/>
          </w:tcPr>
          <w:p w14:paraId="4A0E61A7"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w:t>
            </w:r>
          </w:p>
        </w:tc>
        <w:tc>
          <w:tcPr>
            <w:tcW w:w="1589" w:type="dxa"/>
            <w:vAlign w:val="bottom"/>
          </w:tcPr>
          <w:p w14:paraId="24C531D1"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color w:val="000000"/>
                <w:sz w:val="20"/>
                <w:szCs w:val="20"/>
              </w:rPr>
              <w:t>5,2%</w:t>
            </w:r>
          </w:p>
        </w:tc>
        <w:tc>
          <w:tcPr>
            <w:tcW w:w="1559" w:type="dxa"/>
            <w:vAlign w:val="bottom"/>
          </w:tcPr>
          <w:p w14:paraId="3C14D2DA"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b/>
                <w:color w:val="000000"/>
                <w:sz w:val="20"/>
                <w:szCs w:val="20"/>
              </w:rPr>
              <w:t>6,6%</w:t>
            </w:r>
          </w:p>
        </w:tc>
      </w:tr>
      <w:tr w:rsidR="00E474DA" w14:paraId="06E810BB" w14:textId="77777777" w:rsidTr="00E474D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710" w:type="dxa"/>
            <w:vAlign w:val="bottom"/>
          </w:tcPr>
          <w:p w14:paraId="75034616" w14:textId="77777777" w:rsidR="00E474DA" w:rsidRDefault="00000000">
            <w:pPr>
              <w:rPr>
                <w:rFonts w:ascii="Open Sans" w:eastAsia="Open Sans" w:hAnsi="Open Sans" w:cs="Open Sans"/>
                <w:sz w:val="20"/>
                <w:szCs w:val="20"/>
              </w:rPr>
            </w:pPr>
            <w:r>
              <w:rPr>
                <w:rFonts w:ascii="Open Sans" w:eastAsia="Open Sans" w:hAnsi="Open Sans" w:cs="Open Sans"/>
                <w:b w:val="0"/>
                <w:sz w:val="20"/>
                <w:szCs w:val="20"/>
              </w:rPr>
              <w:t>Canarias</w:t>
            </w:r>
          </w:p>
        </w:tc>
        <w:tc>
          <w:tcPr>
            <w:tcW w:w="1710" w:type="dxa"/>
            <w:vAlign w:val="bottom"/>
          </w:tcPr>
          <w:p w14:paraId="19A4B0D5" w14:textId="77777777" w:rsidR="00E474D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Puerto de la Cruz</w:t>
            </w:r>
          </w:p>
        </w:tc>
        <w:tc>
          <w:tcPr>
            <w:tcW w:w="1465" w:type="dxa"/>
          </w:tcPr>
          <w:p w14:paraId="5E209226"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w:t>
            </w:r>
          </w:p>
        </w:tc>
        <w:tc>
          <w:tcPr>
            <w:tcW w:w="1465" w:type="dxa"/>
          </w:tcPr>
          <w:p w14:paraId="2293B38B"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w:t>
            </w:r>
          </w:p>
        </w:tc>
        <w:tc>
          <w:tcPr>
            <w:tcW w:w="1589" w:type="dxa"/>
          </w:tcPr>
          <w:p w14:paraId="175B9904"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color w:val="000000"/>
                <w:sz w:val="20"/>
                <w:szCs w:val="20"/>
              </w:rPr>
              <w:t>-</w:t>
            </w:r>
          </w:p>
        </w:tc>
        <w:tc>
          <w:tcPr>
            <w:tcW w:w="1559" w:type="dxa"/>
            <w:vAlign w:val="bottom"/>
          </w:tcPr>
          <w:p w14:paraId="3009E6CD"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b/>
                <w:color w:val="000000"/>
                <w:sz w:val="20"/>
                <w:szCs w:val="20"/>
              </w:rPr>
              <w:t>6,6%</w:t>
            </w:r>
          </w:p>
        </w:tc>
      </w:tr>
      <w:tr w:rsidR="00E474DA" w14:paraId="083CC3B5" w14:textId="77777777" w:rsidTr="00E474DA">
        <w:trPr>
          <w:trHeight w:val="272"/>
        </w:trPr>
        <w:tc>
          <w:tcPr>
            <w:cnfStyle w:val="001000000000" w:firstRow="0" w:lastRow="0" w:firstColumn="1" w:lastColumn="0" w:oddVBand="0" w:evenVBand="0" w:oddHBand="0" w:evenHBand="0" w:firstRowFirstColumn="0" w:firstRowLastColumn="0" w:lastRowFirstColumn="0" w:lastRowLastColumn="0"/>
            <w:tcW w:w="1710" w:type="dxa"/>
            <w:vAlign w:val="bottom"/>
          </w:tcPr>
          <w:p w14:paraId="0FD689A3" w14:textId="77777777" w:rsidR="00E474DA" w:rsidRDefault="00000000">
            <w:pPr>
              <w:rPr>
                <w:rFonts w:ascii="Open Sans" w:eastAsia="Open Sans" w:hAnsi="Open Sans" w:cs="Open Sans"/>
                <w:sz w:val="20"/>
                <w:szCs w:val="20"/>
              </w:rPr>
            </w:pPr>
            <w:r>
              <w:rPr>
                <w:rFonts w:ascii="Open Sans" w:eastAsia="Open Sans" w:hAnsi="Open Sans" w:cs="Open Sans"/>
                <w:b w:val="0"/>
                <w:sz w:val="20"/>
                <w:szCs w:val="20"/>
              </w:rPr>
              <w:t>Comunitat Valenciana</w:t>
            </w:r>
          </w:p>
        </w:tc>
        <w:tc>
          <w:tcPr>
            <w:tcW w:w="1710" w:type="dxa"/>
            <w:vAlign w:val="bottom"/>
          </w:tcPr>
          <w:p w14:paraId="346AF26E" w14:textId="77777777" w:rsidR="00E474D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Elche / Elx</w:t>
            </w:r>
          </w:p>
        </w:tc>
        <w:tc>
          <w:tcPr>
            <w:tcW w:w="1465" w:type="dxa"/>
            <w:vAlign w:val="bottom"/>
          </w:tcPr>
          <w:p w14:paraId="05E332FE"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4,0%</w:t>
            </w:r>
          </w:p>
        </w:tc>
        <w:tc>
          <w:tcPr>
            <w:tcW w:w="1465" w:type="dxa"/>
            <w:vAlign w:val="bottom"/>
          </w:tcPr>
          <w:p w14:paraId="7827E342"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4,5%</w:t>
            </w:r>
          </w:p>
        </w:tc>
        <w:tc>
          <w:tcPr>
            <w:tcW w:w="1589" w:type="dxa"/>
            <w:vAlign w:val="bottom"/>
          </w:tcPr>
          <w:p w14:paraId="2D464287"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color w:val="000000"/>
                <w:sz w:val="20"/>
                <w:szCs w:val="20"/>
              </w:rPr>
              <w:t>5,7%</w:t>
            </w:r>
          </w:p>
        </w:tc>
        <w:tc>
          <w:tcPr>
            <w:tcW w:w="1559" w:type="dxa"/>
            <w:vAlign w:val="bottom"/>
          </w:tcPr>
          <w:p w14:paraId="7B731014"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b/>
                <w:color w:val="000000"/>
                <w:sz w:val="20"/>
                <w:szCs w:val="20"/>
              </w:rPr>
              <w:t>6,6%</w:t>
            </w:r>
          </w:p>
        </w:tc>
      </w:tr>
      <w:tr w:rsidR="00E474DA" w14:paraId="2C7FADA2" w14:textId="77777777" w:rsidTr="00E474D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710" w:type="dxa"/>
            <w:shd w:val="clear" w:color="auto" w:fill="FFC000"/>
            <w:vAlign w:val="bottom"/>
          </w:tcPr>
          <w:p w14:paraId="1E2CB4B9" w14:textId="77777777" w:rsidR="00E474DA"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España</w:t>
            </w:r>
          </w:p>
        </w:tc>
        <w:tc>
          <w:tcPr>
            <w:tcW w:w="1710" w:type="dxa"/>
            <w:shd w:val="clear" w:color="auto" w:fill="FFC000"/>
            <w:vAlign w:val="bottom"/>
          </w:tcPr>
          <w:p w14:paraId="341DD900" w14:textId="77777777" w:rsidR="00E474D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b/>
                <w:sz w:val="20"/>
                <w:szCs w:val="20"/>
              </w:rPr>
              <w:t>España</w:t>
            </w:r>
          </w:p>
        </w:tc>
        <w:tc>
          <w:tcPr>
            <w:tcW w:w="1465" w:type="dxa"/>
            <w:shd w:val="clear" w:color="auto" w:fill="FFC000"/>
            <w:vAlign w:val="bottom"/>
          </w:tcPr>
          <w:p w14:paraId="781AACE3"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b/>
                <w:sz w:val="20"/>
                <w:szCs w:val="20"/>
              </w:rPr>
              <w:t>4,2%</w:t>
            </w:r>
          </w:p>
        </w:tc>
        <w:tc>
          <w:tcPr>
            <w:tcW w:w="1465" w:type="dxa"/>
            <w:shd w:val="clear" w:color="auto" w:fill="FFC000"/>
            <w:vAlign w:val="bottom"/>
          </w:tcPr>
          <w:p w14:paraId="32678324"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b/>
                <w:sz w:val="20"/>
                <w:szCs w:val="20"/>
              </w:rPr>
              <w:t>4,8%</w:t>
            </w:r>
          </w:p>
        </w:tc>
        <w:tc>
          <w:tcPr>
            <w:tcW w:w="1589" w:type="dxa"/>
            <w:shd w:val="clear" w:color="auto" w:fill="FFC000"/>
            <w:vAlign w:val="bottom"/>
          </w:tcPr>
          <w:p w14:paraId="481ECD86"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b/>
                <w:color w:val="000000"/>
                <w:sz w:val="20"/>
                <w:szCs w:val="20"/>
              </w:rPr>
              <w:t>6,4%</w:t>
            </w:r>
          </w:p>
        </w:tc>
        <w:tc>
          <w:tcPr>
            <w:tcW w:w="1559" w:type="dxa"/>
            <w:shd w:val="clear" w:color="auto" w:fill="FFC000"/>
            <w:vAlign w:val="bottom"/>
          </w:tcPr>
          <w:p w14:paraId="60BF7887"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0"/>
                <w:szCs w:val="20"/>
              </w:rPr>
            </w:pPr>
            <w:r>
              <w:rPr>
                <w:rFonts w:ascii="Open Sans" w:eastAsia="Open Sans" w:hAnsi="Open Sans" w:cs="Open Sans"/>
                <w:b/>
                <w:sz w:val="20"/>
                <w:szCs w:val="20"/>
              </w:rPr>
              <w:t>6,6%</w:t>
            </w:r>
          </w:p>
        </w:tc>
      </w:tr>
      <w:tr w:rsidR="00E474DA" w14:paraId="785FDB2C" w14:textId="77777777" w:rsidTr="00E474DA">
        <w:trPr>
          <w:trHeight w:val="272"/>
        </w:trPr>
        <w:tc>
          <w:tcPr>
            <w:cnfStyle w:val="001000000000" w:firstRow="0" w:lastRow="0" w:firstColumn="1" w:lastColumn="0" w:oddVBand="0" w:evenVBand="0" w:oddHBand="0" w:evenHBand="0" w:firstRowFirstColumn="0" w:firstRowLastColumn="0" w:lastRowFirstColumn="0" w:lastRowLastColumn="0"/>
            <w:tcW w:w="1710" w:type="dxa"/>
            <w:vAlign w:val="bottom"/>
          </w:tcPr>
          <w:p w14:paraId="3934EA7B" w14:textId="77777777" w:rsidR="00E474DA" w:rsidRDefault="00000000">
            <w:pPr>
              <w:rPr>
                <w:rFonts w:ascii="Open Sans" w:eastAsia="Open Sans" w:hAnsi="Open Sans" w:cs="Open Sans"/>
                <w:sz w:val="20"/>
                <w:szCs w:val="20"/>
              </w:rPr>
            </w:pPr>
            <w:r>
              <w:rPr>
                <w:rFonts w:ascii="Open Sans" w:eastAsia="Open Sans" w:hAnsi="Open Sans" w:cs="Open Sans"/>
                <w:b w:val="0"/>
                <w:sz w:val="20"/>
                <w:szCs w:val="20"/>
              </w:rPr>
              <w:t>Andalucía</w:t>
            </w:r>
          </w:p>
        </w:tc>
        <w:tc>
          <w:tcPr>
            <w:tcW w:w="1710" w:type="dxa"/>
            <w:vAlign w:val="bottom"/>
          </w:tcPr>
          <w:p w14:paraId="3E14473A" w14:textId="77777777" w:rsidR="00E474D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Vélez-Málaga</w:t>
            </w:r>
          </w:p>
        </w:tc>
        <w:tc>
          <w:tcPr>
            <w:tcW w:w="1465" w:type="dxa"/>
            <w:vAlign w:val="bottom"/>
          </w:tcPr>
          <w:p w14:paraId="2AFD4E0B"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3,5%</w:t>
            </w:r>
          </w:p>
        </w:tc>
        <w:tc>
          <w:tcPr>
            <w:tcW w:w="1465" w:type="dxa"/>
            <w:vAlign w:val="bottom"/>
          </w:tcPr>
          <w:p w14:paraId="52A7CAE5"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4,2%</w:t>
            </w:r>
          </w:p>
        </w:tc>
        <w:tc>
          <w:tcPr>
            <w:tcW w:w="1589" w:type="dxa"/>
          </w:tcPr>
          <w:p w14:paraId="0A1F974D"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color w:val="000000"/>
                <w:sz w:val="20"/>
                <w:szCs w:val="20"/>
              </w:rPr>
              <w:t>-</w:t>
            </w:r>
          </w:p>
        </w:tc>
        <w:tc>
          <w:tcPr>
            <w:tcW w:w="1559" w:type="dxa"/>
            <w:vAlign w:val="bottom"/>
          </w:tcPr>
          <w:p w14:paraId="78FC0BDB"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b/>
                <w:color w:val="000000"/>
                <w:sz w:val="20"/>
                <w:szCs w:val="20"/>
              </w:rPr>
              <w:t>6,5%</w:t>
            </w:r>
          </w:p>
        </w:tc>
      </w:tr>
      <w:tr w:rsidR="00E474DA" w14:paraId="67CB2200" w14:textId="77777777" w:rsidTr="00E474D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710" w:type="dxa"/>
            <w:vAlign w:val="bottom"/>
          </w:tcPr>
          <w:p w14:paraId="106828B0" w14:textId="77777777" w:rsidR="00E474DA" w:rsidRDefault="00000000">
            <w:pPr>
              <w:rPr>
                <w:rFonts w:ascii="Open Sans" w:eastAsia="Open Sans" w:hAnsi="Open Sans" w:cs="Open Sans"/>
                <w:sz w:val="20"/>
                <w:szCs w:val="20"/>
              </w:rPr>
            </w:pPr>
            <w:r>
              <w:rPr>
                <w:rFonts w:ascii="Open Sans" w:eastAsia="Open Sans" w:hAnsi="Open Sans" w:cs="Open Sans"/>
                <w:b w:val="0"/>
                <w:sz w:val="20"/>
                <w:szCs w:val="20"/>
              </w:rPr>
              <w:t>Comunitat Valenciana</w:t>
            </w:r>
          </w:p>
        </w:tc>
        <w:tc>
          <w:tcPr>
            <w:tcW w:w="1710" w:type="dxa"/>
            <w:vAlign w:val="bottom"/>
          </w:tcPr>
          <w:p w14:paraId="06EDAB9A" w14:textId="77777777" w:rsidR="00E474D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Castellón de la Plana / Castelló de la Plana</w:t>
            </w:r>
          </w:p>
        </w:tc>
        <w:tc>
          <w:tcPr>
            <w:tcW w:w="1465" w:type="dxa"/>
            <w:vAlign w:val="bottom"/>
          </w:tcPr>
          <w:p w14:paraId="66DCE73E"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4,0%</w:t>
            </w:r>
          </w:p>
        </w:tc>
        <w:tc>
          <w:tcPr>
            <w:tcW w:w="1465" w:type="dxa"/>
            <w:vAlign w:val="bottom"/>
          </w:tcPr>
          <w:p w14:paraId="43A02D7C"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4,4%</w:t>
            </w:r>
          </w:p>
        </w:tc>
        <w:tc>
          <w:tcPr>
            <w:tcW w:w="1589" w:type="dxa"/>
            <w:vAlign w:val="bottom"/>
          </w:tcPr>
          <w:p w14:paraId="72FDC077"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color w:val="000000"/>
                <w:sz w:val="20"/>
                <w:szCs w:val="20"/>
              </w:rPr>
              <w:t>5,7%</w:t>
            </w:r>
          </w:p>
        </w:tc>
        <w:tc>
          <w:tcPr>
            <w:tcW w:w="1559" w:type="dxa"/>
            <w:vAlign w:val="bottom"/>
          </w:tcPr>
          <w:p w14:paraId="0BCD8DF2"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b/>
                <w:color w:val="000000"/>
                <w:sz w:val="20"/>
                <w:szCs w:val="20"/>
              </w:rPr>
              <w:t>6,5%</w:t>
            </w:r>
          </w:p>
        </w:tc>
      </w:tr>
      <w:tr w:rsidR="00E474DA" w14:paraId="026927BF" w14:textId="77777777" w:rsidTr="00E474DA">
        <w:trPr>
          <w:trHeight w:val="272"/>
        </w:trPr>
        <w:tc>
          <w:tcPr>
            <w:cnfStyle w:val="001000000000" w:firstRow="0" w:lastRow="0" w:firstColumn="1" w:lastColumn="0" w:oddVBand="0" w:evenVBand="0" w:oddHBand="0" w:evenHBand="0" w:firstRowFirstColumn="0" w:firstRowLastColumn="0" w:lastRowFirstColumn="0" w:lastRowLastColumn="0"/>
            <w:tcW w:w="1710" w:type="dxa"/>
            <w:vAlign w:val="bottom"/>
          </w:tcPr>
          <w:p w14:paraId="76E456D4" w14:textId="77777777" w:rsidR="00E474DA" w:rsidRDefault="00000000">
            <w:pPr>
              <w:rPr>
                <w:rFonts w:ascii="Open Sans" w:eastAsia="Open Sans" w:hAnsi="Open Sans" w:cs="Open Sans"/>
                <w:sz w:val="20"/>
                <w:szCs w:val="20"/>
              </w:rPr>
            </w:pPr>
            <w:r>
              <w:rPr>
                <w:rFonts w:ascii="Open Sans" w:eastAsia="Open Sans" w:hAnsi="Open Sans" w:cs="Open Sans"/>
                <w:b w:val="0"/>
                <w:sz w:val="20"/>
                <w:szCs w:val="20"/>
              </w:rPr>
              <w:t>Cantabria</w:t>
            </w:r>
          </w:p>
        </w:tc>
        <w:tc>
          <w:tcPr>
            <w:tcW w:w="1710" w:type="dxa"/>
            <w:vAlign w:val="bottom"/>
          </w:tcPr>
          <w:p w14:paraId="30E3F462" w14:textId="77777777" w:rsidR="00E474D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Castro-Urdiales</w:t>
            </w:r>
          </w:p>
        </w:tc>
        <w:tc>
          <w:tcPr>
            <w:tcW w:w="1465" w:type="dxa"/>
            <w:vAlign w:val="bottom"/>
          </w:tcPr>
          <w:p w14:paraId="342326B3"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w:t>
            </w:r>
          </w:p>
        </w:tc>
        <w:tc>
          <w:tcPr>
            <w:tcW w:w="1465" w:type="dxa"/>
            <w:vAlign w:val="bottom"/>
          </w:tcPr>
          <w:p w14:paraId="4390655D"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3,8%</w:t>
            </w:r>
          </w:p>
        </w:tc>
        <w:tc>
          <w:tcPr>
            <w:tcW w:w="1589" w:type="dxa"/>
            <w:vAlign w:val="bottom"/>
          </w:tcPr>
          <w:p w14:paraId="158D6D71" w14:textId="77777777" w:rsidR="00E474DA" w:rsidRDefault="00E474DA">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0"/>
                <w:szCs w:val="20"/>
              </w:rPr>
            </w:pPr>
          </w:p>
        </w:tc>
        <w:tc>
          <w:tcPr>
            <w:tcW w:w="1559" w:type="dxa"/>
            <w:vAlign w:val="bottom"/>
          </w:tcPr>
          <w:p w14:paraId="6DAC348E"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b/>
                <w:color w:val="000000"/>
                <w:sz w:val="20"/>
                <w:szCs w:val="20"/>
              </w:rPr>
              <w:t>6,5%</w:t>
            </w:r>
          </w:p>
        </w:tc>
      </w:tr>
      <w:tr w:rsidR="00E474DA" w14:paraId="58BCA790" w14:textId="77777777" w:rsidTr="00E474D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710" w:type="dxa"/>
            <w:vAlign w:val="bottom"/>
          </w:tcPr>
          <w:p w14:paraId="17267D1E" w14:textId="77777777" w:rsidR="00E474DA" w:rsidRDefault="00000000">
            <w:pPr>
              <w:rPr>
                <w:rFonts w:ascii="Open Sans" w:eastAsia="Open Sans" w:hAnsi="Open Sans" w:cs="Open Sans"/>
                <w:sz w:val="20"/>
                <w:szCs w:val="20"/>
              </w:rPr>
            </w:pPr>
            <w:r>
              <w:rPr>
                <w:rFonts w:ascii="Open Sans" w:eastAsia="Open Sans" w:hAnsi="Open Sans" w:cs="Open Sans"/>
                <w:b w:val="0"/>
                <w:sz w:val="20"/>
                <w:szCs w:val="20"/>
              </w:rPr>
              <w:t>Comunitat Valenciana</w:t>
            </w:r>
          </w:p>
        </w:tc>
        <w:tc>
          <w:tcPr>
            <w:tcW w:w="1710" w:type="dxa"/>
            <w:vAlign w:val="bottom"/>
          </w:tcPr>
          <w:p w14:paraId="3A9A9A41" w14:textId="77777777" w:rsidR="00E474D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Valencia Capital</w:t>
            </w:r>
          </w:p>
        </w:tc>
        <w:tc>
          <w:tcPr>
            <w:tcW w:w="1465" w:type="dxa"/>
            <w:vAlign w:val="bottom"/>
          </w:tcPr>
          <w:p w14:paraId="581C7C7D"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3,8%</w:t>
            </w:r>
          </w:p>
        </w:tc>
        <w:tc>
          <w:tcPr>
            <w:tcW w:w="1465" w:type="dxa"/>
            <w:vAlign w:val="bottom"/>
          </w:tcPr>
          <w:p w14:paraId="57E0AF2F"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4,3%</w:t>
            </w:r>
          </w:p>
        </w:tc>
        <w:tc>
          <w:tcPr>
            <w:tcW w:w="1589" w:type="dxa"/>
            <w:vAlign w:val="bottom"/>
          </w:tcPr>
          <w:p w14:paraId="61AD8DDE"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color w:val="000000"/>
                <w:sz w:val="20"/>
                <w:szCs w:val="20"/>
              </w:rPr>
              <w:t>5,9%</w:t>
            </w:r>
          </w:p>
        </w:tc>
        <w:tc>
          <w:tcPr>
            <w:tcW w:w="1559" w:type="dxa"/>
            <w:vAlign w:val="bottom"/>
          </w:tcPr>
          <w:p w14:paraId="5A2857C9"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b/>
                <w:color w:val="000000"/>
                <w:sz w:val="20"/>
                <w:szCs w:val="20"/>
              </w:rPr>
              <w:t>6,4%</w:t>
            </w:r>
          </w:p>
        </w:tc>
      </w:tr>
      <w:tr w:rsidR="00E474DA" w14:paraId="76B0AD02" w14:textId="77777777" w:rsidTr="00E474DA">
        <w:trPr>
          <w:trHeight w:val="272"/>
        </w:trPr>
        <w:tc>
          <w:tcPr>
            <w:cnfStyle w:val="001000000000" w:firstRow="0" w:lastRow="0" w:firstColumn="1" w:lastColumn="0" w:oddVBand="0" w:evenVBand="0" w:oddHBand="0" w:evenHBand="0" w:firstRowFirstColumn="0" w:firstRowLastColumn="0" w:lastRowFirstColumn="0" w:lastRowLastColumn="0"/>
            <w:tcW w:w="1710" w:type="dxa"/>
            <w:vAlign w:val="bottom"/>
          </w:tcPr>
          <w:p w14:paraId="58752E94" w14:textId="77777777" w:rsidR="00E474DA" w:rsidRDefault="00000000">
            <w:pPr>
              <w:rPr>
                <w:rFonts w:ascii="Open Sans" w:eastAsia="Open Sans" w:hAnsi="Open Sans" w:cs="Open Sans"/>
                <w:sz w:val="20"/>
                <w:szCs w:val="20"/>
              </w:rPr>
            </w:pPr>
            <w:r>
              <w:rPr>
                <w:rFonts w:ascii="Open Sans" w:eastAsia="Open Sans" w:hAnsi="Open Sans" w:cs="Open Sans"/>
                <w:b w:val="0"/>
                <w:sz w:val="20"/>
                <w:szCs w:val="20"/>
              </w:rPr>
              <w:t>Cataluña</w:t>
            </w:r>
          </w:p>
        </w:tc>
        <w:tc>
          <w:tcPr>
            <w:tcW w:w="1710" w:type="dxa"/>
            <w:vAlign w:val="bottom"/>
          </w:tcPr>
          <w:p w14:paraId="2288D9DB" w14:textId="77777777" w:rsidR="00E474D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Vilanova I la Geltrú</w:t>
            </w:r>
          </w:p>
        </w:tc>
        <w:tc>
          <w:tcPr>
            <w:tcW w:w="1465" w:type="dxa"/>
            <w:vAlign w:val="bottom"/>
          </w:tcPr>
          <w:p w14:paraId="771A6439"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3,9%</w:t>
            </w:r>
          </w:p>
        </w:tc>
        <w:tc>
          <w:tcPr>
            <w:tcW w:w="1465" w:type="dxa"/>
            <w:vAlign w:val="bottom"/>
          </w:tcPr>
          <w:p w14:paraId="4A83CB5A"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4,4%</w:t>
            </w:r>
          </w:p>
        </w:tc>
        <w:tc>
          <w:tcPr>
            <w:tcW w:w="1589" w:type="dxa"/>
          </w:tcPr>
          <w:p w14:paraId="3D1D2439"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color w:val="000000"/>
                <w:sz w:val="20"/>
                <w:szCs w:val="20"/>
              </w:rPr>
              <w:t>-</w:t>
            </w:r>
          </w:p>
        </w:tc>
        <w:tc>
          <w:tcPr>
            <w:tcW w:w="1559" w:type="dxa"/>
            <w:vAlign w:val="bottom"/>
          </w:tcPr>
          <w:p w14:paraId="22036118"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b/>
                <w:color w:val="000000"/>
                <w:sz w:val="20"/>
                <w:szCs w:val="20"/>
              </w:rPr>
              <w:t>6,4%</w:t>
            </w:r>
          </w:p>
        </w:tc>
      </w:tr>
      <w:tr w:rsidR="00E474DA" w14:paraId="59A7951E" w14:textId="77777777" w:rsidTr="00E474D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710" w:type="dxa"/>
            <w:vAlign w:val="bottom"/>
          </w:tcPr>
          <w:p w14:paraId="72EA1704" w14:textId="77777777" w:rsidR="00E474DA" w:rsidRDefault="00000000">
            <w:pPr>
              <w:rPr>
                <w:rFonts w:ascii="Open Sans" w:eastAsia="Open Sans" w:hAnsi="Open Sans" w:cs="Open Sans"/>
                <w:sz w:val="20"/>
                <w:szCs w:val="20"/>
              </w:rPr>
            </w:pPr>
            <w:r>
              <w:rPr>
                <w:rFonts w:ascii="Open Sans" w:eastAsia="Open Sans" w:hAnsi="Open Sans" w:cs="Open Sans"/>
                <w:b w:val="0"/>
                <w:sz w:val="20"/>
                <w:szCs w:val="20"/>
              </w:rPr>
              <w:t>Canarias</w:t>
            </w:r>
          </w:p>
        </w:tc>
        <w:tc>
          <w:tcPr>
            <w:tcW w:w="1710" w:type="dxa"/>
            <w:vAlign w:val="bottom"/>
          </w:tcPr>
          <w:p w14:paraId="1981E6DF" w14:textId="77777777" w:rsidR="00E474D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Santa Cruz de Tenerife Capital</w:t>
            </w:r>
          </w:p>
        </w:tc>
        <w:tc>
          <w:tcPr>
            <w:tcW w:w="1465" w:type="dxa"/>
            <w:vAlign w:val="bottom"/>
          </w:tcPr>
          <w:p w14:paraId="2782BA93"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4,2%</w:t>
            </w:r>
          </w:p>
        </w:tc>
        <w:tc>
          <w:tcPr>
            <w:tcW w:w="1465" w:type="dxa"/>
            <w:vAlign w:val="bottom"/>
          </w:tcPr>
          <w:p w14:paraId="5D3C70C4"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4,3%</w:t>
            </w:r>
          </w:p>
        </w:tc>
        <w:tc>
          <w:tcPr>
            <w:tcW w:w="1589" w:type="dxa"/>
            <w:vAlign w:val="bottom"/>
          </w:tcPr>
          <w:p w14:paraId="72BF0776"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color w:val="000000"/>
                <w:sz w:val="20"/>
                <w:szCs w:val="20"/>
              </w:rPr>
              <w:t>6,4%</w:t>
            </w:r>
          </w:p>
        </w:tc>
        <w:tc>
          <w:tcPr>
            <w:tcW w:w="1559" w:type="dxa"/>
            <w:vAlign w:val="bottom"/>
          </w:tcPr>
          <w:p w14:paraId="258E282A"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b/>
                <w:color w:val="000000"/>
                <w:sz w:val="20"/>
                <w:szCs w:val="20"/>
              </w:rPr>
              <w:t>6,4%</w:t>
            </w:r>
          </w:p>
        </w:tc>
      </w:tr>
      <w:tr w:rsidR="00E474DA" w14:paraId="2D03F011" w14:textId="77777777" w:rsidTr="00E474DA">
        <w:trPr>
          <w:trHeight w:val="272"/>
        </w:trPr>
        <w:tc>
          <w:tcPr>
            <w:cnfStyle w:val="001000000000" w:firstRow="0" w:lastRow="0" w:firstColumn="1" w:lastColumn="0" w:oddVBand="0" w:evenVBand="0" w:oddHBand="0" w:evenHBand="0" w:firstRowFirstColumn="0" w:firstRowLastColumn="0" w:lastRowFirstColumn="0" w:lastRowLastColumn="0"/>
            <w:tcW w:w="1710" w:type="dxa"/>
            <w:vAlign w:val="bottom"/>
          </w:tcPr>
          <w:p w14:paraId="0D109324" w14:textId="77777777" w:rsidR="00E474DA" w:rsidRDefault="00000000">
            <w:pPr>
              <w:rPr>
                <w:rFonts w:ascii="Open Sans" w:eastAsia="Open Sans" w:hAnsi="Open Sans" w:cs="Open Sans"/>
                <w:sz w:val="20"/>
                <w:szCs w:val="20"/>
              </w:rPr>
            </w:pPr>
            <w:r>
              <w:rPr>
                <w:rFonts w:ascii="Open Sans" w:eastAsia="Open Sans" w:hAnsi="Open Sans" w:cs="Open Sans"/>
                <w:b w:val="0"/>
                <w:sz w:val="20"/>
                <w:szCs w:val="20"/>
              </w:rPr>
              <w:t>Andalucía</w:t>
            </w:r>
          </w:p>
        </w:tc>
        <w:tc>
          <w:tcPr>
            <w:tcW w:w="1710" w:type="dxa"/>
            <w:vAlign w:val="bottom"/>
          </w:tcPr>
          <w:p w14:paraId="4FE98D7D" w14:textId="77777777" w:rsidR="00E474D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Torremolinos</w:t>
            </w:r>
          </w:p>
        </w:tc>
        <w:tc>
          <w:tcPr>
            <w:tcW w:w="1465" w:type="dxa"/>
            <w:vAlign w:val="bottom"/>
          </w:tcPr>
          <w:p w14:paraId="4DE5E434"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3,9%</w:t>
            </w:r>
          </w:p>
        </w:tc>
        <w:tc>
          <w:tcPr>
            <w:tcW w:w="1465" w:type="dxa"/>
            <w:vAlign w:val="bottom"/>
          </w:tcPr>
          <w:p w14:paraId="07707908"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4,7%</w:t>
            </w:r>
          </w:p>
        </w:tc>
        <w:tc>
          <w:tcPr>
            <w:tcW w:w="1589" w:type="dxa"/>
          </w:tcPr>
          <w:p w14:paraId="00DFEF18"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color w:val="000000"/>
                <w:sz w:val="20"/>
                <w:szCs w:val="20"/>
              </w:rPr>
              <w:t>-</w:t>
            </w:r>
          </w:p>
        </w:tc>
        <w:tc>
          <w:tcPr>
            <w:tcW w:w="1559" w:type="dxa"/>
            <w:vAlign w:val="bottom"/>
          </w:tcPr>
          <w:p w14:paraId="29E40E43"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b/>
                <w:color w:val="000000"/>
                <w:sz w:val="20"/>
                <w:szCs w:val="20"/>
              </w:rPr>
              <w:t>6,4%</w:t>
            </w:r>
          </w:p>
        </w:tc>
      </w:tr>
      <w:tr w:rsidR="00E474DA" w14:paraId="72265C5A" w14:textId="77777777" w:rsidTr="00E474D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710" w:type="dxa"/>
            <w:vAlign w:val="bottom"/>
          </w:tcPr>
          <w:p w14:paraId="0B1D8559" w14:textId="77777777" w:rsidR="00E474DA" w:rsidRDefault="00000000">
            <w:pPr>
              <w:rPr>
                <w:rFonts w:ascii="Open Sans" w:eastAsia="Open Sans" w:hAnsi="Open Sans" w:cs="Open Sans"/>
                <w:sz w:val="20"/>
                <w:szCs w:val="20"/>
              </w:rPr>
            </w:pPr>
            <w:r>
              <w:rPr>
                <w:rFonts w:ascii="Open Sans" w:eastAsia="Open Sans" w:hAnsi="Open Sans" w:cs="Open Sans"/>
                <w:b w:val="0"/>
                <w:sz w:val="20"/>
                <w:szCs w:val="20"/>
              </w:rPr>
              <w:t>Comunitat Valenciana</w:t>
            </w:r>
          </w:p>
        </w:tc>
        <w:tc>
          <w:tcPr>
            <w:tcW w:w="1710" w:type="dxa"/>
            <w:vAlign w:val="bottom"/>
          </w:tcPr>
          <w:p w14:paraId="069155E7" w14:textId="77777777" w:rsidR="00E474D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El Campello</w:t>
            </w:r>
          </w:p>
        </w:tc>
        <w:tc>
          <w:tcPr>
            <w:tcW w:w="1465" w:type="dxa"/>
            <w:vAlign w:val="bottom"/>
          </w:tcPr>
          <w:p w14:paraId="10994158"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w:t>
            </w:r>
          </w:p>
        </w:tc>
        <w:tc>
          <w:tcPr>
            <w:tcW w:w="1465" w:type="dxa"/>
            <w:vAlign w:val="bottom"/>
          </w:tcPr>
          <w:p w14:paraId="626C9490"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4,1%</w:t>
            </w:r>
          </w:p>
        </w:tc>
        <w:tc>
          <w:tcPr>
            <w:tcW w:w="1589" w:type="dxa"/>
          </w:tcPr>
          <w:p w14:paraId="7A8C345C"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color w:val="000000"/>
                <w:sz w:val="20"/>
                <w:szCs w:val="20"/>
              </w:rPr>
              <w:t>-</w:t>
            </w:r>
          </w:p>
        </w:tc>
        <w:tc>
          <w:tcPr>
            <w:tcW w:w="1559" w:type="dxa"/>
            <w:vAlign w:val="bottom"/>
          </w:tcPr>
          <w:p w14:paraId="6FC1A00F"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b/>
                <w:color w:val="000000"/>
                <w:sz w:val="20"/>
                <w:szCs w:val="20"/>
              </w:rPr>
              <w:t>6,3%</w:t>
            </w:r>
          </w:p>
        </w:tc>
      </w:tr>
      <w:tr w:rsidR="00E474DA" w14:paraId="047C856C" w14:textId="77777777" w:rsidTr="00E474DA">
        <w:trPr>
          <w:trHeight w:val="272"/>
        </w:trPr>
        <w:tc>
          <w:tcPr>
            <w:cnfStyle w:val="001000000000" w:firstRow="0" w:lastRow="0" w:firstColumn="1" w:lastColumn="0" w:oddVBand="0" w:evenVBand="0" w:oddHBand="0" w:evenHBand="0" w:firstRowFirstColumn="0" w:firstRowLastColumn="0" w:lastRowFirstColumn="0" w:lastRowLastColumn="0"/>
            <w:tcW w:w="1710" w:type="dxa"/>
            <w:vAlign w:val="bottom"/>
          </w:tcPr>
          <w:p w14:paraId="44B1E11B" w14:textId="77777777" w:rsidR="00E474DA" w:rsidRDefault="00000000">
            <w:pPr>
              <w:rPr>
                <w:rFonts w:ascii="Open Sans" w:eastAsia="Open Sans" w:hAnsi="Open Sans" w:cs="Open Sans"/>
                <w:sz w:val="20"/>
                <w:szCs w:val="20"/>
              </w:rPr>
            </w:pPr>
            <w:r>
              <w:rPr>
                <w:rFonts w:ascii="Open Sans" w:eastAsia="Open Sans" w:hAnsi="Open Sans" w:cs="Open Sans"/>
                <w:b w:val="0"/>
                <w:sz w:val="20"/>
                <w:szCs w:val="20"/>
              </w:rPr>
              <w:t>Cataluña</w:t>
            </w:r>
          </w:p>
        </w:tc>
        <w:tc>
          <w:tcPr>
            <w:tcW w:w="1710" w:type="dxa"/>
            <w:vAlign w:val="bottom"/>
          </w:tcPr>
          <w:p w14:paraId="77159EC0" w14:textId="77777777" w:rsidR="00E474D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Mataró</w:t>
            </w:r>
          </w:p>
        </w:tc>
        <w:tc>
          <w:tcPr>
            <w:tcW w:w="1465" w:type="dxa"/>
            <w:vAlign w:val="bottom"/>
          </w:tcPr>
          <w:p w14:paraId="137812B4"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3,6%</w:t>
            </w:r>
          </w:p>
        </w:tc>
        <w:tc>
          <w:tcPr>
            <w:tcW w:w="1465" w:type="dxa"/>
            <w:vAlign w:val="bottom"/>
          </w:tcPr>
          <w:p w14:paraId="00724D0D"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5,2%</w:t>
            </w:r>
          </w:p>
        </w:tc>
        <w:tc>
          <w:tcPr>
            <w:tcW w:w="1589" w:type="dxa"/>
          </w:tcPr>
          <w:p w14:paraId="3C028E0A"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color w:val="000000"/>
                <w:sz w:val="20"/>
                <w:szCs w:val="20"/>
              </w:rPr>
              <w:t>-</w:t>
            </w:r>
          </w:p>
        </w:tc>
        <w:tc>
          <w:tcPr>
            <w:tcW w:w="1559" w:type="dxa"/>
            <w:vAlign w:val="bottom"/>
          </w:tcPr>
          <w:p w14:paraId="490FF6D1"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b/>
                <w:color w:val="000000"/>
                <w:sz w:val="20"/>
                <w:szCs w:val="20"/>
              </w:rPr>
              <w:t>6,2%</w:t>
            </w:r>
          </w:p>
        </w:tc>
      </w:tr>
      <w:tr w:rsidR="00E474DA" w14:paraId="71B6696C" w14:textId="77777777" w:rsidTr="00E474D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710" w:type="dxa"/>
            <w:vAlign w:val="bottom"/>
          </w:tcPr>
          <w:p w14:paraId="38173D60" w14:textId="77777777" w:rsidR="00E474DA" w:rsidRDefault="00000000">
            <w:pPr>
              <w:rPr>
                <w:rFonts w:ascii="Open Sans" w:eastAsia="Open Sans" w:hAnsi="Open Sans" w:cs="Open Sans"/>
                <w:sz w:val="20"/>
                <w:szCs w:val="20"/>
              </w:rPr>
            </w:pPr>
            <w:r>
              <w:rPr>
                <w:rFonts w:ascii="Open Sans" w:eastAsia="Open Sans" w:hAnsi="Open Sans" w:cs="Open Sans"/>
                <w:b w:val="0"/>
                <w:sz w:val="20"/>
                <w:szCs w:val="20"/>
              </w:rPr>
              <w:t>Andalucía</w:t>
            </w:r>
          </w:p>
        </w:tc>
        <w:tc>
          <w:tcPr>
            <w:tcW w:w="1710" w:type="dxa"/>
            <w:vAlign w:val="bottom"/>
          </w:tcPr>
          <w:p w14:paraId="6E9A6E1A" w14:textId="77777777" w:rsidR="00E474D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El Puerto de Santa María</w:t>
            </w:r>
          </w:p>
        </w:tc>
        <w:tc>
          <w:tcPr>
            <w:tcW w:w="1465" w:type="dxa"/>
            <w:vAlign w:val="bottom"/>
          </w:tcPr>
          <w:p w14:paraId="357EE0AB"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4,1%</w:t>
            </w:r>
          </w:p>
        </w:tc>
        <w:tc>
          <w:tcPr>
            <w:tcW w:w="1465" w:type="dxa"/>
            <w:vAlign w:val="bottom"/>
          </w:tcPr>
          <w:p w14:paraId="5F7DD876"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4,5%</w:t>
            </w:r>
          </w:p>
        </w:tc>
        <w:tc>
          <w:tcPr>
            <w:tcW w:w="1589" w:type="dxa"/>
            <w:vAlign w:val="bottom"/>
          </w:tcPr>
          <w:p w14:paraId="79E6069F"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color w:val="000000"/>
                <w:sz w:val="20"/>
                <w:szCs w:val="20"/>
              </w:rPr>
              <w:t>6,3%</w:t>
            </w:r>
          </w:p>
        </w:tc>
        <w:tc>
          <w:tcPr>
            <w:tcW w:w="1559" w:type="dxa"/>
            <w:vAlign w:val="bottom"/>
          </w:tcPr>
          <w:p w14:paraId="08990736"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b/>
                <w:color w:val="000000"/>
                <w:sz w:val="20"/>
                <w:szCs w:val="20"/>
              </w:rPr>
              <w:t>6,1%</w:t>
            </w:r>
          </w:p>
        </w:tc>
      </w:tr>
      <w:tr w:rsidR="00E474DA" w14:paraId="02E3C2E9" w14:textId="77777777" w:rsidTr="00E474DA">
        <w:trPr>
          <w:trHeight w:val="272"/>
        </w:trPr>
        <w:tc>
          <w:tcPr>
            <w:cnfStyle w:val="001000000000" w:firstRow="0" w:lastRow="0" w:firstColumn="1" w:lastColumn="0" w:oddVBand="0" w:evenVBand="0" w:oddHBand="0" w:evenHBand="0" w:firstRowFirstColumn="0" w:firstRowLastColumn="0" w:lastRowFirstColumn="0" w:lastRowLastColumn="0"/>
            <w:tcW w:w="1710" w:type="dxa"/>
            <w:vAlign w:val="bottom"/>
          </w:tcPr>
          <w:p w14:paraId="7DF74705" w14:textId="77777777" w:rsidR="00E474DA" w:rsidRDefault="00000000">
            <w:pPr>
              <w:rPr>
                <w:rFonts w:ascii="Open Sans" w:eastAsia="Open Sans" w:hAnsi="Open Sans" w:cs="Open Sans"/>
                <w:sz w:val="20"/>
                <w:szCs w:val="20"/>
              </w:rPr>
            </w:pPr>
            <w:r>
              <w:rPr>
                <w:rFonts w:ascii="Open Sans" w:eastAsia="Open Sans" w:hAnsi="Open Sans" w:cs="Open Sans"/>
                <w:b w:val="0"/>
                <w:sz w:val="20"/>
                <w:szCs w:val="20"/>
              </w:rPr>
              <w:t>Asturias</w:t>
            </w:r>
          </w:p>
        </w:tc>
        <w:tc>
          <w:tcPr>
            <w:tcW w:w="1710" w:type="dxa"/>
            <w:vAlign w:val="bottom"/>
          </w:tcPr>
          <w:p w14:paraId="126C9583" w14:textId="77777777" w:rsidR="00E474D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Gijón</w:t>
            </w:r>
          </w:p>
        </w:tc>
        <w:tc>
          <w:tcPr>
            <w:tcW w:w="1465" w:type="dxa"/>
            <w:vAlign w:val="bottom"/>
          </w:tcPr>
          <w:p w14:paraId="6AB07E75"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3,8%</w:t>
            </w:r>
          </w:p>
        </w:tc>
        <w:tc>
          <w:tcPr>
            <w:tcW w:w="1465" w:type="dxa"/>
            <w:vAlign w:val="bottom"/>
          </w:tcPr>
          <w:p w14:paraId="0FF02D5E"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4,0%</w:t>
            </w:r>
          </w:p>
        </w:tc>
        <w:tc>
          <w:tcPr>
            <w:tcW w:w="1589" w:type="dxa"/>
            <w:vAlign w:val="bottom"/>
          </w:tcPr>
          <w:p w14:paraId="0C0920FB"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color w:val="000000"/>
                <w:sz w:val="20"/>
                <w:szCs w:val="20"/>
              </w:rPr>
              <w:t>5,3%</w:t>
            </w:r>
          </w:p>
        </w:tc>
        <w:tc>
          <w:tcPr>
            <w:tcW w:w="1559" w:type="dxa"/>
            <w:vAlign w:val="bottom"/>
          </w:tcPr>
          <w:p w14:paraId="5542E8A4"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b/>
                <w:color w:val="000000"/>
                <w:sz w:val="20"/>
                <w:szCs w:val="20"/>
              </w:rPr>
              <w:t>5,8%</w:t>
            </w:r>
          </w:p>
        </w:tc>
      </w:tr>
      <w:tr w:rsidR="00E474DA" w14:paraId="6E01F09F" w14:textId="77777777" w:rsidTr="00E474D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710" w:type="dxa"/>
            <w:vAlign w:val="bottom"/>
          </w:tcPr>
          <w:p w14:paraId="76B90443" w14:textId="77777777" w:rsidR="00E474DA" w:rsidRDefault="00000000">
            <w:pPr>
              <w:rPr>
                <w:rFonts w:ascii="Open Sans" w:eastAsia="Open Sans" w:hAnsi="Open Sans" w:cs="Open Sans"/>
                <w:sz w:val="20"/>
                <w:szCs w:val="20"/>
              </w:rPr>
            </w:pPr>
            <w:r>
              <w:rPr>
                <w:rFonts w:ascii="Open Sans" w:eastAsia="Open Sans" w:hAnsi="Open Sans" w:cs="Open Sans"/>
                <w:b w:val="0"/>
                <w:sz w:val="20"/>
                <w:szCs w:val="20"/>
              </w:rPr>
              <w:t>Andalucía</w:t>
            </w:r>
          </w:p>
        </w:tc>
        <w:tc>
          <w:tcPr>
            <w:tcW w:w="1710" w:type="dxa"/>
            <w:vAlign w:val="bottom"/>
          </w:tcPr>
          <w:p w14:paraId="32E57135" w14:textId="77777777" w:rsidR="00E474D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Mijas</w:t>
            </w:r>
          </w:p>
        </w:tc>
        <w:tc>
          <w:tcPr>
            <w:tcW w:w="1465" w:type="dxa"/>
            <w:vAlign w:val="bottom"/>
          </w:tcPr>
          <w:p w14:paraId="2734DA31"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4,2%</w:t>
            </w:r>
          </w:p>
        </w:tc>
        <w:tc>
          <w:tcPr>
            <w:tcW w:w="1465" w:type="dxa"/>
            <w:vAlign w:val="bottom"/>
          </w:tcPr>
          <w:p w14:paraId="31A35EC5"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4,7%</w:t>
            </w:r>
          </w:p>
        </w:tc>
        <w:tc>
          <w:tcPr>
            <w:tcW w:w="1589" w:type="dxa"/>
          </w:tcPr>
          <w:p w14:paraId="637784A8"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color w:val="000000"/>
                <w:sz w:val="20"/>
                <w:szCs w:val="20"/>
              </w:rPr>
              <w:t>-</w:t>
            </w:r>
          </w:p>
        </w:tc>
        <w:tc>
          <w:tcPr>
            <w:tcW w:w="1559" w:type="dxa"/>
            <w:vAlign w:val="bottom"/>
          </w:tcPr>
          <w:p w14:paraId="7B28F9BE"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b/>
                <w:color w:val="000000"/>
                <w:sz w:val="20"/>
                <w:szCs w:val="20"/>
              </w:rPr>
              <w:t>5,8%</w:t>
            </w:r>
          </w:p>
        </w:tc>
      </w:tr>
      <w:tr w:rsidR="00E474DA" w14:paraId="050D3EC5" w14:textId="77777777" w:rsidTr="00E474DA">
        <w:trPr>
          <w:trHeight w:val="272"/>
        </w:trPr>
        <w:tc>
          <w:tcPr>
            <w:cnfStyle w:val="001000000000" w:firstRow="0" w:lastRow="0" w:firstColumn="1" w:lastColumn="0" w:oddVBand="0" w:evenVBand="0" w:oddHBand="0" w:evenHBand="0" w:firstRowFirstColumn="0" w:firstRowLastColumn="0" w:lastRowFirstColumn="0" w:lastRowLastColumn="0"/>
            <w:tcW w:w="1710" w:type="dxa"/>
            <w:vAlign w:val="bottom"/>
          </w:tcPr>
          <w:p w14:paraId="5B78F4AD" w14:textId="77777777" w:rsidR="00E474DA" w:rsidRDefault="00000000">
            <w:pPr>
              <w:rPr>
                <w:rFonts w:ascii="Open Sans" w:eastAsia="Open Sans" w:hAnsi="Open Sans" w:cs="Open Sans"/>
                <w:sz w:val="20"/>
                <w:szCs w:val="20"/>
              </w:rPr>
            </w:pPr>
            <w:r>
              <w:rPr>
                <w:rFonts w:ascii="Open Sans" w:eastAsia="Open Sans" w:hAnsi="Open Sans" w:cs="Open Sans"/>
                <w:b w:val="0"/>
                <w:sz w:val="20"/>
                <w:szCs w:val="20"/>
              </w:rPr>
              <w:t>Andalucía</w:t>
            </w:r>
          </w:p>
        </w:tc>
        <w:tc>
          <w:tcPr>
            <w:tcW w:w="1710" w:type="dxa"/>
            <w:vAlign w:val="bottom"/>
          </w:tcPr>
          <w:p w14:paraId="4A4F86DC" w14:textId="77777777" w:rsidR="00E474D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Benalmádena</w:t>
            </w:r>
          </w:p>
        </w:tc>
        <w:tc>
          <w:tcPr>
            <w:tcW w:w="1465" w:type="dxa"/>
            <w:vAlign w:val="bottom"/>
          </w:tcPr>
          <w:p w14:paraId="67F582FB"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4,1%</w:t>
            </w:r>
          </w:p>
        </w:tc>
        <w:tc>
          <w:tcPr>
            <w:tcW w:w="1465" w:type="dxa"/>
            <w:vAlign w:val="bottom"/>
          </w:tcPr>
          <w:p w14:paraId="50AEC7F3"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4,7%</w:t>
            </w:r>
          </w:p>
        </w:tc>
        <w:tc>
          <w:tcPr>
            <w:tcW w:w="1589" w:type="dxa"/>
            <w:vAlign w:val="bottom"/>
          </w:tcPr>
          <w:p w14:paraId="5C399D47"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color w:val="000000"/>
                <w:sz w:val="20"/>
                <w:szCs w:val="20"/>
              </w:rPr>
              <w:t>5,6%</w:t>
            </w:r>
          </w:p>
        </w:tc>
        <w:tc>
          <w:tcPr>
            <w:tcW w:w="1559" w:type="dxa"/>
            <w:vAlign w:val="bottom"/>
          </w:tcPr>
          <w:p w14:paraId="29538B21"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b/>
                <w:color w:val="000000"/>
                <w:sz w:val="20"/>
                <w:szCs w:val="20"/>
              </w:rPr>
              <w:t>5,8%</w:t>
            </w:r>
          </w:p>
        </w:tc>
      </w:tr>
      <w:tr w:rsidR="00E474DA" w14:paraId="2FD12E4E" w14:textId="77777777" w:rsidTr="00E474D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710" w:type="dxa"/>
            <w:vAlign w:val="bottom"/>
          </w:tcPr>
          <w:p w14:paraId="682DAD82" w14:textId="77777777" w:rsidR="00E474DA" w:rsidRDefault="00000000">
            <w:pPr>
              <w:rPr>
                <w:rFonts w:ascii="Open Sans" w:eastAsia="Open Sans" w:hAnsi="Open Sans" w:cs="Open Sans"/>
                <w:sz w:val="20"/>
                <w:szCs w:val="20"/>
              </w:rPr>
            </w:pPr>
            <w:r>
              <w:rPr>
                <w:rFonts w:ascii="Open Sans" w:eastAsia="Open Sans" w:hAnsi="Open Sans" w:cs="Open Sans"/>
                <w:b w:val="0"/>
                <w:sz w:val="20"/>
                <w:szCs w:val="20"/>
              </w:rPr>
              <w:t>País Vasco</w:t>
            </w:r>
          </w:p>
        </w:tc>
        <w:tc>
          <w:tcPr>
            <w:tcW w:w="1710" w:type="dxa"/>
            <w:vAlign w:val="bottom"/>
          </w:tcPr>
          <w:p w14:paraId="3B6638EE" w14:textId="77777777" w:rsidR="00E474D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Barakaldo</w:t>
            </w:r>
          </w:p>
        </w:tc>
        <w:tc>
          <w:tcPr>
            <w:tcW w:w="1465" w:type="dxa"/>
            <w:vAlign w:val="bottom"/>
          </w:tcPr>
          <w:p w14:paraId="5BA2E118"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w:t>
            </w:r>
          </w:p>
          <w:p w14:paraId="12A23F5F" w14:textId="77777777" w:rsidR="00E474DA" w:rsidRDefault="00E474DA">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p>
        </w:tc>
        <w:tc>
          <w:tcPr>
            <w:tcW w:w="1465" w:type="dxa"/>
            <w:vAlign w:val="bottom"/>
          </w:tcPr>
          <w:p w14:paraId="7565D755"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4,3%</w:t>
            </w:r>
          </w:p>
        </w:tc>
        <w:tc>
          <w:tcPr>
            <w:tcW w:w="1589" w:type="dxa"/>
          </w:tcPr>
          <w:p w14:paraId="5F02BE14"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color w:val="000000"/>
                <w:sz w:val="20"/>
                <w:szCs w:val="20"/>
              </w:rPr>
              <w:t>-</w:t>
            </w:r>
          </w:p>
        </w:tc>
        <w:tc>
          <w:tcPr>
            <w:tcW w:w="1559" w:type="dxa"/>
            <w:vAlign w:val="bottom"/>
          </w:tcPr>
          <w:p w14:paraId="0742FC2E"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b/>
                <w:color w:val="000000"/>
                <w:sz w:val="20"/>
                <w:szCs w:val="20"/>
              </w:rPr>
              <w:t>5,7%</w:t>
            </w:r>
          </w:p>
        </w:tc>
      </w:tr>
      <w:tr w:rsidR="00E474DA" w14:paraId="0A16D99E" w14:textId="77777777" w:rsidTr="00E474DA">
        <w:trPr>
          <w:trHeight w:val="272"/>
        </w:trPr>
        <w:tc>
          <w:tcPr>
            <w:cnfStyle w:val="001000000000" w:firstRow="0" w:lastRow="0" w:firstColumn="1" w:lastColumn="0" w:oddVBand="0" w:evenVBand="0" w:oddHBand="0" w:evenHBand="0" w:firstRowFirstColumn="0" w:firstRowLastColumn="0" w:lastRowFirstColumn="0" w:lastRowLastColumn="0"/>
            <w:tcW w:w="1710" w:type="dxa"/>
            <w:vAlign w:val="bottom"/>
          </w:tcPr>
          <w:p w14:paraId="06EA25A7" w14:textId="77777777" w:rsidR="00E474DA" w:rsidRDefault="00000000">
            <w:pPr>
              <w:rPr>
                <w:rFonts w:ascii="Open Sans" w:eastAsia="Open Sans" w:hAnsi="Open Sans" w:cs="Open Sans"/>
                <w:sz w:val="20"/>
                <w:szCs w:val="20"/>
              </w:rPr>
            </w:pPr>
            <w:r>
              <w:rPr>
                <w:rFonts w:ascii="Open Sans" w:eastAsia="Open Sans" w:hAnsi="Open Sans" w:cs="Open Sans"/>
                <w:b w:val="0"/>
                <w:sz w:val="20"/>
                <w:szCs w:val="20"/>
              </w:rPr>
              <w:t>Andalucía</w:t>
            </w:r>
          </w:p>
        </w:tc>
        <w:tc>
          <w:tcPr>
            <w:tcW w:w="1710" w:type="dxa"/>
            <w:vAlign w:val="bottom"/>
          </w:tcPr>
          <w:p w14:paraId="5FB33DCD" w14:textId="77777777" w:rsidR="00E474D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Málaga Capital</w:t>
            </w:r>
          </w:p>
        </w:tc>
        <w:tc>
          <w:tcPr>
            <w:tcW w:w="1465" w:type="dxa"/>
            <w:vAlign w:val="bottom"/>
          </w:tcPr>
          <w:p w14:paraId="7A56BBE8"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3,9%</w:t>
            </w:r>
          </w:p>
        </w:tc>
        <w:tc>
          <w:tcPr>
            <w:tcW w:w="1465" w:type="dxa"/>
            <w:vAlign w:val="bottom"/>
          </w:tcPr>
          <w:p w14:paraId="6C73BCB3"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4,4%</w:t>
            </w:r>
          </w:p>
        </w:tc>
        <w:tc>
          <w:tcPr>
            <w:tcW w:w="1589" w:type="dxa"/>
            <w:vAlign w:val="bottom"/>
          </w:tcPr>
          <w:p w14:paraId="2F1AFDF6"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color w:val="000000"/>
                <w:sz w:val="20"/>
                <w:szCs w:val="20"/>
              </w:rPr>
              <w:t>5,3%</w:t>
            </w:r>
          </w:p>
        </w:tc>
        <w:tc>
          <w:tcPr>
            <w:tcW w:w="1559" w:type="dxa"/>
            <w:vAlign w:val="bottom"/>
          </w:tcPr>
          <w:p w14:paraId="398DA59A"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b/>
                <w:color w:val="000000"/>
                <w:sz w:val="20"/>
                <w:szCs w:val="20"/>
              </w:rPr>
              <w:t>5,7%</w:t>
            </w:r>
          </w:p>
        </w:tc>
      </w:tr>
      <w:tr w:rsidR="00E474DA" w14:paraId="16D6DF34" w14:textId="77777777" w:rsidTr="00E474D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710" w:type="dxa"/>
            <w:vAlign w:val="bottom"/>
          </w:tcPr>
          <w:p w14:paraId="29A73F9E" w14:textId="77777777" w:rsidR="00E474DA" w:rsidRDefault="00000000">
            <w:pPr>
              <w:rPr>
                <w:rFonts w:ascii="Open Sans" w:eastAsia="Open Sans" w:hAnsi="Open Sans" w:cs="Open Sans"/>
                <w:sz w:val="20"/>
                <w:szCs w:val="20"/>
              </w:rPr>
            </w:pPr>
            <w:r>
              <w:rPr>
                <w:rFonts w:ascii="Open Sans" w:eastAsia="Open Sans" w:hAnsi="Open Sans" w:cs="Open Sans"/>
                <w:b w:val="0"/>
                <w:sz w:val="20"/>
                <w:szCs w:val="20"/>
              </w:rPr>
              <w:t>Cataluña</w:t>
            </w:r>
          </w:p>
        </w:tc>
        <w:tc>
          <w:tcPr>
            <w:tcW w:w="1710" w:type="dxa"/>
            <w:vAlign w:val="bottom"/>
          </w:tcPr>
          <w:p w14:paraId="1040533D" w14:textId="77777777" w:rsidR="00E474D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Barcelona Capital</w:t>
            </w:r>
          </w:p>
        </w:tc>
        <w:tc>
          <w:tcPr>
            <w:tcW w:w="1465" w:type="dxa"/>
            <w:vAlign w:val="bottom"/>
          </w:tcPr>
          <w:p w14:paraId="0EC5FF8A"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3,8%</w:t>
            </w:r>
          </w:p>
        </w:tc>
        <w:tc>
          <w:tcPr>
            <w:tcW w:w="1465" w:type="dxa"/>
            <w:vAlign w:val="bottom"/>
          </w:tcPr>
          <w:p w14:paraId="5CE90355"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4,1%</w:t>
            </w:r>
          </w:p>
        </w:tc>
        <w:tc>
          <w:tcPr>
            <w:tcW w:w="1589" w:type="dxa"/>
            <w:vAlign w:val="bottom"/>
          </w:tcPr>
          <w:p w14:paraId="7231C88A"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color w:val="000000"/>
                <w:sz w:val="20"/>
                <w:szCs w:val="20"/>
              </w:rPr>
              <w:t>4,7%</w:t>
            </w:r>
          </w:p>
        </w:tc>
        <w:tc>
          <w:tcPr>
            <w:tcW w:w="1559" w:type="dxa"/>
            <w:vAlign w:val="bottom"/>
          </w:tcPr>
          <w:p w14:paraId="7AE74F37"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b/>
                <w:color w:val="000000"/>
                <w:sz w:val="20"/>
                <w:szCs w:val="20"/>
              </w:rPr>
              <w:t>5,5%</w:t>
            </w:r>
          </w:p>
        </w:tc>
      </w:tr>
      <w:tr w:rsidR="00E474DA" w14:paraId="4C2E6A13" w14:textId="77777777" w:rsidTr="00E474DA">
        <w:trPr>
          <w:trHeight w:val="272"/>
        </w:trPr>
        <w:tc>
          <w:tcPr>
            <w:cnfStyle w:val="001000000000" w:firstRow="0" w:lastRow="0" w:firstColumn="1" w:lastColumn="0" w:oddVBand="0" w:evenVBand="0" w:oddHBand="0" w:evenHBand="0" w:firstRowFirstColumn="0" w:firstRowLastColumn="0" w:lastRowFirstColumn="0" w:lastRowLastColumn="0"/>
            <w:tcW w:w="1710" w:type="dxa"/>
            <w:vAlign w:val="bottom"/>
          </w:tcPr>
          <w:p w14:paraId="4C3D88DC" w14:textId="77777777" w:rsidR="00E474DA" w:rsidRDefault="00000000">
            <w:pPr>
              <w:rPr>
                <w:rFonts w:ascii="Open Sans" w:eastAsia="Open Sans" w:hAnsi="Open Sans" w:cs="Open Sans"/>
                <w:sz w:val="20"/>
                <w:szCs w:val="20"/>
              </w:rPr>
            </w:pPr>
            <w:r>
              <w:rPr>
                <w:rFonts w:ascii="Open Sans" w:eastAsia="Open Sans" w:hAnsi="Open Sans" w:cs="Open Sans"/>
                <w:b w:val="0"/>
                <w:sz w:val="20"/>
                <w:szCs w:val="20"/>
              </w:rPr>
              <w:t>Melilla</w:t>
            </w:r>
          </w:p>
        </w:tc>
        <w:tc>
          <w:tcPr>
            <w:tcW w:w="1710" w:type="dxa"/>
            <w:vAlign w:val="bottom"/>
          </w:tcPr>
          <w:p w14:paraId="6FB837E3" w14:textId="77777777" w:rsidR="00E474D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Melilla Capital</w:t>
            </w:r>
          </w:p>
        </w:tc>
        <w:tc>
          <w:tcPr>
            <w:tcW w:w="1465" w:type="dxa"/>
          </w:tcPr>
          <w:p w14:paraId="0944E2C0"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w:t>
            </w:r>
          </w:p>
        </w:tc>
        <w:tc>
          <w:tcPr>
            <w:tcW w:w="1465" w:type="dxa"/>
          </w:tcPr>
          <w:p w14:paraId="32BB86CA"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w:t>
            </w:r>
          </w:p>
        </w:tc>
        <w:tc>
          <w:tcPr>
            <w:tcW w:w="1589" w:type="dxa"/>
          </w:tcPr>
          <w:p w14:paraId="5F2EBF35"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color w:val="000000"/>
                <w:sz w:val="20"/>
                <w:szCs w:val="20"/>
              </w:rPr>
              <w:t>-</w:t>
            </w:r>
          </w:p>
        </w:tc>
        <w:tc>
          <w:tcPr>
            <w:tcW w:w="1559" w:type="dxa"/>
            <w:vAlign w:val="bottom"/>
          </w:tcPr>
          <w:p w14:paraId="1F6A4D91"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b/>
                <w:color w:val="000000"/>
                <w:sz w:val="20"/>
                <w:szCs w:val="20"/>
              </w:rPr>
              <w:t>5,4%</w:t>
            </w:r>
          </w:p>
        </w:tc>
      </w:tr>
      <w:tr w:rsidR="00E474DA" w14:paraId="1F09BEB4" w14:textId="77777777" w:rsidTr="00E474D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710" w:type="dxa"/>
            <w:vAlign w:val="bottom"/>
          </w:tcPr>
          <w:p w14:paraId="2BA82FCC" w14:textId="77777777" w:rsidR="00E474DA" w:rsidRDefault="00000000">
            <w:pPr>
              <w:rPr>
                <w:rFonts w:ascii="Open Sans" w:eastAsia="Open Sans" w:hAnsi="Open Sans" w:cs="Open Sans"/>
                <w:sz w:val="20"/>
                <w:szCs w:val="20"/>
              </w:rPr>
            </w:pPr>
            <w:r>
              <w:rPr>
                <w:rFonts w:ascii="Open Sans" w:eastAsia="Open Sans" w:hAnsi="Open Sans" w:cs="Open Sans"/>
                <w:b w:val="0"/>
                <w:sz w:val="20"/>
                <w:szCs w:val="20"/>
              </w:rPr>
              <w:t>Andalucía</w:t>
            </w:r>
          </w:p>
        </w:tc>
        <w:tc>
          <w:tcPr>
            <w:tcW w:w="1710" w:type="dxa"/>
            <w:vAlign w:val="bottom"/>
          </w:tcPr>
          <w:p w14:paraId="6E3E773A" w14:textId="77777777" w:rsidR="00E474D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Estepona</w:t>
            </w:r>
          </w:p>
        </w:tc>
        <w:tc>
          <w:tcPr>
            <w:tcW w:w="1465" w:type="dxa"/>
            <w:vAlign w:val="bottom"/>
          </w:tcPr>
          <w:p w14:paraId="6D70EF44"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3,4%</w:t>
            </w:r>
          </w:p>
        </w:tc>
        <w:tc>
          <w:tcPr>
            <w:tcW w:w="1465" w:type="dxa"/>
            <w:vAlign w:val="bottom"/>
          </w:tcPr>
          <w:p w14:paraId="20980601"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4,3%</w:t>
            </w:r>
          </w:p>
        </w:tc>
        <w:tc>
          <w:tcPr>
            <w:tcW w:w="1589" w:type="dxa"/>
          </w:tcPr>
          <w:p w14:paraId="032B2969"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color w:val="000000"/>
                <w:sz w:val="20"/>
                <w:szCs w:val="20"/>
              </w:rPr>
              <w:t>-</w:t>
            </w:r>
          </w:p>
        </w:tc>
        <w:tc>
          <w:tcPr>
            <w:tcW w:w="1559" w:type="dxa"/>
            <w:vAlign w:val="bottom"/>
          </w:tcPr>
          <w:p w14:paraId="29E05AD7"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b/>
                <w:color w:val="000000"/>
                <w:sz w:val="20"/>
                <w:szCs w:val="20"/>
              </w:rPr>
              <w:t>5,3%</w:t>
            </w:r>
          </w:p>
        </w:tc>
      </w:tr>
      <w:tr w:rsidR="00E474DA" w14:paraId="37CE150F" w14:textId="77777777" w:rsidTr="00E474DA">
        <w:trPr>
          <w:trHeight w:val="272"/>
        </w:trPr>
        <w:tc>
          <w:tcPr>
            <w:cnfStyle w:val="001000000000" w:firstRow="0" w:lastRow="0" w:firstColumn="1" w:lastColumn="0" w:oddVBand="0" w:evenVBand="0" w:oddHBand="0" w:evenHBand="0" w:firstRowFirstColumn="0" w:firstRowLastColumn="0" w:lastRowFirstColumn="0" w:lastRowLastColumn="0"/>
            <w:tcW w:w="1710" w:type="dxa"/>
            <w:vAlign w:val="bottom"/>
          </w:tcPr>
          <w:p w14:paraId="53E5CCA4" w14:textId="77777777" w:rsidR="00E474DA" w:rsidRDefault="00000000">
            <w:pPr>
              <w:rPr>
                <w:rFonts w:ascii="Open Sans" w:eastAsia="Open Sans" w:hAnsi="Open Sans" w:cs="Open Sans"/>
                <w:sz w:val="20"/>
                <w:szCs w:val="20"/>
              </w:rPr>
            </w:pPr>
            <w:r>
              <w:rPr>
                <w:rFonts w:ascii="Open Sans" w:eastAsia="Open Sans" w:hAnsi="Open Sans" w:cs="Open Sans"/>
                <w:b w:val="0"/>
                <w:sz w:val="20"/>
                <w:szCs w:val="20"/>
              </w:rPr>
              <w:t>Andalucía</w:t>
            </w:r>
          </w:p>
        </w:tc>
        <w:tc>
          <w:tcPr>
            <w:tcW w:w="1710" w:type="dxa"/>
            <w:vAlign w:val="bottom"/>
          </w:tcPr>
          <w:p w14:paraId="31E893D5" w14:textId="77777777" w:rsidR="00E474D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Marbella</w:t>
            </w:r>
          </w:p>
        </w:tc>
        <w:tc>
          <w:tcPr>
            <w:tcW w:w="1465" w:type="dxa"/>
            <w:vAlign w:val="bottom"/>
          </w:tcPr>
          <w:p w14:paraId="427C2D91"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3,8%</w:t>
            </w:r>
          </w:p>
        </w:tc>
        <w:tc>
          <w:tcPr>
            <w:tcW w:w="1465" w:type="dxa"/>
            <w:vAlign w:val="bottom"/>
          </w:tcPr>
          <w:p w14:paraId="30ECEFB0"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4,3%</w:t>
            </w:r>
          </w:p>
        </w:tc>
        <w:tc>
          <w:tcPr>
            <w:tcW w:w="1589" w:type="dxa"/>
            <w:vAlign w:val="bottom"/>
          </w:tcPr>
          <w:p w14:paraId="0CB40EE1"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color w:val="000000"/>
                <w:sz w:val="20"/>
                <w:szCs w:val="20"/>
              </w:rPr>
              <w:t>5,1%</w:t>
            </w:r>
          </w:p>
        </w:tc>
        <w:tc>
          <w:tcPr>
            <w:tcW w:w="1559" w:type="dxa"/>
            <w:vAlign w:val="bottom"/>
          </w:tcPr>
          <w:p w14:paraId="72AB7C57"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b/>
                <w:color w:val="000000"/>
                <w:sz w:val="20"/>
                <w:szCs w:val="20"/>
              </w:rPr>
              <w:t>5,3%</w:t>
            </w:r>
          </w:p>
        </w:tc>
      </w:tr>
      <w:tr w:rsidR="00E474DA" w14:paraId="218AD750" w14:textId="77777777" w:rsidTr="00E474D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710" w:type="dxa"/>
            <w:vAlign w:val="bottom"/>
          </w:tcPr>
          <w:p w14:paraId="780AB93C" w14:textId="77777777" w:rsidR="00E474DA" w:rsidRDefault="00000000">
            <w:pPr>
              <w:rPr>
                <w:rFonts w:ascii="Open Sans" w:eastAsia="Open Sans" w:hAnsi="Open Sans" w:cs="Open Sans"/>
                <w:sz w:val="20"/>
                <w:szCs w:val="20"/>
              </w:rPr>
            </w:pPr>
            <w:r>
              <w:rPr>
                <w:rFonts w:ascii="Open Sans" w:eastAsia="Open Sans" w:hAnsi="Open Sans" w:cs="Open Sans"/>
                <w:b w:val="0"/>
                <w:sz w:val="20"/>
                <w:szCs w:val="20"/>
              </w:rPr>
              <w:lastRenderedPageBreak/>
              <w:t>Andalucía</w:t>
            </w:r>
          </w:p>
        </w:tc>
        <w:tc>
          <w:tcPr>
            <w:tcW w:w="1710" w:type="dxa"/>
            <w:vAlign w:val="bottom"/>
          </w:tcPr>
          <w:p w14:paraId="4E713C5D" w14:textId="77777777" w:rsidR="00E474D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Cádiz Capital</w:t>
            </w:r>
          </w:p>
        </w:tc>
        <w:tc>
          <w:tcPr>
            <w:tcW w:w="1465" w:type="dxa"/>
            <w:vAlign w:val="bottom"/>
          </w:tcPr>
          <w:p w14:paraId="6925A881"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3,7%</w:t>
            </w:r>
          </w:p>
        </w:tc>
        <w:tc>
          <w:tcPr>
            <w:tcW w:w="1465" w:type="dxa"/>
            <w:vAlign w:val="bottom"/>
          </w:tcPr>
          <w:p w14:paraId="64BE4C34"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4,4%</w:t>
            </w:r>
          </w:p>
        </w:tc>
        <w:tc>
          <w:tcPr>
            <w:tcW w:w="1589" w:type="dxa"/>
            <w:vAlign w:val="bottom"/>
          </w:tcPr>
          <w:p w14:paraId="737E63F1"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color w:val="000000"/>
                <w:sz w:val="20"/>
                <w:szCs w:val="20"/>
              </w:rPr>
              <w:t>5,0%</w:t>
            </w:r>
          </w:p>
        </w:tc>
        <w:tc>
          <w:tcPr>
            <w:tcW w:w="1559" w:type="dxa"/>
            <w:vAlign w:val="bottom"/>
          </w:tcPr>
          <w:p w14:paraId="52CD1AD2"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b/>
                <w:color w:val="000000"/>
                <w:sz w:val="20"/>
                <w:szCs w:val="20"/>
              </w:rPr>
              <w:t>5,3%</w:t>
            </w:r>
          </w:p>
        </w:tc>
      </w:tr>
      <w:tr w:rsidR="00E474DA" w14:paraId="56055F6D" w14:textId="77777777" w:rsidTr="00E474DA">
        <w:trPr>
          <w:trHeight w:val="272"/>
        </w:trPr>
        <w:tc>
          <w:tcPr>
            <w:cnfStyle w:val="001000000000" w:firstRow="0" w:lastRow="0" w:firstColumn="1" w:lastColumn="0" w:oddVBand="0" w:evenVBand="0" w:oddHBand="0" w:evenHBand="0" w:firstRowFirstColumn="0" w:firstRowLastColumn="0" w:lastRowFirstColumn="0" w:lastRowLastColumn="0"/>
            <w:tcW w:w="1710" w:type="dxa"/>
            <w:vAlign w:val="bottom"/>
          </w:tcPr>
          <w:p w14:paraId="6672D68D" w14:textId="77777777" w:rsidR="00E474DA" w:rsidRDefault="00000000">
            <w:pPr>
              <w:rPr>
                <w:rFonts w:ascii="Open Sans" w:eastAsia="Open Sans" w:hAnsi="Open Sans" w:cs="Open Sans"/>
                <w:sz w:val="20"/>
                <w:szCs w:val="20"/>
              </w:rPr>
            </w:pPr>
            <w:r>
              <w:rPr>
                <w:rFonts w:ascii="Open Sans" w:eastAsia="Open Sans" w:hAnsi="Open Sans" w:cs="Open Sans"/>
                <w:b w:val="0"/>
                <w:sz w:val="20"/>
                <w:szCs w:val="20"/>
              </w:rPr>
              <w:t>Andalucía</w:t>
            </w:r>
          </w:p>
        </w:tc>
        <w:tc>
          <w:tcPr>
            <w:tcW w:w="1710" w:type="dxa"/>
            <w:vAlign w:val="bottom"/>
          </w:tcPr>
          <w:p w14:paraId="5E9DCBCB" w14:textId="77777777" w:rsidR="00E474D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Almuñécar</w:t>
            </w:r>
          </w:p>
        </w:tc>
        <w:tc>
          <w:tcPr>
            <w:tcW w:w="1465" w:type="dxa"/>
            <w:vAlign w:val="bottom"/>
          </w:tcPr>
          <w:p w14:paraId="66A00C27"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w:t>
            </w:r>
          </w:p>
        </w:tc>
        <w:tc>
          <w:tcPr>
            <w:tcW w:w="1465" w:type="dxa"/>
            <w:vAlign w:val="bottom"/>
          </w:tcPr>
          <w:p w14:paraId="24FF131B"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4,1%</w:t>
            </w:r>
          </w:p>
        </w:tc>
        <w:tc>
          <w:tcPr>
            <w:tcW w:w="1589" w:type="dxa"/>
          </w:tcPr>
          <w:p w14:paraId="688CAB9A"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color w:val="000000"/>
                <w:sz w:val="20"/>
                <w:szCs w:val="20"/>
              </w:rPr>
              <w:t>-</w:t>
            </w:r>
          </w:p>
        </w:tc>
        <w:tc>
          <w:tcPr>
            <w:tcW w:w="1559" w:type="dxa"/>
            <w:vAlign w:val="bottom"/>
          </w:tcPr>
          <w:p w14:paraId="77A02702"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b/>
                <w:color w:val="000000"/>
                <w:sz w:val="20"/>
                <w:szCs w:val="20"/>
              </w:rPr>
              <w:t>5,3%</w:t>
            </w:r>
          </w:p>
        </w:tc>
      </w:tr>
      <w:tr w:rsidR="00E474DA" w14:paraId="4C5F9439" w14:textId="77777777" w:rsidTr="00E474D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710" w:type="dxa"/>
            <w:vAlign w:val="bottom"/>
          </w:tcPr>
          <w:p w14:paraId="272AC16D" w14:textId="77777777" w:rsidR="00E474DA" w:rsidRDefault="00000000">
            <w:pPr>
              <w:rPr>
                <w:rFonts w:ascii="Open Sans" w:eastAsia="Open Sans" w:hAnsi="Open Sans" w:cs="Open Sans"/>
                <w:sz w:val="20"/>
                <w:szCs w:val="20"/>
              </w:rPr>
            </w:pPr>
            <w:r>
              <w:rPr>
                <w:rFonts w:ascii="Open Sans" w:eastAsia="Open Sans" w:hAnsi="Open Sans" w:cs="Open Sans"/>
                <w:b w:val="0"/>
                <w:sz w:val="20"/>
                <w:szCs w:val="20"/>
              </w:rPr>
              <w:t>Cantabria</w:t>
            </w:r>
          </w:p>
        </w:tc>
        <w:tc>
          <w:tcPr>
            <w:tcW w:w="1710" w:type="dxa"/>
            <w:vAlign w:val="bottom"/>
          </w:tcPr>
          <w:p w14:paraId="2E4B2A7F" w14:textId="77777777" w:rsidR="00E474D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Santander</w:t>
            </w:r>
          </w:p>
        </w:tc>
        <w:tc>
          <w:tcPr>
            <w:tcW w:w="1465" w:type="dxa"/>
            <w:vAlign w:val="bottom"/>
          </w:tcPr>
          <w:p w14:paraId="14AA10F2"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3,4%</w:t>
            </w:r>
          </w:p>
        </w:tc>
        <w:tc>
          <w:tcPr>
            <w:tcW w:w="1465" w:type="dxa"/>
            <w:vAlign w:val="bottom"/>
          </w:tcPr>
          <w:p w14:paraId="5B58E057"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3,7%</w:t>
            </w:r>
          </w:p>
        </w:tc>
        <w:tc>
          <w:tcPr>
            <w:tcW w:w="1589" w:type="dxa"/>
            <w:vAlign w:val="bottom"/>
          </w:tcPr>
          <w:p w14:paraId="7BA34DEE"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color w:val="000000"/>
                <w:sz w:val="20"/>
                <w:szCs w:val="20"/>
              </w:rPr>
              <w:t>5,0%</w:t>
            </w:r>
          </w:p>
        </w:tc>
        <w:tc>
          <w:tcPr>
            <w:tcW w:w="1559" w:type="dxa"/>
            <w:vAlign w:val="bottom"/>
          </w:tcPr>
          <w:p w14:paraId="42F1ABFB"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b/>
                <w:color w:val="000000"/>
                <w:sz w:val="20"/>
                <w:szCs w:val="20"/>
              </w:rPr>
              <w:t>5,2%</w:t>
            </w:r>
          </w:p>
        </w:tc>
      </w:tr>
      <w:tr w:rsidR="00E474DA" w14:paraId="0C9B1FD2" w14:textId="77777777" w:rsidTr="00E474DA">
        <w:trPr>
          <w:trHeight w:val="272"/>
        </w:trPr>
        <w:tc>
          <w:tcPr>
            <w:cnfStyle w:val="001000000000" w:firstRow="0" w:lastRow="0" w:firstColumn="1" w:lastColumn="0" w:oddVBand="0" w:evenVBand="0" w:oddHBand="0" w:evenHBand="0" w:firstRowFirstColumn="0" w:firstRowLastColumn="0" w:lastRowFirstColumn="0" w:lastRowLastColumn="0"/>
            <w:tcW w:w="1710" w:type="dxa"/>
            <w:vAlign w:val="bottom"/>
          </w:tcPr>
          <w:p w14:paraId="09C638F5" w14:textId="77777777" w:rsidR="00E474DA" w:rsidRDefault="00000000">
            <w:pPr>
              <w:rPr>
                <w:rFonts w:ascii="Open Sans" w:eastAsia="Open Sans" w:hAnsi="Open Sans" w:cs="Open Sans"/>
                <w:sz w:val="20"/>
                <w:szCs w:val="20"/>
              </w:rPr>
            </w:pPr>
            <w:r>
              <w:rPr>
                <w:rFonts w:ascii="Open Sans" w:eastAsia="Open Sans" w:hAnsi="Open Sans" w:cs="Open Sans"/>
                <w:b w:val="0"/>
                <w:sz w:val="20"/>
                <w:szCs w:val="20"/>
              </w:rPr>
              <w:t>País Vasco</w:t>
            </w:r>
          </w:p>
        </w:tc>
        <w:tc>
          <w:tcPr>
            <w:tcW w:w="1710" w:type="dxa"/>
            <w:vAlign w:val="bottom"/>
          </w:tcPr>
          <w:p w14:paraId="1483D836" w14:textId="77777777" w:rsidR="00E474D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Bilbao</w:t>
            </w:r>
          </w:p>
        </w:tc>
        <w:tc>
          <w:tcPr>
            <w:tcW w:w="1465" w:type="dxa"/>
            <w:vAlign w:val="bottom"/>
          </w:tcPr>
          <w:p w14:paraId="210A54DA"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3,4%</w:t>
            </w:r>
          </w:p>
        </w:tc>
        <w:tc>
          <w:tcPr>
            <w:tcW w:w="1465" w:type="dxa"/>
            <w:vAlign w:val="bottom"/>
          </w:tcPr>
          <w:p w14:paraId="246602BE"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3,8%</w:t>
            </w:r>
          </w:p>
        </w:tc>
        <w:tc>
          <w:tcPr>
            <w:tcW w:w="1589" w:type="dxa"/>
            <w:vAlign w:val="bottom"/>
          </w:tcPr>
          <w:p w14:paraId="7883FACD"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color w:val="000000"/>
                <w:sz w:val="20"/>
                <w:szCs w:val="20"/>
              </w:rPr>
              <w:t>4,8%</w:t>
            </w:r>
          </w:p>
        </w:tc>
        <w:tc>
          <w:tcPr>
            <w:tcW w:w="1559" w:type="dxa"/>
            <w:vAlign w:val="bottom"/>
          </w:tcPr>
          <w:p w14:paraId="7A398B1F"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b/>
                <w:color w:val="000000"/>
                <w:sz w:val="20"/>
                <w:szCs w:val="20"/>
              </w:rPr>
              <w:t>5,2%</w:t>
            </w:r>
          </w:p>
        </w:tc>
      </w:tr>
      <w:tr w:rsidR="00E474DA" w14:paraId="5AB3C317" w14:textId="77777777" w:rsidTr="00E474D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710" w:type="dxa"/>
            <w:vAlign w:val="bottom"/>
          </w:tcPr>
          <w:p w14:paraId="362082FF" w14:textId="77777777" w:rsidR="00E474DA" w:rsidRDefault="00000000">
            <w:pPr>
              <w:rPr>
                <w:rFonts w:ascii="Open Sans" w:eastAsia="Open Sans" w:hAnsi="Open Sans" w:cs="Open Sans"/>
                <w:sz w:val="20"/>
                <w:szCs w:val="20"/>
              </w:rPr>
            </w:pPr>
            <w:r>
              <w:rPr>
                <w:rFonts w:ascii="Open Sans" w:eastAsia="Open Sans" w:hAnsi="Open Sans" w:cs="Open Sans"/>
                <w:b w:val="0"/>
                <w:sz w:val="20"/>
                <w:szCs w:val="20"/>
              </w:rPr>
              <w:t>Andalucía</w:t>
            </w:r>
          </w:p>
        </w:tc>
        <w:tc>
          <w:tcPr>
            <w:tcW w:w="1710" w:type="dxa"/>
            <w:vAlign w:val="bottom"/>
          </w:tcPr>
          <w:p w14:paraId="184E43F6" w14:textId="77777777" w:rsidR="00E474D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Rincón de la Victoria</w:t>
            </w:r>
          </w:p>
        </w:tc>
        <w:tc>
          <w:tcPr>
            <w:tcW w:w="1465" w:type="dxa"/>
            <w:vAlign w:val="bottom"/>
          </w:tcPr>
          <w:p w14:paraId="0D91E73F"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3,8%</w:t>
            </w:r>
          </w:p>
        </w:tc>
        <w:tc>
          <w:tcPr>
            <w:tcW w:w="1465" w:type="dxa"/>
            <w:vAlign w:val="bottom"/>
          </w:tcPr>
          <w:p w14:paraId="31611C2D"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4,8%</w:t>
            </w:r>
          </w:p>
        </w:tc>
        <w:tc>
          <w:tcPr>
            <w:tcW w:w="1589" w:type="dxa"/>
          </w:tcPr>
          <w:p w14:paraId="7582BE57"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color w:val="000000"/>
                <w:sz w:val="20"/>
                <w:szCs w:val="20"/>
              </w:rPr>
              <w:t>-</w:t>
            </w:r>
          </w:p>
        </w:tc>
        <w:tc>
          <w:tcPr>
            <w:tcW w:w="1559" w:type="dxa"/>
            <w:vAlign w:val="bottom"/>
          </w:tcPr>
          <w:p w14:paraId="33CD0133"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b/>
                <w:color w:val="000000"/>
                <w:sz w:val="20"/>
                <w:szCs w:val="20"/>
              </w:rPr>
              <w:t>5,1%</w:t>
            </w:r>
          </w:p>
        </w:tc>
      </w:tr>
      <w:tr w:rsidR="00E474DA" w14:paraId="088C5309" w14:textId="77777777" w:rsidTr="00E474DA">
        <w:trPr>
          <w:trHeight w:val="272"/>
        </w:trPr>
        <w:tc>
          <w:tcPr>
            <w:cnfStyle w:val="001000000000" w:firstRow="0" w:lastRow="0" w:firstColumn="1" w:lastColumn="0" w:oddVBand="0" w:evenVBand="0" w:oddHBand="0" w:evenHBand="0" w:firstRowFirstColumn="0" w:firstRowLastColumn="0" w:lastRowFirstColumn="0" w:lastRowLastColumn="0"/>
            <w:tcW w:w="1710" w:type="dxa"/>
            <w:vAlign w:val="bottom"/>
          </w:tcPr>
          <w:p w14:paraId="3D5020B9" w14:textId="77777777" w:rsidR="00E474DA" w:rsidRDefault="00000000">
            <w:pPr>
              <w:rPr>
                <w:rFonts w:ascii="Open Sans" w:eastAsia="Open Sans" w:hAnsi="Open Sans" w:cs="Open Sans"/>
                <w:sz w:val="20"/>
                <w:szCs w:val="20"/>
              </w:rPr>
            </w:pPr>
            <w:r>
              <w:rPr>
                <w:rFonts w:ascii="Open Sans" w:eastAsia="Open Sans" w:hAnsi="Open Sans" w:cs="Open Sans"/>
                <w:b w:val="0"/>
                <w:sz w:val="20"/>
                <w:szCs w:val="20"/>
              </w:rPr>
              <w:t>Galicia</w:t>
            </w:r>
          </w:p>
        </w:tc>
        <w:tc>
          <w:tcPr>
            <w:tcW w:w="1710" w:type="dxa"/>
            <w:vAlign w:val="bottom"/>
          </w:tcPr>
          <w:p w14:paraId="46042B1B" w14:textId="77777777" w:rsidR="00E474D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Pontevedra Capital</w:t>
            </w:r>
          </w:p>
        </w:tc>
        <w:tc>
          <w:tcPr>
            <w:tcW w:w="1465" w:type="dxa"/>
            <w:vAlign w:val="bottom"/>
          </w:tcPr>
          <w:p w14:paraId="28F672BE"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4,0%</w:t>
            </w:r>
          </w:p>
        </w:tc>
        <w:tc>
          <w:tcPr>
            <w:tcW w:w="1465" w:type="dxa"/>
            <w:vAlign w:val="bottom"/>
          </w:tcPr>
          <w:p w14:paraId="119CA4E3"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3,8%</w:t>
            </w:r>
          </w:p>
        </w:tc>
        <w:tc>
          <w:tcPr>
            <w:tcW w:w="1589" w:type="dxa"/>
            <w:vAlign w:val="bottom"/>
          </w:tcPr>
          <w:p w14:paraId="416E6557"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color w:val="000000"/>
                <w:sz w:val="20"/>
                <w:szCs w:val="20"/>
              </w:rPr>
              <w:t>4,2%</w:t>
            </w:r>
          </w:p>
        </w:tc>
        <w:tc>
          <w:tcPr>
            <w:tcW w:w="1559" w:type="dxa"/>
            <w:vAlign w:val="bottom"/>
          </w:tcPr>
          <w:p w14:paraId="4332A262"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b/>
                <w:color w:val="000000"/>
                <w:sz w:val="20"/>
                <w:szCs w:val="20"/>
              </w:rPr>
              <w:t>5,0%</w:t>
            </w:r>
          </w:p>
        </w:tc>
      </w:tr>
      <w:tr w:rsidR="00E474DA" w14:paraId="7B3B4683" w14:textId="77777777" w:rsidTr="00E474D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710" w:type="dxa"/>
            <w:vAlign w:val="bottom"/>
          </w:tcPr>
          <w:p w14:paraId="0A5A340C" w14:textId="77777777" w:rsidR="00E474DA" w:rsidRDefault="00000000">
            <w:pPr>
              <w:rPr>
                <w:rFonts w:ascii="Open Sans" w:eastAsia="Open Sans" w:hAnsi="Open Sans" w:cs="Open Sans"/>
                <w:sz w:val="20"/>
                <w:szCs w:val="20"/>
              </w:rPr>
            </w:pPr>
            <w:r>
              <w:rPr>
                <w:rFonts w:ascii="Open Sans" w:eastAsia="Open Sans" w:hAnsi="Open Sans" w:cs="Open Sans"/>
                <w:b w:val="0"/>
                <w:sz w:val="20"/>
                <w:szCs w:val="20"/>
              </w:rPr>
              <w:t>Baleares</w:t>
            </w:r>
          </w:p>
        </w:tc>
        <w:tc>
          <w:tcPr>
            <w:tcW w:w="1710" w:type="dxa"/>
            <w:vAlign w:val="bottom"/>
          </w:tcPr>
          <w:p w14:paraId="418B778B" w14:textId="77777777" w:rsidR="00E474D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Palma de Mallorca</w:t>
            </w:r>
          </w:p>
        </w:tc>
        <w:tc>
          <w:tcPr>
            <w:tcW w:w="1465" w:type="dxa"/>
            <w:vAlign w:val="bottom"/>
          </w:tcPr>
          <w:p w14:paraId="1E75D867"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4,3%</w:t>
            </w:r>
          </w:p>
        </w:tc>
        <w:tc>
          <w:tcPr>
            <w:tcW w:w="1465" w:type="dxa"/>
            <w:vAlign w:val="bottom"/>
          </w:tcPr>
          <w:p w14:paraId="29FBB725"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9,4%</w:t>
            </w:r>
          </w:p>
        </w:tc>
        <w:tc>
          <w:tcPr>
            <w:tcW w:w="1589" w:type="dxa"/>
            <w:vAlign w:val="bottom"/>
          </w:tcPr>
          <w:p w14:paraId="38ADC41C"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color w:val="000000"/>
                <w:sz w:val="20"/>
                <w:szCs w:val="20"/>
              </w:rPr>
              <w:t>5,6%</w:t>
            </w:r>
          </w:p>
        </w:tc>
        <w:tc>
          <w:tcPr>
            <w:tcW w:w="1559" w:type="dxa"/>
            <w:vAlign w:val="bottom"/>
          </w:tcPr>
          <w:p w14:paraId="7D492C74"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b/>
                <w:color w:val="000000"/>
                <w:sz w:val="20"/>
                <w:szCs w:val="20"/>
              </w:rPr>
              <w:t>4,8%</w:t>
            </w:r>
          </w:p>
        </w:tc>
      </w:tr>
      <w:tr w:rsidR="00E474DA" w14:paraId="11EE4824" w14:textId="77777777" w:rsidTr="00E474DA">
        <w:trPr>
          <w:trHeight w:val="272"/>
        </w:trPr>
        <w:tc>
          <w:tcPr>
            <w:cnfStyle w:val="001000000000" w:firstRow="0" w:lastRow="0" w:firstColumn="1" w:lastColumn="0" w:oddVBand="0" w:evenVBand="0" w:oddHBand="0" w:evenHBand="0" w:firstRowFirstColumn="0" w:firstRowLastColumn="0" w:lastRowFirstColumn="0" w:lastRowLastColumn="0"/>
            <w:tcW w:w="1710" w:type="dxa"/>
            <w:vAlign w:val="bottom"/>
          </w:tcPr>
          <w:p w14:paraId="2C0D10D8" w14:textId="77777777" w:rsidR="00E474DA" w:rsidRDefault="00000000">
            <w:pPr>
              <w:rPr>
                <w:rFonts w:ascii="Open Sans" w:eastAsia="Open Sans" w:hAnsi="Open Sans" w:cs="Open Sans"/>
                <w:sz w:val="20"/>
                <w:szCs w:val="20"/>
              </w:rPr>
            </w:pPr>
            <w:r>
              <w:rPr>
                <w:rFonts w:ascii="Open Sans" w:eastAsia="Open Sans" w:hAnsi="Open Sans" w:cs="Open Sans"/>
                <w:b w:val="0"/>
                <w:sz w:val="20"/>
                <w:szCs w:val="20"/>
              </w:rPr>
              <w:t>Galicia</w:t>
            </w:r>
          </w:p>
        </w:tc>
        <w:tc>
          <w:tcPr>
            <w:tcW w:w="1710" w:type="dxa"/>
            <w:vAlign w:val="bottom"/>
          </w:tcPr>
          <w:p w14:paraId="0C4BEEB0" w14:textId="77777777" w:rsidR="00E474D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Vigo</w:t>
            </w:r>
          </w:p>
        </w:tc>
        <w:tc>
          <w:tcPr>
            <w:tcW w:w="1465" w:type="dxa"/>
            <w:vAlign w:val="bottom"/>
          </w:tcPr>
          <w:p w14:paraId="58107C99"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3,5%</w:t>
            </w:r>
          </w:p>
        </w:tc>
        <w:tc>
          <w:tcPr>
            <w:tcW w:w="1465" w:type="dxa"/>
            <w:vAlign w:val="bottom"/>
          </w:tcPr>
          <w:p w14:paraId="0B88EF4C"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3,7%</w:t>
            </w:r>
          </w:p>
        </w:tc>
        <w:tc>
          <w:tcPr>
            <w:tcW w:w="1589" w:type="dxa"/>
            <w:vAlign w:val="bottom"/>
          </w:tcPr>
          <w:p w14:paraId="1F50F7CD"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color w:val="000000"/>
                <w:sz w:val="20"/>
                <w:szCs w:val="20"/>
              </w:rPr>
              <w:t>4,7%</w:t>
            </w:r>
          </w:p>
        </w:tc>
        <w:tc>
          <w:tcPr>
            <w:tcW w:w="1559" w:type="dxa"/>
            <w:vAlign w:val="bottom"/>
          </w:tcPr>
          <w:p w14:paraId="003F2800"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b/>
                <w:color w:val="000000"/>
                <w:sz w:val="20"/>
                <w:szCs w:val="20"/>
              </w:rPr>
              <w:t>4,8%</w:t>
            </w:r>
          </w:p>
        </w:tc>
      </w:tr>
      <w:tr w:rsidR="00E474DA" w14:paraId="6E1086F0" w14:textId="77777777" w:rsidTr="00E474D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710" w:type="dxa"/>
            <w:vAlign w:val="bottom"/>
          </w:tcPr>
          <w:p w14:paraId="7D525322" w14:textId="77777777" w:rsidR="00E474DA" w:rsidRDefault="00000000">
            <w:pPr>
              <w:rPr>
                <w:rFonts w:ascii="Open Sans" w:eastAsia="Open Sans" w:hAnsi="Open Sans" w:cs="Open Sans"/>
                <w:sz w:val="20"/>
                <w:szCs w:val="20"/>
              </w:rPr>
            </w:pPr>
            <w:r>
              <w:rPr>
                <w:rFonts w:ascii="Open Sans" w:eastAsia="Open Sans" w:hAnsi="Open Sans" w:cs="Open Sans"/>
                <w:b w:val="0"/>
                <w:sz w:val="20"/>
                <w:szCs w:val="20"/>
              </w:rPr>
              <w:t>Cataluña</w:t>
            </w:r>
          </w:p>
        </w:tc>
        <w:tc>
          <w:tcPr>
            <w:tcW w:w="1710" w:type="dxa"/>
            <w:vAlign w:val="bottom"/>
          </w:tcPr>
          <w:p w14:paraId="5A4C478D" w14:textId="77777777" w:rsidR="00E474D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Sitges</w:t>
            </w:r>
          </w:p>
        </w:tc>
        <w:tc>
          <w:tcPr>
            <w:tcW w:w="1465" w:type="dxa"/>
            <w:vAlign w:val="bottom"/>
          </w:tcPr>
          <w:p w14:paraId="3B61D68C"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3,2%</w:t>
            </w:r>
          </w:p>
        </w:tc>
        <w:tc>
          <w:tcPr>
            <w:tcW w:w="1465" w:type="dxa"/>
            <w:vAlign w:val="bottom"/>
          </w:tcPr>
          <w:p w14:paraId="33708909"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3,3%</w:t>
            </w:r>
          </w:p>
        </w:tc>
        <w:tc>
          <w:tcPr>
            <w:tcW w:w="1589" w:type="dxa"/>
            <w:vAlign w:val="bottom"/>
          </w:tcPr>
          <w:p w14:paraId="7F45DF61"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color w:val="000000"/>
                <w:sz w:val="20"/>
                <w:szCs w:val="20"/>
              </w:rPr>
              <w:t>4,7%</w:t>
            </w:r>
          </w:p>
        </w:tc>
        <w:tc>
          <w:tcPr>
            <w:tcW w:w="1559" w:type="dxa"/>
            <w:vAlign w:val="bottom"/>
          </w:tcPr>
          <w:p w14:paraId="36978686"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b/>
                <w:color w:val="000000"/>
                <w:sz w:val="20"/>
                <w:szCs w:val="20"/>
              </w:rPr>
              <w:t>4,7%</w:t>
            </w:r>
          </w:p>
        </w:tc>
      </w:tr>
      <w:tr w:rsidR="00E474DA" w14:paraId="1E8A752B" w14:textId="77777777" w:rsidTr="00E474DA">
        <w:trPr>
          <w:trHeight w:val="272"/>
        </w:trPr>
        <w:tc>
          <w:tcPr>
            <w:cnfStyle w:val="001000000000" w:firstRow="0" w:lastRow="0" w:firstColumn="1" w:lastColumn="0" w:oddVBand="0" w:evenVBand="0" w:oddHBand="0" w:evenHBand="0" w:firstRowFirstColumn="0" w:firstRowLastColumn="0" w:lastRowFirstColumn="0" w:lastRowLastColumn="0"/>
            <w:tcW w:w="1710" w:type="dxa"/>
            <w:vAlign w:val="bottom"/>
          </w:tcPr>
          <w:p w14:paraId="0B15913D" w14:textId="77777777" w:rsidR="00E474DA" w:rsidRDefault="00000000">
            <w:pPr>
              <w:rPr>
                <w:rFonts w:ascii="Open Sans" w:eastAsia="Open Sans" w:hAnsi="Open Sans" w:cs="Open Sans"/>
                <w:sz w:val="20"/>
                <w:szCs w:val="20"/>
              </w:rPr>
            </w:pPr>
            <w:r>
              <w:rPr>
                <w:rFonts w:ascii="Open Sans" w:eastAsia="Open Sans" w:hAnsi="Open Sans" w:cs="Open Sans"/>
                <w:b w:val="0"/>
                <w:sz w:val="20"/>
                <w:szCs w:val="20"/>
              </w:rPr>
              <w:t>Andalucía</w:t>
            </w:r>
          </w:p>
        </w:tc>
        <w:tc>
          <w:tcPr>
            <w:tcW w:w="1710" w:type="dxa"/>
            <w:vAlign w:val="bottom"/>
          </w:tcPr>
          <w:p w14:paraId="557181F0" w14:textId="77777777" w:rsidR="00E474D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Fuengirola</w:t>
            </w:r>
          </w:p>
        </w:tc>
        <w:tc>
          <w:tcPr>
            <w:tcW w:w="1465" w:type="dxa"/>
            <w:vAlign w:val="bottom"/>
          </w:tcPr>
          <w:p w14:paraId="7E92B78A"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4,0%</w:t>
            </w:r>
          </w:p>
        </w:tc>
        <w:tc>
          <w:tcPr>
            <w:tcW w:w="1465" w:type="dxa"/>
            <w:vAlign w:val="bottom"/>
          </w:tcPr>
          <w:p w14:paraId="5D9823CA"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4,8%</w:t>
            </w:r>
          </w:p>
        </w:tc>
        <w:tc>
          <w:tcPr>
            <w:tcW w:w="1589" w:type="dxa"/>
          </w:tcPr>
          <w:p w14:paraId="30A1E38F"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color w:val="000000"/>
                <w:sz w:val="20"/>
                <w:szCs w:val="20"/>
              </w:rPr>
              <w:t>-</w:t>
            </w:r>
          </w:p>
        </w:tc>
        <w:tc>
          <w:tcPr>
            <w:tcW w:w="1559" w:type="dxa"/>
            <w:vAlign w:val="bottom"/>
          </w:tcPr>
          <w:p w14:paraId="4DA3C35C"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b/>
                <w:color w:val="000000"/>
                <w:sz w:val="20"/>
                <w:szCs w:val="20"/>
              </w:rPr>
              <w:t>4,7%</w:t>
            </w:r>
          </w:p>
        </w:tc>
      </w:tr>
      <w:tr w:rsidR="00E474DA" w14:paraId="035CF323" w14:textId="77777777" w:rsidTr="00E474D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710" w:type="dxa"/>
            <w:vAlign w:val="bottom"/>
          </w:tcPr>
          <w:p w14:paraId="40BDB6CE" w14:textId="77777777" w:rsidR="00E474DA" w:rsidRDefault="00000000">
            <w:pPr>
              <w:rPr>
                <w:rFonts w:ascii="Open Sans" w:eastAsia="Open Sans" w:hAnsi="Open Sans" w:cs="Open Sans"/>
                <w:sz w:val="20"/>
                <w:szCs w:val="20"/>
              </w:rPr>
            </w:pPr>
            <w:r>
              <w:rPr>
                <w:rFonts w:ascii="Open Sans" w:eastAsia="Open Sans" w:hAnsi="Open Sans" w:cs="Open Sans"/>
                <w:b w:val="0"/>
                <w:sz w:val="20"/>
                <w:szCs w:val="20"/>
              </w:rPr>
              <w:t>Comunitat Valenciana</w:t>
            </w:r>
          </w:p>
        </w:tc>
        <w:tc>
          <w:tcPr>
            <w:tcW w:w="1710" w:type="dxa"/>
            <w:vAlign w:val="bottom"/>
          </w:tcPr>
          <w:p w14:paraId="491AE1EA" w14:textId="77777777" w:rsidR="00E474D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Orihuela</w:t>
            </w:r>
          </w:p>
        </w:tc>
        <w:tc>
          <w:tcPr>
            <w:tcW w:w="1465" w:type="dxa"/>
            <w:vAlign w:val="bottom"/>
          </w:tcPr>
          <w:p w14:paraId="2759A91F"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w:t>
            </w:r>
          </w:p>
        </w:tc>
        <w:tc>
          <w:tcPr>
            <w:tcW w:w="1465" w:type="dxa"/>
            <w:vAlign w:val="bottom"/>
          </w:tcPr>
          <w:p w14:paraId="35B9DF4E"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4,4%</w:t>
            </w:r>
          </w:p>
        </w:tc>
        <w:tc>
          <w:tcPr>
            <w:tcW w:w="1589" w:type="dxa"/>
          </w:tcPr>
          <w:p w14:paraId="36B89365"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color w:val="000000"/>
                <w:sz w:val="20"/>
                <w:szCs w:val="20"/>
              </w:rPr>
              <w:t>-</w:t>
            </w:r>
          </w:p>
        </w:tc>
        <w:tc>
          <w:tcPr>
            <w:tcW w:w="1559" w:type="dxa"/>
            <w:vAlign w:val="bottom"/>
          </w:tcPr>
          <w:p w14:paraId="61FB5E49"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b/>
                <w:color w:val="000000"/>
                <w:sz w:val="20"/>
                <w:szCs w:val="20"/>
              </w:rPr>
              <w:t>4,4%</w:t>
            </w:r>
          </w:p>
        </w:tc>
      </w:tr>
      <w:tr w:rsidR="00E474DA" w14:paraId="12004743" w14:textId="77777777" w:rsidTr="00E474DA">
        <w:trPr>
          <w:trHeight w:val="272"/>
        </w:trPr>
        <w:tc>
          <w:tcPr>
            <w:cnfStyle w:val="001000000000" w:firstRow="0" w:lastRow="0" w:firstColumn="1" w:lastColumn="0" w:oddVBand="0" w:evenVBand="0" w:oddHBand="0" w:evenHBand="0" w:firstRowFirstColumn="0" w:firstRowLastColumn="0" w:lastRowFirstColumn="0" w:lastRowLastColumn="0"/>
            <w:tcW w:w="1710" w:type="dxa"/>
            <w:vAlign w:val="bottom"/>
          </w:tcPr>
          <w:p w14:paraId="1FE82650" w14:textId="77777777" w:rsidR="00E474DA" w:rsidRDefault="00000000">
            <w:pPr>
              <w:rPr>
                <w:rFonts w:ascii="Open Sans" w:eastAsia="Open Sans" w:hAnsi="Open Sans" w:cs="Open Sans"/>
                <w:sz w:val="20"/>
                <w:szCs w:val="20"/>
              </w:rPr>
            </w:pPr>
            <w:r>
              <w:rPr>
                <w:rFonts w:ascii="Open Sans" w:eastAsia="Open Sans" w:hAnsi="Open Sans" w:cs="Open Sans"/>
                <w:b w:val="0"/>
                <w:sz w:val="20"/>
                <w:szCs w:val="20"/>
              </w:rPr>
              <w:t>País Vasco</w:t>
            </w:r>
          </w:p>
        </w:tc>
        <w:tc>
          <w:tcPr>
            <w:tcW w:w="1710" w:type="dxa"/>
            <w:vAlign w:val="bottom"/>
          </w:tcPr>
          <w:p w14:paraId="28127F11" w14:textId="77777777" w:rsidR="00E474DA"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Donostia - San Sebastián</w:t>
            </w:r>
          </w:p>
        </w:tc>
        <w:tc>
          <w:tcPr>
            <w:tcW w:w="1465" w:type="dxa"/>
            <w:vAlign w:val="bottom"/>
          </w:tcPr>
          <w:p w14:paraId="68A164E6"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3,0%</w:t>
            </w:r>
          </w:p>
        </w:tc>
        <w:tc>
          <w:tcPr>
            <w:tcW w:w="1465" w:type="dxa"/>
            <w:vAlign w:val="bottom"/>
          </w:tcPr>
          <w:p w14:paraId="12A8AE77"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3,0%</w:t>
            </w:r>
          </w:p>
        </w:tc>
        <w:tc>
          <w:tcPr>
            <w:tcW w:w="1589" w:type="dxa"/>
            <w:vAlign w:val="bottom"/>
          </w:tcPr>
          <w:p w14:paraId="6C39B5B6"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color w:val="000000"/>
                <w:sz w:val="20"/>
                <w:szCs w:val="20"/>
              </w:rPr>
              <w:t>4,0%</w:t>
            </w:r>
          </w:p>
        </w:tc>
        <w:tc>
          <w:tcPr>
            <w:tcW w:w="1559" w:type="dxa"/>
            <w:vAlign w:val="bottom"/>
          </w:tcPr>
          <w:p w14:paraId="7CFD06F1" w14:textId="77777777" w:rsidR="00E474DA"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b/>
                <w:color w:val="000000"/>
                <w:sz w:val="20"/>
                <w:szCs w:val="20"/>
              </w:rPr>
              <w:t>3,9%</w:t>
            </w:r>
          </w:p>
        </w:tc>
      </w:tr>
      <w:tr w:rsidR="00E474DA" w14:paraId="183F2C02" w14:textId="77777777" w:rsidTr="00E474D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710" w:type="dxa"/>
            <w:vAlign w:val="bottom"/>
          </w:tcPr>
          <w:p w14:paraId="2FBA849F" w14:textId="77777777" w:rsidR="00E474DA" w:rsidRDefault="00000000">
            <w:pPr>
              <w:rPr>
                <w:rFonts w:ascii="Open Sans" w:eastAsia="Open Sans" w:hAnsi="Open Sans" w:cs="Open Sans"/>
                <w:sz w:val="20"/>
                <w:szCs w:val="20"/>
              </w:rPr>
            </w:pPr>
            <w:r>
              <w:rPr>
                <w:rFonts w:ascii="Open Sans" w:eastAsia="Open Sans" w:hAnsi="Open Sans" w:cs="Open Sans"/>
                <w:b w:val="0"/>
                <w:sz w:val="20"/>
                <w:szCs w:val="20"/>
              </w:rPr>
              <w:t>País Vasco</w:t>
            </w:r>
          </w:p>
        </w:tc>
        <w:tc>
          <w:tcPr>
            <w:tcW w:w="1710" w:type="dxa"/>
            <w:vAlign w:val="bottom"/>
          </w:tcPr>
          <w:p w14:paraId="217E92D8" w14:textId="77777777" w:rsidR="00E474DA"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Getxo</w:t>
            </w:r>
          </w:p>
        </w:tc>
        <w:tc>
          <w:tcPr>
            <w:tcW w:w="1465" w:type="dxa"/>
            <w:vAlign w:val="bottom"/>
          </w:tcPr>
          <w:p w14:paraId="0FD41C19"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3,2%</w:t>
            </w:r>
          </w:p>
        </w:tc>
        <w:tc>
          <w:tcPr>
            <w:tcW w:w="1465" w:type="dxa"/>
            <w:vAlign w:val="bottom"/>
          </w:tcPr>
          <w:p w14:paraId="5746A453"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color w:val="000000"/>
                <w:sz w:val="20"/>
                <w:szCs w:val="20"/>
              </w:rPr>
              <w:t>3,6%</w:t>
            </w:r>
          </w:p>
        </w:tc>
        <w:tc>
          <w:tcPr>
            <w:tcW w:w="1589" w:type="dxa"/>
            <w:vAlign w:val="bottom"/>
          </w:tcPr>
          <w:p w14:paraId="4C1AFBAA"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color w:val="000000"/>
                <w:sz w:val="20"/>
                <w:szCs w:val="20"/>
              </w:rPr>
              <w:t>4,0%</w:t>
            </w:r>
          </w:p>
        </w:tc>
        <w:tc>
          <w:tcPr>
            <w:tcW w:w="1559" w:type="dxa"/>
            <w:vAlign w:val="bottom"/>
          </w:tcPr>
          <w:p w14:paraId="423577BC" w14:textId="77777777" w:rsidR="00E474DA"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0"/>
                <w:szCs w:val="20"/>
              </w:rPr>
            </w:pPr>
            <w:r>
              <w:rPr>
                <w:rFonts w:ascii="Open Sans" w:eastAsia="Open Sans" w:hAnsi="Open Sans" w:cs="Open Sans"/>
                <w:b/>
                <w:color w:val="000000"/>
                <w:sz w:val="20"/>
                <w:szCs w:val="20"/>
              </w:rPr>
              <w:t>3,7%</w:t>
            </w:r>
          </w:p>
        </w:tc>
      </w:tr>
    </w:tbl>
    <w:p w14:paraId="4A8811DB" w14:textId="77777777" w:rsidR="00E474DA" w:rsidRDefault="00000000">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 xml:space="preserve">Los municipios costeros menos rentables </w:t>
      </w:r>
    </w:p>
    <w:p w14:paraId="6121E330" w14:textId="77777777" w:rsidR="00E474DA"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el otro extremo, ciudades costeras con rentabilidad media de la vivienda inferior al 5% son Getxo (3,7%), Donostia - San Sebastián (3,9%), Orihuela (4,4%), Fuengirola (4,7%), Sitges (4,7%), Vigo (4,8%) y Palma de Mallorca (4,8%).</w:t>
      </w:r>
    </w:p>
    <w:p w14:paraId="6C15801A" w14:textId="77777777" w:rsidR="00E474DA" w:rsidRDefault="00000000">
      <w:pPr>
        <w:spacing w:line="276" w:lineRule="auto"/>
        <w:ind w:right="-574"/>
        <w:jc w:val="center"/>
        <w:rPr>
          <w:rFonts w:ascii="Open Sans Light" w:eastAsia="Open Sans Light" w:hAnsi="Open Sans Light" w:cs="Open Sans Light"/>
          <w:b/>
          <w:color w:val="303AB2"/>
        </w:rPr>
      </w:pPr>
      <w:r>
        <w:rPr>
          <w:rFonts w:ascii="Open Sans Light" w:eastAsia="Open Sans Light" w:hAnsi="Open Sans Light" w:cs="Open Sans Light"/>
          <w:b/>
          <w:color w:val="303AB2"/>
        </w:rPr>
        <w:t>Comparativa de las ciudades costeras menos rentables para invertir en vivienda 2013-2023</w:t>
      </w:r>
    </w:p>
    <w:p w14:paraId="0FE05338" w14:textId="77777777" w:rsidR="00E474DA" w:rsidRDefault="00000000">
      <w:pPr>
        <w:spacing w:line="276" w:lineRule="auto"/>
        <w:ind w:right="-574"/>
        <w:jc w:val="center"/>
        <w:rPr>
          <w:rFonts w:ascii="Open Sans Light" w:eastAsia="Open Sans Light" w:hAnsi="Open Sans Light" w:cs="Open Sans Light"/>
          <w:b/>
          <w:color w:val="303AB2"/>
        </w:rPr>
      </w:pPr>
      <w:r>
        <w:rPr>
          <w:noProof/>
        </w:rPr>
        <w:drawing>
          <wp:inline distT="0" distB="0" distL="0" distR="0" wp14:anchorId="4DA18F8E" wp14:editId="4A0D145A">
            <wp:extent cx="5963194" cy="3272790"/>
            <wp:effectExtent l="0" t="0" r="0" b="0"/>
            <wp:docPr id="1813282163" name="Gráfico 181328216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BE542DE" w14:textId="77777777" w:rsidR="00E474DA" w:rsidRDefault="00E474DA">
      <w:pPr>
        <w:spacing w:line="276" w:lineRule="auto"/>
        <w:ind w:right="-574"/>
        <w:jc w:val="center"/>
        <w:rPr>
          <w:rFonts w:ascii="Open Sans Light" w:eastAsia="Open Sans Light" w:hAnsi="Open Sans Light" w:cs="Open Sans Light"/>
          <w:b/>
          <w:color w:val="303AB2"/>
        </w:rPr>
      </w:pPr>
    </w:p>
    <w:p w14:paraId="47BC3FDA" w14:textId="77777777" w:rsidR="00E474DA" w:rsidRDefault="00000000">
      <w:pPr>
        <w:spacing w:line="276" w:lineRule="auto"/>
        <w:ind w:right="-574"/>
        <w:jc w:val="right"/>
        <w:rPr>
          <w:rFonts w:ascii="Open Sans" w:eastAsia="Open Sans" w:hAnsi="Open Sans" w:cs="Open Sans"/>
          <w:b/>
          <w:color w:val="303AB2"/>
        </w:rPr>
      </w:pPr>
      <w:r>
        <w:rPr>
          <w:rFonts w:ascii="Open Sans" w:eastAsia="Open Sans" w:hAnsi="Open Sans" w:cs="Open Sans"/>
          <w:b/>
          <w:color w:val="303AB2"/>
        </w:rPr>
        <w:lastRenderedPageBreak/>
        <w:t>Sobre Fotocasa</w:t>
      </w:r>
    </w:p>
    <w:p w14:paraId="1BEA70A7" w14:textId="77777777" w:rsidR="00E474DA" w:rsidRDefault="00000000">
      <w:pP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4">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p w14:paraId="0BF08413" w14:textId="77777777" w:rsidR="00E474DA" w:rsidRDefault="00000000">
      <w:pPr>
        <w:shd w:val="clear" w:color="auto" w:fill="FFFFFF"/>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Toda nuestra información la puedes encontrar en nuestra </w:t>
      </w:r>
      <w:hyperlink r:id="rId15">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2" w:name="_heading=h.30j0zll" w:colFirst="0" w:colLast="0"/>
    <w:bookmarkEnd w:id="2"/>
    <w:p w14:paraId="2507725E" w14:textId="77777777" w:rsidR="00E474DA" w:rsidRDefault="00000000">
      <w:pPr>
        <w:shd w:val="clear" w:color="auto" w:fill="FFFFFF"/>
        <w:spacing w:before="280" w:after="280" w:line="276" w:lineRule="auto"/>
        <w:ind w:right="-574"/>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hyperlink r:id="rId16">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una empresa 100% especializada en Marketplace</w:t>
      </w:r>
      <w:r>
        <w:rPr>
          <w:rFonts w:ascii="Open Sans" w:eastAsia="Open Sans" w:hAnsi="Open Sans" w:cs="Open Sans"/>
          <w:sz w:val="22"/>
          <w:szCs w:val="22"/>
        </w:rPr>
        <w:t>s</w:t>
      </w:r>
      <w:r>
        <w:rPr>
          <w:rFonts w:ascii="Open Sans" w:eastAsia="Open Sans" w:hAnsi="Open Sans" w:cs="Open Sans"/>
          <w:color w:val="000000"/>
          <w:sz w:val="22"/>
          <w:szCs w:val="22"/>
        </w:rPr>
        <w:t xml:space="preserve"> digitales y el único “pure player” del sector a nivel mundial. </w:t>
      </w:r>
    </w:p>
    <w:p w14:paraId="29BB5319" w14:textId="77777777" w:rsidR="00E474DA" w:rsidRDefault="00000000">
      <w:pPr>
        <w:spacing w:line="276" w:lineRule="auto"/>
        <w:ind w:right="-574"/>
        <w:rPr>
          <w:rFonts w:ascii="Open Sans" w:eastAsia="Open Sans" w:hAnsi="Open Sans" w:cs="Open Sans"/>
          <w:color w:val="000000"/>
          <w:sz w:val="22"/>
          <w:szCs w:val="22"/>
        </w:rPr>
      </w:pPr>
      <w:hyperlink r:id="rId17">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126F9C7C" w14:textId="77777777" w:rsidR="00E474DA" w:rsidRDefault="00000000">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Adevinta Spain</w:t>
      </w:r>
    </w:p>
    <w:p w14:paraId="5ED2EF93" w14:textId="77777777" w:rsidR="00E474DA" w:rsidRDefault="00000000">
      <w:pPr>
        <w:spacing w:before="143" w:after="200"/>
        <w:ind w:right="-574"/>
        <w:jc w:val="both"/>
        <w:rPr>
          <w:rFonts w:ascii="Open Sans" w:eastAsia="Open Sans" w:hAnsi="Open Sans" w:cs="Open Sans"/>
        </w:rPr>
      </w:pPr>
      <w:r>
        <w:rPr>
          <w:rFonts w:ascii="Open Sans" w:eastAsia="Open Sans" w:hAnsi="Open Sans" w:cs="Open Sans"/>
          <w:sz w:val="22"/>
          <w:szCs w:val="22"/>
        </w:rPr>
        <w:t>Adevinta Spain es una compañía líder en marketplaces digitales y una de las principales empresas del sector tecnológico del país, con más de 18 millones de usuarios al mes en sus plataformas de los sectores inmobiliario (</w:t>
      </w:r>
      <w:hyperlink r:id="rId18">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9">
        <w:r>
          <w:rPr>
            <w:rFonts w:ascii="Open Sans" w:eastAsia="Open Sans" w:hAnsi="Open Sans" w:cs="Open Sans"/>
            <w:color w:val="1155CC"/>
            <w:sz w:val="22"/>
            <w:szCs w:val="22"/>
            <w:u w:val="single"/>
          </w:rPr>
          <w:t>habitaclia</w:t>
        </w:r>
      </w:hyperlink>
      <w:r>
        <w:rPr>
          <w:rFonts w:ascii="Open Sans" w:eastAsia="Open Sans" w:hAnsi="Open Sans" w:cs="Open Sans"/>
          <w:sz w:val="22"/>
          <w:szCs w:val="22"/>
        </w:rPr>
        <w:t>), empleo (</w:t>
      </w:r>
      <w:hyperlink r:id="rId20">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1">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2">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hyperlink r:id="rId23">
        <w:r>
          <w:rPr>
            <w:rFonts w:ascii="Open Sans" w:eastAsia="Open Sans" w:hAnsi="Open Sans" w:cs="Open Sans"/>
            <w:color w:val="1155CC"/>
            <w:sz w:val="22"/>
            <w:szCs w:val="22"/>
            <w:u w:val="single"/>
          </w:rPr>
          <w:t>Milanuncios</w:t>
        </w:r>
      </w:hyperlink>
      <w:r>
        <w:rPr>
          <w:rFonts w:ascii="Open Sans" w:eastAsia="Open Sans" w:hAnsi="Open Sans" w:cs="Open Sans"/>
          <w:sz w:val="22"/>
          <w:szCs w:val="22"/>
        </w:rPr>
        <w:t>).</w:t>
      </w:r>
    </w:p>
    <w:p w14:paraId="5D3DD2E3" w14:textId="77777777" w:rsidR="00E474DA" w:rsidRDefault="00000000">
      <w:pPr>
        <w:spacing w:after="160"/>
        <w:ind w:right="-574"/>
        <w:jc w:val="both"/>
        <w:rPr>
          <w:rFonts w:ascii="Open Sans" w:eastAsia="Open Sans" w:hAnsi="Open Sans" w:cs="Open Sans"/>
        </w:rPr>
      </w:pPr>
      <w:r>
        <w:rPr>
          <w:rFonts w:ascii="Open Sans" w:eastAsia="Open Sans" w:hAnsi="Open Sans" w:cs="Open Sans"/>
          <w:sz w:val="22"/>
          <w:szCs w:val="22"/>
        </w:rPr>
        <w:t>Los negocios de Adevinta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27D02B4E" w14:textId="77777777" w:rsidR="00E474DA" w:rsidRDefault="00000000">
      <w:pPr>
        <w:spacing w:after="160"/>
        <w:ind w:right="-574"/>
        <w:jc w:val="both"/>
        <w:rPr>
          <w:rFonts w:ascii="Open Sans" w:eastAsia="Open Sans" w:hAnsi="Open Sans" w:cs="Open Sans"/>
        </w:rPr>
      </w:pPr>
      <w:r>
        <w:rPr>
          <w:rFonts w:ascii="Open Sans" w:eastAsia="Open Sans" w:hAnsi="Open Sans" w:cs="Open Sans"/>
          <w:sz w:val="22"/>
          <w:szCs w:val="22"/>
        </w:rPr>
        <w:t>Adevinta tiene presencia mundial en 14 países. El conjunto de sus plataformas locales recibe un promedio de 1.300 millones de visitas cada mes. </w:t>
      </w:r>
    </w:p>
    <w:p w14:paraId="781A04D5" w14:textId="77777777" w:rsidR="00E474DA" w:rsidRDefault="00000000">
      <w:pPr>
        <w:spacing w:after="160"/>
        <w:ind w:right="-574"/>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4">
        <w:r>
          <w:rPr>
            <w:rFonts w:ascii="Open Sans" w:eastAsia="Open Sans" w:hAnsi="Open Sans" w:cs="Open Sans"/>
            <w:color w:val="1155CC"/>
            <w:sz w:val="22"/>
            <w:szCs w:val="22"/>
            <w:u w:val="single"/>
          </w:rPr>
          <w:t>adevinta.es</w:t>
        </w:r>
      </w:hyperlink>
    </w:p>
    <w:p w14:paraId="193853BF" w14:textId="77777777" w:rsidR="00E474DA" w:rsidRDefault="00E474DA">
      <w:pPr>
        <w:spacing w:after="160"/>
        <w:ind w:right="-574"/>
        <w:jc w:val="both"/>
        <w:rPr>
          <w:rFonts w:ascii="Open Sans" w:eastAsia="Open Sans" w:hAnsi="Open Sans" w:cs="Open Sans"/>
          <w:color w:val="1155CC"/>
          <w:sz w:val="22"/>
          <w:szCs w:val="22"/>
          <w:u w:val="single"/>
        </w:rPr>
      </w:pPr>
    </w:p>
    <w:p w14:paraId="20F17D50" w14:textId="77777777" w:rsidR="00E474DA"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6B611F01" w14:textId="77777777" w:rsidR="00E474DA"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07EF6B5E" w14:textId="77777777" w:rsidR="00E474DA" w:rsidRDefault="00000000">
      <w:pPr>
        <w:shd w:val="clear" w:color="auto" w:fill="FFFFFF"/>
        <w:spacing w:line="276" w:lineRule="auto"/>
        <w:ind w:right="-716"/>
        <w:rPr>
          <w:rFonts w:ascii="Open Sans" w:eastAsia="Open Sans" w:hAnsi="Open Sans" w:cs="Open Sans"/>
          <w:color w:val="0000FF"/>
          <w:sz w:val="22"/>
          <w:szCs w:val="22"/>
          <w:u w:val="single"/>
        </w:rPr>
      </w:pPr>
      <w:hyperlink r:id="rId25">
        <w:r>
          <w:rPr>
            <w:rFonts w:ascii="Open Sans" w:eastAsia="Open Sans" w:hAnsi="Open Sans" w:cs="Open Sans"/>
            <w:color w:val="0000FF"/>
            <w:sz w:val="22"/>
            <w:szCs w:val="22"/>
            <w:u w:val="single"/>
          </w:rPr>
          <w:t>comunicacion@fotocasa.es</w:t>
        </w:r>
      </w:hyperlink>
    </w:p>
    <w:p w14:paraId="06F6AE53" w14:textId="77777777" w:rsidR="00E474DA" w:rsidRDefault="00000000">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408A49F8" w14:textId="77777777" w:rsidR="00E474DA" w:rsidRDefault="00E474DA">
      <w:pPr>
        <w:spacing w:line="276" w:lineRule="auto"/>
        <w:ind w:right="-716"/>
        <w:rPr>
          <w:rFonts w:ascii="Open Sans Light" w:eastAsia="Open Sans Light" w:hAnsi="Open Sans Light" w:cs="Open Sans Light"/>
          <w:b/>
          <w:color w:val="303AB2"/>
          <w:sz w:val="22"/>
          <w:szCs w:val="22"/>
        </w:rPr>
      </w:pPr>
    </w:p>
    <w:p w14:paraId="14448231" w14:textId="77777777" w:rsidR="00E474DA" w:rsidRDefault="00E474DA">
      <w:pPr>
        <w:spacing w:line="276" w:lineRule="auto"/>
        <w:ind w:right="-716"/>
        <w:rPr>
          <w:rFonts w:ascii="Open Sans Light" w:eastAsia="Open Sans Light" w:hAnsi="Open Sans Light" w:cs="Open Sans Light"/>
          <w:b/>
          <w:color w:val="303AB2"/>
          <w:sz w:val="22"/>
          <w:szCs w:val="22"/>
        </w:rPr>
      </w:pPr>
    </w:p>
    <w:p w14:paraId="23435623" w14:textId="77777777" w:rsidR="00E474DA"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694C495D" w14:textId="77777777" w:rsidR="00E474DA"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2EA76E05" w14:textId="77777777" w:rsidR="00E474DA" w:rsidRPr="00027E61" w:rsidRDefault="00000000">
      <w:pPr>
        <w:shd w:val="clear" w:color="auto" w:fill="FFFFFF"/>
        <w:spacing w:line="276" w:lineRule="auto"/>
        <w:ind w:right="-716"/>
        <w:rPr>
          <w:rFonts w:ascii="Open Sans" w:eastAsia="Open Sans" w:hAnsi="Open Sans" w:cs="Open Sans"/>
          <w:color w:val="0000FF"/>
          <w:sz w:val="22"/>
          <w:szCs w:val="22"/>
          <w:u w:val="single"/>
          <w:lang w:val="en-US"/>
        </w:rPr>
      </w:pPr>
      <w:hyperlink r:id="rId26">
        <w:r w:rsidRPr="00027E61">
          <w:rPr>
            <w:rFonts w:ascii="Open Sans" w:eastAsia="Open Sans" w:hAnsi="Open Sans" w:cs="Open Sans"/>
            <w:color w:val="0000FF"/>
            <w:sz w:val="22"/>
            <w:szCs w:val="22"/>
            <w:u w:val="single"/>
            <w:lang w:val="en-US"/>
          </w:rPr>
          <w:t>rtorne@llorenteycuenca.com</w:t>
        </w:r>
      </w:hyperlink>
      <w:r w:rsidRPr="00027E61">
        <w:rPr>
          <w:rFonts w:ascii="Open Sans" w:eastAsia="Open Sans" w:hAnsi="Open Sans" w:cs="Open Sans"/>
          <w:color w:val="0000FF"/>
          <w:sz w:val="22"/>
          <w:szCs w:val="22"/>
          <w:lang w:val="en-US"/>
        </w:rPr>
        <w:tab/>
      </w:r>
      <w:r w:rsidRPr="00027E61">
        <w:rPr>
          <w:rFonts w:ascii="Open Sans" w:eastAsia="Open Sans" w:hAnsi="Open Sans" w:cs="Open Sans"/>
          <w:color w:val="0000FF"/>
          <w:sz w:val="22"/>
          <w:szCs w:val="22"/>
          <w:lang w:val="en-US"/>
        </w:rPr>
        <w:tab/>
      </w:r>
      <w:r w:rsidRPr="00027E61">
        <w:rPr>
          <w:rFonts w:ascii="Open Sans" w:eastAsia="Open Sans" w:hAnsi="Open Sans" w:cs="Open Sans"/>
          <w:color w:val="0000FF"/>
          <w:sz w:val="22"/>
          <w:szCs w:val="22"/>
          <w:lang w:val="en-US"/>
        </w:rPr>
        <w:tab/>
      </w:r>
    </w:p>
    <w:p w14:paraId="68348B9B" w14:textId="77777777" w:rsidR="00E474DA" w:rsidRPr="00027E61" w:rsidRDefault="00000000">
      <w:pPr>
        <w:shd w:val="clear" w:color="auto" w:fill="FFFFFF"/>
        <w:spacing w:line="276" w:lineRule="auto"/>
        <w:ind w:right="-716"/>
        <w:rPr>
          <w:rFonts w:ascii="Open Sans" w:eastAsia="Open Sans" w:hAnsi="Open Sans" w:cs="Open Sans"/>
          <w:color w:val="000000"/>
          <w:sz w:val="22"/>
          <w:szCs w:val="22"/>
          <w:lang w:val="en-US"/>
        </w:rPr>
      </w:pPr>
      <w:r w:rsidRPr="00027E61">
        <w:rPr>
          <w:rFonts w:ascii="Open Sans" w:eastAsia="Open Sans" w:hAnsi="Open Sans" w:cs="Open Sans"/>
          <w:color w:val="000000"/>
          <w:sz w:val="22"/>
          <w:szCs w:val="22"/>
          <w:lang w:val="en-US"/>
        </w:rPr>
        <w:t xml:space="preserve">638 68 19 85      </w:t>
      </w:r>
      <w:r w:rsidRPr="00027E61">
        <w:rPr>
          <w:rFonts w:ascii="Open Sans" w:eastAsia="Open Sans" w:hAnsi="Open Sans" w:cs="Open Sans"/>
          <w:color w:val="000000"/>
          <w:sz w:val="22"/>
          <w:szCs w:val="22"/>
          <w:lang w:val="en-US"/>
        </w:rPr>
        <w:tab/>
      </w:r>
      <w:r w:rsidRPr="00027E61">
        <w:rPr>
          <w:rFonts w:ascii="Open Sans" w:eastAsia="Open Sans" w:hAnsi="Open Sans" w:cs="Open Sans"/>
          <w:color w:val="000000"/>
          <w:sz w:val="22"/>
          <w:szCs w:val="22"/>
          <w:lang w:val="en-US"/>
        </w:rPr>
        <w:tab/>
      </w:r>
      <w:r w:rsidRPr="00027E61">
        <w:rPr>
          <w:rFonts w:ascii="Open Sans" w:eastAsia="Open Sans" w:hAnsi="Open Sans" w:cs="Open Sans"/>
          <w:color w:val="000000"/>
          <w:sz w:val="22"/>
          <w:szCs w:val="22"/>
          <w:lang w:val="en-US"/>
        </w:rPr>
        <w:tab/>
      </w:r>
      <w:r w:rsidRPr="00027E61">
        <w:rPr>
          <w:rFonts w:ascii="Open Sans" w:eastAsia="Open Sans" w:hAnsi="Open Sans" w:cs="Open Sans"/>
          <w:color w:val="000000"/>
          <w:sz w:val="22"/>
          <w:szCs w:val="22"/>
          <w:lang w:val="en-US"/>
        </w:rPr>
        <w:tab/>
      </w:r>
      <w:r w:rsidRPr="00027E61">
        <w:rPr>
          <w:rFonts w:ascii="Open Sans" w:eastAsia="Open Sans" w:hAnsi="Open Sans" w:cs="Open Sans"/>
          <w:color w:val="000000"/>
          <w:sz w:val="22"/>
          <w:szCs w:val="22"/>
          <w:lang w:val="en-US"/>
        </w:rPr>
        <w:tab/>
      </w:r>
      <w:r w:rsidRPr="00027E61">
        <w:rPr>
          <w:rFonts w:ascii="Open Sans" w:eastAsia="Open Sans" w:hAnsi="Open Sans" w:cs="Open Sans"/>
          <w:color w:val="000000"/>
          <w:sz w:val="22"/>
          <w:szCs w:val="22"/>
          <w:lang w:val="en-US"/>
        </w:rPr>
        <w:tab/>
      </w:r>
      <w:r w:rsidRPr="00027E61">
        <w:rPr>
          <w:rFonts w:ascii="Open Sans" w:eastAsia="Open Sans" w:hAnsi="Open Sans" w:cs="Open Sans"/>
          <w:color w:val="000000"/>
          <w:sz w:val="22"/>
          <w:szCs w:val="22"/>
          <w:lang w:val="en-US"/>
        </w:rPr>
        <w:tab/>
      </w:r>
      <w:r w:rsidRPr="00027E61">
        <w:rPr>
          <w:rFonts w:ascii="Open Sans" w:eastAsia="Open Sans" w:hAnsi="Open Sans" w:cs="Open Sans"/>
          <w:color w:val="000000"/>
          <w:sz w:val="22"/>
          <w:szCs w:val="22"/>
          <w:lang w:val="en-US"/>
        </w:rPr>
        <w:tab/>
      </w:r>
    </w:p>
    <w:p w14:paraId="42DCB8B0" w14:textId="77777777" w:rsidR="00E474DA" w:rsidRPr="00027E61" w:rsidRDefault="00000000">
      <w:pPr>
        <w:shd w:val="clear" w:color="auto" w:fill="FFFFFF"/>
        <w:ind w:right="-716"/>
        <w:rPr>
          <w:rFonts w:ascii="Arial" w:eastAsia="Arial" w:hAnsi="Arial" w:cs="Arial"/>
          <w:color w:val="222222"/>
          <w:sz w:val="22"/>
          <w:szCs w:val="22"/>
          <w:lang w:val="en-US"/>
        </w:rPr>
      </w:pPr>
      <w:r w:rsidRPr="00027E61">
        <w:rPr>
          <w:rFonts w:ascii="Open Sans" w:eastAsia="Open Sans" w:hAnsi="Open Sans" w:cs="Open Sans"/>
          <w:b/>
          <w:color w:val="000000"/>
          <w:sz w:val="22"/>
          <w:szCs w:val="22"/>
          <w:lang w:val="en-US"/>
        </w:rPr>
        <w:lastRenderedPageBreak/>
        <w:t>Fanny Merino</w:t>
      </w:r>
    </w:p>
    <w:p w14:paraId="28A609B0" w14:textId="77777777" w:rsidR="00E474DA" w:rsidRPr="00027E61" w:rsidRDefault="00000000">
      <w:pPr>
        <w:shd w:val="clear" w:color="auto" w:fill="FFFFFF"/>
        <w:ind w:right="-716"/>
        <w:rPr>
          <w:rFonts w:ascii="Open Sans" w:eastAsia="Open Sans" w:hAnsi="Open Sans" w:cs="Open Sans"/>
          <w:b/>
          <w:color w:val="000000"/>
          <w:sz w:val="22"/>
          <w:szCs w:val="22"/>
          <w:lang w:val="en-US"/>
        </w:rPr>
      </w:pPr>
      <w:hyperlink r:id="rId27">
        <w:r w:rsidRPr="00027E61">
          <w:rPr>
            <w:rFonts w:ascii="Open Sans" w:eastAsia="Open Sans" w:hAnsi="Open Sans" w:cs="Open Sans"/>
            <w:color w:val="0000FF"/>
            <w:sz w:val="22"/>
            <w:szCs w:val="22"/>
            <w:u w:val="single"/>
            <w:lang w:val="en-US"/>
          </w:rPr>
          <w:t>emerino@llorenteycuenca.com</w:t>
        </w:r>
      </w:hyperlink>
      <w:r w:rsidRPr="00027E61">
        <w:rPr>
          <w:rFonts w:ascii="Open Sans" w:eastAsia="Open Sans" w:hAnsi="Open Sans" w:cs="Open Sans"/>
          <w:color w:val="0000FF"/>
          <w:sz w:val="22"/>
          <w:szCs w:val="22"/>
          <w:lang w:val="en-US"/>
        </w:rPr>
        <w:tab/>
      </w:r>
      <w:r w:rsidRPr="00027E61">
        <w:rPr>
          <w:rFonts w:ascii="Open Sans" w:eastAsia="Open Sans" w:hAnsi="Open Sans" w:cs="Open Sans"/>
          <w:color w:val="0000FF"/>
          <w:sz w:val="22"/>
          <w:szCs w:val="22"/>
          <w:lang w:val="en-US"/>
        </w:rPr>
        <w:tab/>
      </w:r>
    </w:p>
    <w:p w14:paraId="04CE5EF0" w14:textId="77777777" w:rsidR="00E474DA" w:rsidRPr="00027E61" w:rsidRDefault="00000000">
      <w:pPr>
        <w:shd w:val="clear" w:color="auto" w:fill="FFFFFF"/>
        <w:ind w:right="-716"/>
        <w:rPr>
          <w:rFonts w:ascii="Open Sans" w:eastAsia="Open Sans" w:hAnsi="Open Sans" w:cs="Open Sans"/>
          <w:color w:val="000000"/>
          <w:sz w:val="22"/>
          <w:szCs w:val="22"/>
          <w:lang w:val="en-US"/>
        </w:rPr>
      </w:pPr>
      <w:r w:rsidRPr="00027E61">
        <w:rPr>
          <w:rFonts w:ascii="Open Sans" w:eastAsia="Open Sans" w:hAnsi="Open Sans" w:cs="Open Sans"/>
          <w:color w:val="000000"/>
          <w:sz w:val="22"/>
          <w:szCs w:val="22"/>
          <w:lang w:val="en-US"/>
        </w:rPr>
        <w:t>663 35 69 75 </w:t>
      </w:r>
    </w:p>
    <w:p w14:paraId="7C1CC0ED" w14:textId="77777777" w:rsidR="00E474DA" w:rsidRPr="00027E61" w:rsidRDefault="00E474DA">
      <w:pPr>
        <w:shd w:val="clear" w:color="auto" w:fill="FFFFFF"/>
        <w:ind w:right="-716"/>
        <w:rPr>
          <w:rFonts w:ascii="Open Sans" w:eastAsia="Open Sans" w:hAnsi="Open Sans" w:cs="Open Sans"/>
          <w:color w:val="000000"/>
          <w:sz w:val="22"/>
          <w:szCs w:val="22"/>
          <w:lang w:val="en-US"/>
        </w:rPr>
      </w:pPr>
    </w:p>
    <w:p w14:paraId="76223696" w14:textId="77777777" w:rsidR="00E474DA" w:rsidRPr="00027E61" w:rsidRDefault="00E474DA">
      <w:pPr>
        <w:shd w:val="clear" w:color="auto" w:fill="FFFFFF"/>
        <w:ind w:right="-716"/>
        <w:rPr>
          <w:rFonts w:ascii="Open Sans" w:eastAsia="Open Sans" w:hAnsi="Open Sans" w:cs="Open Sans"/>
          <w:color w:val="000000"/>
          <w:sz w:val="22"/>
          <w:szCs w:val="22"/>
          <w:lang w:val="en-US"/>
        </w:rPr>
      </w:pPr>
    </w:p>
    <w:p w14:paraId="19950750" w14:textId="77777777" w:rsidR="00E474DA" w:rsidRPr="00027E61" w:rsidRDefault="00000000">
      <w:pPr>
        <w:shd w:val="clear" w:color="auto" w:fill="FFFFFF"/>
        <w:ind w:right="-716"/>
        <w:rPr>
          <w:rFonts w:ascii="Open Sans" w:eastAsia="Open Sans" w:hAnsi="Open Sans" w:cs="Open Sans"/>
          <w:b/>
          <w:color w:val="000000"/>
          <w:sz w:val="22"/>
          <w:szCs w:val="22"/>
          <w:lang w:val="en-US"/>
        </w:rPr>
      </w:pPr>
      <w:r w:rsidRPr="00027E61">
        <w:rPr>
          <w:rFonts w:ascii="Open Sans" w:eastAsia="Open Sans" w:hAnsi="Open Sans" w:cs="Open Sans"/>
          <w:b/>
          <w:color w:val="000000"/>
          <w:sz w:val="22"/>
          <w:szCs w:val="22"/>
          <w:lang w:val="en-US"/>
        </w:rPr>
        <w:t>Paula Iglesias</w:t>
      </w:r>
    </w:p>
    <w:p w14:paraId="0546546B" w14:textId="77777777" w:rsidR="00E474DA" w:rsidRPr="00027E61" w:rsidRDefault="00000000">
      <w:pPr>
        <w:shd w:val="clear" w:color="auto" w:fill="FFFFFF"/>
        <w:ind w:right="-716"/>
        <w:rPr>
          <w:rFonts w:ascii="Open Sans" w:eastAsia="Open Sans" w:hAnsi="Open Sans" w:cs="Open Sans"/>
          <w:b/>
          <w:color w:val="000000"/>
          <w:sz w:val="22"/>
          <w:szCs w:val="22"/>
          <w:lang w:val="en-US"/>
        </w:rPr>
      </w:pPr>
      <w:hyperlink r:id="rId28">
        <w:r w:rsidRPr="00027E61">
          <w:rPr>
            <w:rFonts w:ascii="Open Sans" w:eastAsia="Open Sans" w:hAnsi="Open Sans" w:cs="Open Sans"/>
            <w:color w:val="0000FF"/>
            <w:sz w:val="22"/>
            <w:szCs w:val="22"/>
            <w:u w:val="single"/>
            <w:lang w:val="en-US"/>
          </w:rPr>
          <w:t>piglesias@llorenteycuenca.com</w:t>
        </w:r>
      </w:hyperlink>
      <w:r w:rsidRPr="00027E61">
        <w:rPr>
          <w:rFonts w:ascii="Open Sans" w:eastAsia="Open Sans" w:hAnsi="Open Sans" w:cs="Open Sans"/>
          <w:color w:val="0000FF"/>
          <w:sz w:val="22"/>
          <w:szCs w:val="22"/>
          <w:lang w:val="en-US"/>
        </w:rPr>
        <w:tab/>
      </w:r>
      <w:r w:rsidRPr="00027E61">
        <w:rPr>
          <w:rFonts w:ascii="Open Sans" w:eastAsia="Open Sans" w:hAnsi="Open Sans" w:cs="Open Sans"/>
          <w:color w:val="0000FF"/>
          <w:sz w:val="22"/>
          <w:szCs w:val="22"/>
          <w:lang w:val="en-US"/>
        </w:rPr>
        <w:tab/>
      </w:r>
    </w:p>
    <w:p w14:paraId="762143DE" w14:textId="77777777" w:rsidR="00E474DA" w:rsidRDefault="00000000">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22"/>
          <w:szCs w:val="22"/>
        </w:rPr>
        <w:t>662 450 236</w:t>
      </w:r>
    </w:p>
    <w:p w14:paraId="753581EC" w14:textId="77777777" w:rsidR="00E474DA" w:rsidRDefault="00E474DA">
      <w:pPr>
        <w:spacing w:line="276" w:lineRule="auto"/>
        <w:ind w:right="-574"/>
        <w:rPr>
          <w:rFonts w:ascii="Open Sans" w:eastAsia="Open Sans" w:hAnsi="Open Sans" w:cs="Open Sans"/>
          <w:color w:val="000000"/>
          <w:sz w:val="22"/>
          <w:szCs w:val="22"/>
        </w:rPr>
      </w:pPr>
    </w:p>
    <w:p w14:paraId="20C638B1" w14:textId="77777777" w:rsidR="00E474DA" w:rsidRDefault="00E474DA">
      <w:pPr>
        <w:spacing w:line="276" w:lineRule="auto"/>
        <w:ind w:right="-574"/>
        <w:jc w:val="center"/>
        <w:rPr>
          <w:rFonts w:ascii="Open Sans" w:eastAsia="Open Sans" w:hAnsi="Open Sans" w:cs="Open Sans"/>
          <w:color w:val="000000"/>
          <w:sz w:val="21"/>
          <w:szCs w:val="21"/>
        </w:rPr>
      </w:pPr>
    </w:p>
    <w:sectPr w:rsidR="00E474DA">
      <w:footerReference w:type="default" r:id="rId29"/>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A17A9" w14:textId="77777777" w:rsidR="002A2108" w:rsidRDefault="002A2108">
      <w:r>
        <w:separator/>
      </w:r>
    </w:p>
  </w:endnote>
  <w:endnote w:type="continuationSeparator" w:id="0">
    <w:p w14:paraId="33DD24E7" w14:textId="77777777" w:rsidR="002A2108" w:rsidRDefault="002A2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auto"/>
    <w:pitch w:val="default"/>
  </w:font>
  <w:font w:name="Open Sans Ligh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6E828" w14:textId="77777777" w:rsidR="00E474DA"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684D33A6" wp14:editId="74C3585E">
          <wp:simplePos x="0" y="0"/>
          <wp:positionH relativeFrom="column">
            <wp:posOffset>-1068067</wp:posOffset>
          </wp:positionH>
          <wp:positionV relativeFrom="paragraph">
            <wp:posOffset>174608</wp:posOffset>
          </wp:positionV>
          <wp:extent cx="7670550" cy="451315"/>
          <wp:effectExtent l="0" t="0" r="0" b="0"/>
          <wp:wrapNone/>
          <wp:docPr id="181328216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7086D" w14:textId="77777777" w:rsidR="002A2108" w:rsidRDefault="002A2108">
      <w:r>
        <w:separator/>
      </w:r>
    </w:p>
  </w:footnote>
  <w:footnote w:type="continuationSeparator" w:id="0">
    <w:p w14:paraId="30ED9B2E" w14:textId="77777777" w:rsidR="002A2108" w:rsidRDefault="002A2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7276AA"/>
    <w:multiLevelType w:val="multilevel"/>
    <w:tmpl w:val="2D8014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54037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4DA"/>
    <w:rsid w:val="00027E61"/>
    <w:rsid w:val="002A2108"/>
    <w:rsid w:val="00E474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324BD"/>
  <w15:docId w15:val="{48278C75-3B7A-4F9E-80C7-646BF5173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E2A"/>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character" w:styleId="Mencinsinresolver">
    <w:name w:val="Unresolved Mention"/>
    <w:basedOn w:val="Fuentedeprrafopredeter"/>
    <w:uiPriority w:val="99"/>
    <w:semiHidden/>
    <w:unhideWhenUsed/>
    <w:rsid w:val="00E84EE3"/>
    <w:rPr>
      <w:color w:val="605E5C"/>
      <w:shd w:val="clear" w:color="auto" w:fill="E1DFDD"/>
    </w:rPr>
  </w:style>
  <w:style w:type="paragraph" w:customStyle="1" w:styleId="Cuerpo">
    <w:name w:val="Cuerpo"/>
    <w:rsid w:val="0014415E"/>
    <w:rPr>
      <w:rFonts w:ascii="Times New Roman" w:eastAsia="Arial Unicode MS" w:hAnsi="Times New Roman" w:cs="Arial Unicode MS"/>
      <w:color w:val="000000"/>
      <w:u w:color="000000"/>
      <w:lang w:val="en-US"/>
    </w:rPr>
  </w:style>
  <w:style w:type="character" w:customStyle="1" w:styleId="Ninguno">
    <w:name w:val="Ninguno"/>
    <w:rsid w:val="0014415E"/>
    <w:rPr>
      <w:lang w:val="es-ES_tradnl"/>
    </w:rPr>
  </w:style>
  <w:style w:type="table" w:styleId="Tablaconcuadrcula5oscura-nfasis1">
    <w:name w:val="Grid Table 5 Dark Accent 1"/>
    <w:basedOn w:val="Tablanormal"/>
    <w:uiPriority w:val="50"/>
    <w:rsid w:val="0014415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Texto">
    <w:name w:val="Texto"/>
    <w:basedOn w:val="Normal"/>
    <w:uiPriority w:val="99"/>
    <w:rsid w:val="0014415E"/>
    <w:rPr>
      <w:rFonts w:ascii="Gill Sans MT" w:eastAsia="Times New Roman" w:hAnsi="Gill Sans MT" w:cs="Arial"/>
      <w:sz w:val="22"/>
      <w:szCs w:val="22"/>
      <w:lang w:val="pt-BR"/>
    </w:rPr>
  </w:style>
  <w:style w:type="paragraph" w:customStyle="1" w:styleId="Listavistosa-nfasis11">
    <w:name w:val="Lista vistosa - Énfasis 11"/>
    <w:basedOn w:val="Normal"/>
    <w:qFormat/>
    <w:rsid w:val="0014415E"/>
    <w:pPr>
      <w:ind w:left="708"/>
    </w:pPr>
    <w:rPr>
      <w:rFonts w:ascii="Times New Roman" w:eastAsia="Times New Roman" w:hAnsi="Times New Roman" w:cs="Times New Roman"/>
      <w:lang w:val="es-ES"/>
    </w:rPr>
  </w:style>
  <w:style w:type="character" w:styleId="nfasis">
    <w:name w:val="Emphasis"/>
    <w:qFormat/>
    <w:rsid w:val="0014415E"/>
    <w:rPr>
      <w:i/>
      <w:i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0">
    <w:basedOn w:val="TableNormal1"/>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1">
    <w:basedOn w:val="TableNormal1"/>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2">
    <w:basedOn w:val="TableNormal0"/>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hyperlink" Target="https://www.fotocasa.es/es/" TargetMode="External"/><Relationship Id="rId26" Type="http://schemas.openxmlformats.org/officeDocument/2006/relationships/hyperlink" Target="mailto:rtorne@llorenteycuenca.com" TargetMode="External"/><Relationship Id="rId3" Type="http://schemas.openxmlformats.org/officeDocument/2006/relationships/styles" Target="styles.xml"/><Relationship Id="rId21" Type="http://schemas.openxmlformats.org/officeDocument/2006/relationships/hyperlink" Target="https://www.coches.net/"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s://www.fotocasa.es/es/quienes-somos/" TargetMode="External"/><Relationship Id="rId25" Type="http://schemas.openxmlformats.org/officeDocument/2006/relationships/hyperlink" Target="mailto:comunicacion@fotocasa.es" TargetMode="External"/><Relationship Id="rId2" Type="http://schemas.openxmlformats.org/officeDocument/2006/relationships/numbering" Target="numbering.xml"/><Relationship Id="rId16" Type="http://schemas.openxmlformats.org/officeDocument/2006/relationships/hyperlink" Target="https://www.adevinta.com/" TargetMode="External"/><Relationship Id="rId20" Type="http://schemas.openxmlformats.org/officeDocument/2006/relationships/hyperlink" Target="https://www.infojobs.ne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adevinta.es" TargetMode="External"/><Relationship Id="rId5" Type="http://schemas.openxmlformats.org/officeDocument/2006/relationships/webSettings" Target="webSettings.xml"/><Relationship Id="rId15" Type="http://schemas.openxmlformats.org/officeDocument/2006/relationships/hyperlink" Target="https://prensa.fotocasa.es/ibai-llanos-y-fotocasa-premian-las-mejores-notas-de-la-selectividad-con-un-fotocasoplon/" TargetMode="External"/><Relationship Id="rId23" Type="http://schemas.openxmlformats.org/officeDocument/2006/relationships/hyperlink" Target="https://www.milanuncios.com/" TargetMode="External"/><Relationship Id="rId28" Type="http://schemas.openxmlformats.org/officeDocument/2006/relationships/hyperlink" Target="mailto:piglesias@llorenteycuenca.com" TargetMode="External"/><Relationship Id="rId10" Type="http://schemas.openxmlformats.org/officeDocument/2006/relationships/hyperlink" Target="https://www.fotocasa.es" TargetMode="External"/><Relationship Id="rId19" Type="http://schemas.openxmlformats.org/officeDocument/2006/relationships/hyperlink" Target="https://www.habitaclia.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hyperlink" Target="https://www.fotocasa.es/indice/" TargetMode="External"/><Relationship Id="rId22" Type="http://schemas.openxmlformats.org/officeDocument/2006/relationships/hyperlink" Target="https://motos.coches.net/" TargetMode="External"/><Relationship Id="rId27" Type="http://schemas.openxmlformats.org/officeDocument/2006/relationships/hyperlink" Target="mailto:emerino@llorenteycuenca.com"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H:\Mi%20unidad\01-SCHIBSTED\04-ESTUDIO%20NdP\VIVIENDA%20COSTAS%20ESPA&#209;A\Mayo%202023\PRENSA%20RENTABILIDAD%20COSTAS%20MAYO%20202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H:\Mi%20unidad\01-SCHIBSTED\04-ESTUDIO%20NdP\VIVIENDA%20COSTAS%20ESPA&#209;A\Mayo%202023\PRENSA%20RENTABILIDAD%20COSTAS%20MAYO%20202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H:\Mi%20unidad\01-SCHIBSTED\04-ESTUDIO%20NdP\VIVIENDA%20COSTAS%20ESPA&#209;A\Mayo%202023\PRENSA%20RENTABILIDAD%20COSTAS%20MAYO%202023.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[PRENSA RENTABILIDAD COSTAS MAYO 2023.xlsx]Hoja3!TablaDinámica1</c:name>
    <c:fmtId val="-1"/>
  </c:pivotSource>
  <c:chart>
    <c:autoTitleDeleted val="1"/>
    <c:pivotFmts>
      <c:pivotFmt>
        <c:idx val="0"/>
        <c:spPr>
          <a:solidFill>
            <a:schemeClr val="accent1"/>
          </a:solidFill>
          <a:ln>
            <a:noFill/>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4"/>
          </a:solidFill>
          <a:ln>
            <a:noFill/>
          </a:ln>
          <a:effectLst/>
        </c:spPr>
      </c:pivotFmt>
      <c:pivotFmt>
        <c:idx val="2"/>
        <c:spPr>
          <a:solidFill>
            <a:srgbClr val="8497B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rgbClr val="8497B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
        <c:spPr>
          <a:solidFill>
            <a:srgbClr val="8497B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5"/>
        <c:spPr>
          <a:solidFill>
            <a:srgbClr val="8497B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Hoja3!$B$3</c:f>
              <c:strCache>
                <c:ptCount val="1"/>
                <c:pt idx="0">
                  <c:v>Total</c:v>
                </c:pt>
              </c:strCache>
            </c:strRef>
          </c:tx>
          <c:spPr>
            <a:solidFill>
              <a:srgbClr val="8497B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Hoja3!$A$4:$A$18</c:f>
              <c:strCache>
                <c:ptCount val="15"/>
                <c:pt idx="0">
                  <c:v>Gandia</c:v>
                </c:pt>
                <c:pt idx="1">
                  <c:v>Laredo</c:v>
                </c:pt>
                <c:pt idx="2">
                  <c:v>La Manga del Mar Menor</c:v>
                </c:pt>
                <c:pt idx="3">
                  <c:v>Águilas</c:v>
                </c:pt>
                <c:pt idx="4">
                  <c:v>Motril</c:v>
                </c:pt>
                <c:pt idx="5">
                  <c:v>Santa Pola</c:v>
                </c:pt>
                <c:pt idx="6">
                  <c:v>Vera</c:v>
                </c:pt>
                <c:pt idx="7">
                  <c:v>Sanlúcar de Barrameda</c:v>
                </c:pt>
                <c:pt idx="8">
                  <c:v>Huelva Capital</c:v>
                </c:pt>
                <c:pt idx="9">
                  <c:v>Tortosa</c:v>
                </c:pt>
                <c:pt idx="10">
                  <c:v>Algeciras</c:v>
                </c:pt>
                <c:pt idx="11">
                  <c:v>Roquetas de Mar</c:v>
                </c:pt>
                <c:pt idx="12">
                  <c:v>Sagunto / Sagunt</c:v>
                </c:pt>
                <c:pt idx="13">
                  <c:v>Ferrol</c:v>
                </c:pt>
                <c:pt idx="14">
                  <c:v>Badalona</c:v>
                </c:pt>
              </c:strCache>
            </c:strRef>
          </c:cat>
          <c:val>
            <c:numRef>
              <c:f>Hoja3!$B$4:$B$18</c:f>
              <c:numCache>
                <c:formatCode>0.0%</c:formatCode>
                <c:ptCount val="15"/>
                <c:pt idx="0">
                  <c:v>0.11641823133151785</c:v>
                </c:pt>
                <c:pt idx="1">
                  <c:v>0.11092836342457776</c:v>
                </c:pt>
                <c:pt idx="2">
                  <c:v>0.10017612338156891</c:v>
                </c:pt>
                <c:pt idx="3">
                  <c:v>9.9772647778943679E-2</c:v>
                </c:pt>
                <c:pt idx="4">
                  <c:v>8.7399025983494222E-2</c:v>
                </c:pt>
                <c:pt idx="5">
                  <c:v>8.0396003335373764E-2</c:v>
                </c:pt>
                <c:pt idx="6">
                  <c:v>8.0160430369523694E-2</c:v>
                </c:pt>
                <c:pt idx="7">
                  <c:v>7.9629920729379536E-2</c:v>
                </c:pt>
                <c:pt idx="8">
                  <c:v>7.8342451473486369E-2</c:v>
                </c:pt>
                <c:pt idx="9">
                  <c:v>7.7957361869645955E-2</c:v>
                </c:pt>
                <c:pt idx="10">
                  <c:v>7.7769977569645418E-2</c:v>
                </c:pt>
                <c:pt idx="11">
                  <c:v>7.6850422723398371E-2</c:v>
                </c:pt>
                <c:pt idx="12">
                  <c:v>7.5118259224219497E-2</c:v>
                </c:pt>
                <c:pt idx="13">
                  <c:v>7.4602478778942341E-2</c:v>
                </c:pt>
                <c:pt idx="14">
                  <c:v>7.4324018856370175E-2</c:v>
                </c:pt>
              </c:numCache>
            </c:numRef>
          </c:val>
          <c:extLst>
            <c:ext xmlns:c16="http://schemas.microsoft.com/office/drawing/2014/chart" uri="{C3380CC4-5D6E-409C-BE32-E72D297353CC}">
              <c16:uniqueId val="{00000000-22AD-432B-93DF-0E983B2EEE2E}"/>
            </c:ext>
          </c:extLst>
        </c:ser>
        <c:dLbls>
          <c:showLegendKey val="0"/>
          <c:showVal val="0"/>
          <c:showCatName val="0"/>
          <c:showSerName val="0"/>
          <c:showPercent val="0"/>
          <c:showBubbleSize val="0"/>
        </c:dLbls>
        <c:gapWidth val="100"/>
        <c:overlap val="22"/>
        <c:axId val="227901631"/>
        <c:axId val="227902047"/>
      </c:barChart>
      <c:catAx>
        <c:axId val="227901631"/>
        <c:scaling>
          <c:orientation val="minMax"/>
        </c:scaling>
        <c:delete val="0"/>
        <c:axPos val="b"/>
        <c:numFmt formatCode="General" sourceLinked="1"/>
        <c:majorTickMark val="none"/>
        <c:minorTickMark val="none"/>
        <c:tickLblPos val="nextTo"/>
        <c:spPr>
          <a:noFill/>
          <a:ln w="9525" cap="sq"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27902047"/>
        <c:crosses val="autoZero"/>
        <c:auto val="1"/>
        <c:lblAlgn val="ctr"/>
        <c:lblOffset val="100"/>
        <c:noMultiLvlLbl val="0"/>
      </c:catAx>
      <c:valAx>
        <c:axId val="227902047"/>
        <c:scaling>
          <c:orientation val="minMax"/>
        </c:scaling>
        <c:delete val="1"/>
        <c:axPos val="l"/>
        <c:numFmt formatCode="0%" sourceLinked="0"/>
        <c:majorTickMark val="none"/>
        <c:minorTickMark val="none"/>
        <c:tickLblPos val="nextTo"/>
        <c:crossAx val="22790163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E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2.2301299604764648E-2"/>
          <c:y val="1.9488074016054596E-2"/>
          <c:w val="0.96766453078163839"/>
          <c:h val="0.61074925007549052"/>
        </c:manualLayout>
      </c:layout>
      <c:lineChart>
        <c:grouping val="standard"/>
        <c:varyColors val="0"/>
        <c:ser>
          <c:idx val="0"/>
          <c:order val="0"/>
          <c:tx>
            <c:strRef>
              <c:f>MUN!$O$8</c:f>
              <c:strCache>
                <c:ptCount val="1"/>
                <c:pt idx="0">
                  <c:v> Mayo 2008</c:v>
                </c:pt>
              </c:strCache>
            </c:strRef>
          </c:tx>
          <c:spPr>
            <a:ln w="28575" cap="rnd">
              <a:solidFill>
                <a:schemeClr val="accent1">
                  <a:shade val="58000"/>
                </a:schemeClr>
              </a:solidFill>
              <a:round/>
            </a:ln>
            <a:effectLst>
              <a:outerShdw blurRad="50800" dist="50800" dir="5400000" algn="ctr" rotWithShape="0">
                <a:srgbClr val="000000">
                  <a:alpha val="14000"/>
                </a:srgbClr>
              </a:outerShdw>
            </a:effectLst>
          </c:spPr>
          <c:marker>
            <c:symbol val="circle"/>
            <c:size val="5"/>
            <c:spPr>
              <a:solidFill>
                <a:schemeClr val="accent1"/>
              </a:solidFill>
              <a:ln w="9525">
                <a:solidFill>
                  <a:schemeClr val="accent1"/>
                </a:solidFill>
              </a:ln>
              <a:effectLst>
                <a:outerShdw blurRad="50800" dist="50800" dir="5400000" algn="ctr" rotWithShape="0">
                  <a:srgbClr val="000000">
                    <a:alpha val="14000"/>
                  </a:srgbClr>
                </a:outerShdw>
              </a:effectLst>
            </c:spPr>
          </c:marker>
          <c:dLbls>
            <c:dLbl>
              <c:idx val="8"/>
              <c:layout>
                <c:manualLayout>
                  <c:x val="-8.6617583369424794E-3"/>
                  <c:y val="1.55732918045551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4B3A-4824-BB5A-2969373EC731}"/>
                </c:ext>
              </c:extLst>
            </c:dLbl>
            <c:dLbl>
              <c:idx val="10"/>
              <c:layout>
                <c:manualLayout>
                  <c:x val="-1.2992637505413757E-2"/>
                  <c:y val="3.11465836091103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B3A-4824-BB5A-2969373EC731}"/>
                </c:ext>
              </c:extLst>
            </c:dLbl>
            <c:dLbl>
              <c:idx val="11"/>
              <c:layout>
                <c:manualLayout>
                  <c:x val="-2.1654395842355997E-2"/>
                  <c:y val="3.11465836091103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B3A-4824-BB5A-2969373EC731}"/>
                </c:ext>
              </c:extLst>
            </c:dLbl>
            <c:dLbl>
              <c:idx val="12"/>
              <c:layout>
                <c:manualLayout>
                  <c:x val="-1.7323516673884799E-2"/>
                  <c:y val="3.503990656024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B3A-4824-BB5A-2969373EC731}"/>
                </c:ext>
              </c:extLst>
            </c:dLbl>
            <c:dLbl>
              <c:idx val="13"/>
              <c:layout>
                <c:manualLayout>
                  <c:x val="-2.3819835426591596E-2"/>
                  <c:y val="2.72532606579715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4B3A-4824-BB5A-2969373EC731}"/>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MUN!$N$9:$N$22</c:f>
              <c:strCache>
                <c:ptCount val="14"/>
                <c:pt idx="0">
                  <c:v>Gandia</c:v>
                </c:pt>
                <c:pt idx="1">
                  <c:v>Laredo</c:v>
                </c:pt>
                <c:pt idx="2">
                  <c:v>La Manga del Mar Menor</c:v>
                </c:pt>
                <c:pt idx="3">
                  <c:v>Águilas</c:v>
                </c:pt>
                <c:pt idx="4">
                  <c:v>Motril</c:v>
                </c:pt>
                <c:pt idx="5">
                  <c:v>Santa Pola</c:v>
                </c:pt>
                <c:pt idx="6">
                  <c:v>Vera</c:v>
                </c:pt>
                <c:pt idx="7">
                  <c:v>Sanlúcar de Barrameda</c:v>
                </c:pt>
                <c:pt idx="8">
                  <c:v>Huelva Capital</c:v>
                </c:pt>
                <c:pt idx="9">
                  <c:v>Tortosa</c:v>
                </c:pt>
                <c:pt idx="10">
                  <c:v>Algeciras</c:v>
                </c:pt>
                <c:pt idx="11">
                  <c:v>Roquetas de Mar</c:v>
                </c:pt>
                <c:pt idx="12">
                  <c:v>Sagunto / Sagunt</c:v>
                </c:pt>
                <c:pt idx="13">
                  <c:v>Ferrol</c:v>
                </c:pt>
              </c:strCache>
            </c:strRef>
          </c:cat>
          <c:val>
            <c:numRef>
              <c:f>MUN!$O$9:$O$22</c:f>
              <c:numCache>
                <c:formatCode>General</c:formatCode>
                <c:ptCount val="14"/>
                <c:pt idx="0" formatCode="0.0%">
                  <c:v>3.9402573473851031E-2</c:v>
                </c:pt>
                <c:pt idx="8" formatCode="0.0%">
                  <c:v>4.2855976022492692E-2</c:v>
                </c:pt>
                <c:pt idx="10" formatCode="0.0%">
                  <c:v>4.192400041399786E-2</c:v>
                </c:pt>
                <c:pt idx="11" formatCode="0.0%">
                  <c:v>4.1310727240925799E-2</c:v>
                </c:pt>
                <c:pt idx="12" formatCode="0.0%">
                  <c:v>4.2243726173275313E-2</c:v>
                </c:pt>
                <c:pt idx="13" formatCode="0.0%">
                  <c:v>4.2917416805734986E-2</c:v>
                </c:pt>
              </c:numCache>
            </c:numRef>
          </c:val>
          <c:smooth val="0"/>
          <c:extLst>
            <c:ext xmlns:c16="http://schemas.microsoft.com/office/drawing/2014/chart" uri="{C3380CC4-5D6E-409C-BE32-E72D297353CC}">
              <c16:uniqueId val="{00000000-4B3A-4824-BB5A-2969373EC731}"/>
            </c:ext>
          </c:extLst>
        </c:ser>
        <c:ser>
          <c:idx val="1"/>
          <c:order val="1"/>
          <c:tx>
            <c:strRef>
              <c:f>MUN!$P$8</c:f>
              <c:strCache>
                <c:ptCount val="1"/>
                <c:pt idx="0">
                  <c:v> Mayo 2013</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a:outerShdw blurRad="50800" dist="50800" dir="5400000" algn="ctr" rotWithShape="0">
                  <a:srgbClr val="000000">
                    <a:alpha val="14000"/>
                  </a:srgbClr>
                </a:outerShdw>
              </a:effectLst>
            </c:spPr>
          </c:marker>
          <c:dPt>
            <c:idx val="5"/>
            <c:marker>
              <c:symbol val="circle"/>
              <c:size val="5"/>
              <c:spPr>
                <a:solidFill>
                  <a:schemeClr val="accent6"/>
                </a:solidFill>
                <a:ln w="9525">
                  <a:solidFill>
                    <a:schemeClr val="accent6"/>
                  </a:solidFill>
                </a:ln>
                <a:effectLst>
                  <a:outerShdw blurRad="50800" dist="50800" dir="5400000" algn="ctr" rotWithShape="0">
                    <a:srgbClr val="000000">
                      <a:alpha val="14000"/>
                    </a:srgbClr>
                  </a:outerShdw>
                </a:effectLst>
              </c:spPr>
            </c:marker>
            <c:bubble3D val="0"/>
            <c:spPr>
              <a:ln w="28575" cap="rnd">
                <a:solidFill>
                  <a:schemeClr val="accent6"/>
                </a:solidFill>
                <a:round/>
              </a:ln>
              <a:effectLst>
                <a:outerShdw blurRad="50800" dist="50800" dir="5400000" algn="ctr" rotWithShape="0">
                  <a:srgbClr val="000000">
                    <a:alpha val="14000"/>
                  </a:srgbClr>
                </a:outerShdw>
              </a:effectLst>
            </c:spPr>
            <c:extLst>
              <c:ext xmlns:c16="http://schemas.microsoft.com/office/drawing/2014/chart" uri="{C3380CC4-5D6E-409C-BE32-E72D297353CC}">
                <c16:uniqueId val="{00000002-4B3A-4824-BB5A-2969373EC731}"/>
              </c:ext>
            </c:extLst>
          </c:dPt>
          <c:dLbls>
            <c:dLbl>
              <c:idx val="4"/>
              <c:layout>
                <c:manualLayout>
                  <c:x val="-1.5158077089649159E-2"/>
                  <c:y val="2.72532606579715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B3A-4824-BB5A-2969373EC731}"/>
                </c:ext>
              </c:extLst>
            </c:dLbl>
            <c:dLbl>
              <c:idx val="5"/>
              <c:layout>
                <c:manualLayout>
                  <c:x val="-1.9488956258120398E-2"/>
                  <c:y val="3.503990656024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B3A-4824-BB5A-2969373EC731}"/>
                </c:ext>
              </c:extLst>
            </c:dLbl>
            <c:dLbl>
              <c:idx val="6"/>
              <c:layout>
                <c:manualLayout>
                  <c:x val="-1.9488956258120398E-2"/>
                  <c:y val="4.28265524625267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B3A-4824-BB5A-2969373EC731}"/>
                </c:ext>
              </c:extLst>
            </c:dLbl>
            <c:dLbl>
              <c:idx val="7"/>
              <c:layout>
                <c:manualLayout>
                  <c:x val="-1.7323516673884879E-2"/>
                  <c:y val="4.67198754136655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B3A-4824-BB5A-2969373EC731}"/>
                </c:ext>
              </c:extLst>
            </c:dLbl>
            <c:dLbl>
              <c:idx val="8"/>
              <c:layout>
                <c:manualLayout>
                  <c:x val="-2.165439584235679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B3A-4824-BB5A-2969373EC731}"/>
                </c:ext>
              </c:extLst>
            </c:dLbl>
            <c:dLbl>
              <c:idx val="10"/>
              <c:layout>
                <c:manualLayout>
                  <c:x val="-1.5158077089649198E-2"/>
                  <c:y val="-2.72532606579715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B3A-4824-BB5A-2969373EC731}"/>
                </c:ext>
              </c:extLst>
            </c:dLbl>
            <c:dLbl>
              <c:idx val="11"/>
              <c:layout>
                <c:manualLayout>
                  <c:x val="-2.3819835426591756E-2"/>
                  <c:y val="-5.06131983648044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B3A-4824-BB5A-2969373EC731}"/>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MUN!$N$9:$N$22</c:f>
              <c:strCache>
                <c:ptCount val="14"/>
                <c:pt idx="0">
                  <c:v>Gandia</c:v>
                </c:pt>
                <c:pt idx="1">
                  <c:v>Laredo</c:v>
                </c:pt>
                <c:pt idx="2">
                  <c:v>La Manga del Mar Menor</c:v>
                </c:pt>
                <c:pt idx="3">
                  <c:v>Águilas</c:v>
                </c:pt>
                <c:pt idx="4">
                  <c:v>Motril</c:v>
                </c:pt>
                <c:pt idx="5">
                  <c:v>Santa Pola</c:v>
                </c:pt>
                <c:pt idx="6">
                  <c:v>Vera</c:v>
                </c:pt>
                <c:pt idx="7">
                  <c:v>Sanlúcar de Barrameda</c:v>
                </c:pt>
                <c:pt idx="8">
                  <c:v>Huelva Capital</c:v>
                </c:pt>
                <c:pt idx="9">
                  <c:v>Tortosa</c:v>
                </c:pt>
                <c:pt idx="10">
                  <c:v>Algeciras</c:v>
                </c:pt>
                <c:pt idx="11">
                  <c:v>Roquetas de Mar</c:v>
                </c:pt>
                <c:pt idx="12">
                  <c:v>Sagunto / Sagunt</c:v>
                </c:pt>
                <c:pt idx="13">
                  <c:v>Ferrol</c:v>
                </c:pt>
              </c:strCache>
            </c:strRef>
          </c:cat>
          <c:val>
            <c:numRef>
              <c:f>MUN!$P$9:$P$22</c:f>
              <c:numCache>
                <c:formatCode>General</c:formatCode>
                <c:ptCount val="14"/>
                <c:pt idx="0" formatCode="0.0%">
                  <c:v>5.1308259177235825E-2</c:v>
                </c:pt>
                <c:pt idx="4" formatCode="0.0%">
                  <c:v>3.9916399017635051E-2</c:v>
                </c:pt>
                <c:pt idx="5" formatCode="0.0%">
                  <c:v>5.1889525870226723E-2</c:v>
                </c:pt>
                <c:pt idx="6" formatCode="0.0%">
                  <c:v>5.4146049910688471E-2</c:v>
                </c:pt>
                <c:pt idx="7" formatCode="0.0%">
                  <c:v>5.2281563809252821E-2</c:v>
                </c:pt>
                <c:pt idx="8" formatCode="0.0%">
                  <c:v>4.7169325465720467E-2</c:v>
                </c:pt>
                <c:pt idx="10" formatCode="0.0%">
                  <c:v>5.2254168584537256E-2</c:v>
                </c:pt>
                <c:pt idx="11" formatCode="0.0%">
                  <c:v>4.0384008850945778E-2</c:v>
                </c:pt>
                <c:pt idx="12" formatCode="0.0%">
                  <c:v>4.7409866854930524E-2</c:v>
                </c:pt>
                <c:pt idx="13" formatCode="0.0%">
                  <c:v>4.8275788006988458E-2</c:v>
                </c:pt>
              </c:numCache>
            </c:numRef>
          </c:val>
          <c:smooth val="0"/>
          <c:extLst>
            <c:ext xmlns:c16="http://schemas.microsoft.com/office/drawing/2014/chart" uri="{C3380CC4-5D6E-409C-BE32-E72D297353CC}">
              <c16:uniqueId val="{00000003-4B3A-4824-BB5A-2969373EC731}"/>
            </c:ext>
          </c:extLst>
        </c:ser>
        <c:ser>
          <c:idx val="2"/>
          <c:order val="2"/>
          <c:tx>
            <c:strRef>
              <c:f>MUN!$Q$8</c:f>
              <c:strCache>
                <c:ptCount val="1"/>
                <c:pt idx="0">
                  <c:v>  Mayo 2018</c:v>
                </c:pt>
              </c:strCache>
            </c:strRef>
          </c:tx>
          <c:spPr>
            <a:ln w="28575" cap="rnd">
              <a:solidFill>
                <a:schemeClr val="accent5"/>
              </a:solidFill>
              <a:round/>
            </a:ln>
            <a:effectLst>
              <a:outerShdw blurRad="50800" dist="50800" dir="5400000" algn="ctr" rotWithShape="0">
                <a:srgbClr val="000000">
                  <a:alpha val="14000"/>
                </a:srgbClr>
              </a:outerShdw>
            </a:effectLst>
          </c:spPr>
          <c:marker>
            <c:symbol val="circle"/>
            <c:size val="5"/>
            <c:spPr>
              <a:solidFill>
                <a:schemeClr val="accent1">
                  <a:tint val="77000"/>
                </a:schemeClr>
              </a:solidFill>
              <a:ln w="9525">
                <a:solidFill>
                  <a:schemeClr val="accent1">
                    <a:tint val="77000"/>
                  </a:schemeClr>
                </a:solidFill>
              </a:ln>
              <a:effectLst>
                <a:outerShdw blurRad="50800" dist="50800" dir="5400000" algn="ctr" rotWithShape="0">
                  <a:srgbClr val="000000">
                    <a:alpha val="14000"/>
                  </a:srgbClr>
                </a:outerShdw>
              </a:effectLst>
            </c:spPr>
          </c:marker>
          <c:dLbls>
            <c:dLbl>
              <c:idx val="0"/>
              <c:layout>
                <c:manualLayout>
                  <c:x val="-3.0587260394962738E-3"/>
                  <c:y val="-1.12225800468731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B3A-4824-BB5A-2969373EC731}"/>
                </c:ext>
              </c:extLst>
            </c:dLbl>
            <c:dLbl>
              <c:idx val="8"/>
              <c:layout>
                <c:manualLayout>
                  <c:x val="-3.770575938726585E-2"/>
                  <c:y val="-2.67958718514284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B3A-4824-BB5A-2969373EC731}"/>
                </c:ext>
              </c:extLst>
            </c:dLbl>
            <c:dLbl>
              <c:idx val="10"/>
              <c:layout>
                <c:manualLayout>
                  <c:x val="-5.2863836476915053E-2"/>
                  <c:y val="4.3507117576820319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4B3A-4824-BB5A-2969373EC731}"/>
                </c:ext>
              </c:extLst>
            </c:dLbl>
            <c:dLbl>
              <c:idx val="12"/>
              <c:layout>
                <c:manualLayout>
                  <c:x val="-3.5540319803030254E-2"/>
                  <c:y val="-3.84758407048447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4B3A-4824-BB5A-2969373EC731}"/>
                </c:ext>
              </c:extLst>
            </c:dLbl>
            <c:dLbl>
              <c:idx val="13"/>
              <c:layout>
                <c:manualLayout>
                  <c:x val="-3.5540319803030254E-2"/>
                  <c:y val="-4.23691636559835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4B3A-4824-BB5A-2969373EC731}"/>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n-lt"/>
                    <a:ea typeface="+mn-ea"/>
                    <a:cs typeface="+mn-cs"/>
                  </a:defRPr>
                </a:pPr>
                <a:endParaRPr lang="es-E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MUN!$N$9:$N$22</c:f>
              <c:strCache>
                <c:ptCount val="14"/>
                <c:pt idx="0">
                  <c:v>Gandia</c:v>
                </c:pt>
                <c:pt idx="1">
                  <c:v>Laredo</c:v>
                </c:pt>
                <c:pt idx="2">
                  <c:v>La Manga del Mar Menor</c:v>
                </c:pt>
                <c:pt idx="3">
                  <c:v>Águilas</c:v>
                </c:pt>
                <c:pt idx="4">
                  <c:v>Motril</c:v>
                </c:pt>
                <c:pt idx="5">
                  <c:v>Santa Pola</c:v>
                </c:pt>
                <c:pt idx="6">
                  <c:v>Vera</c:v>
                </c:pt>
                <c:pt idx="7">
                  <c:v>Sanlúcar de Barrameda</c:v>
                </c:pt>
                <c:pt idx="8">
                  <c:v>Huelva Capital</c:v>
                </c:pt>
                <c:pt idx="9">
                  <c:v>Tortosa</c:v>
                </c:pt>
                <c:pt idx="10">
                  <c:v>Algeciras</c:v>
                </c:pt>
                <c:pt idx="11">
                  <c:v>Roquetas de Mar</c:v>
                </c:pt>
                <c:pt idx="12">
                  <c:v>Sagunto / Sagunt</c:v>
                </c:pt>
                <c:pt idx="13">
                  <c:v>Ferrol</c:v>
                </c:pt>
              </c:strCache>
            </c:strRef>
          </c:cat>
          <c:val>
            <c:numRef>
              <c:f>MUN!$Q$9:$Q$22</c:f>
              <c:numCache>
                <c:formatCode>General</c:formatCode>
                <c:ptCount val="14"/>
                <c:pt idx="0" formatCode="0.0%">
                  <c:v>6.150354970918364E-2</c:v>
                </c:pt>
                <c:pt idx="8" formatCode="0.0%">
                  <c:v>6.3533790765148285E-2</c:v>
                </c:pt>
                <c:pt idx="10" formatCode="0.0%">
                  <c:v>7.1596218082541463E-2</c:v>
                </c:pt>
                <c:pt idx="12" formatCode="0.0%">
                  <c:v>5.7524888142855009E-2</c:v>
                </c:pt>
                <c:pt idx="13" formatCode="0.0%">
                  <c:v>5.1922126990323732E-2</c:v>
                </c:pt>
              </c:numCache>
            </c:numRef>
          </c:val>
          <c:smooth val="0"/>
          <c:extLst>
            <c:ext xmlns:c16="http://schemas.microsoft.com/office/drawing/2014/chart" uri="{C3380CC4-5D6E-409C-BE32-E72D297353CC}">
              <c16:uniqueId val="{00000004-4B3A-4824-BB5A-2969373EC731}"/>
            </c:ext>
          </c:extLst>
        </c:ser>
        <c:ser>
          <c:idx val="3"/>
          <c:order val="3"/>
          <c:tx>
            <c:strRef>
              <c:f>MUN!$R$8</c:f>
              <c:strCache>
                <c:ptCount val="1"/>
                <c:pt idx="0">
                  <c:v>  Mayo 2023</c:v>
                </c:pt>
              </c:strCache>
            </c:strRef>
          </c:tx>
          <c:spPr>
            <a:ln w="28575" cap="rnd">
              <a:solidFill>
                <a:schemeClr val="accent1">
                  <a:tint val="58000"/>
                </a:schemeClr>
              </a:solidFill>
              <a:round/>
            </a:ln>
            <a:effectLst>
              <a:outerShdw blurRad="50800" dist="50800" dir="5400000" algn="ctr" rotWithShape="0">
                <a:srgbClr val="000000">
                  <a:alpha val="14000"/>
                </a:srgbClr>
              </a:outerShdw>
            </a:effectLst>
          </c:spPr>
          <c:marker>
            <c:symbol val="circle"/>
            <c:size val="5"/>
            <c:spPr>
              <a:solidFill>
                <a:schemeClr val="accent1">
                  <a:tint val="77000"/>
                </a:schemeClr>
              </a:solidFill>
              <a:ln w="9525">
                <a:solidFill>
                  <a:schemeClr val="accent1">
                    <a:tint val="77000"/>
                  </a:schemeClr>
                </a:solidFill>
              </a:ln>
              <a:effectLst>
                <a:outerShdw blurRad="50800" dist="50800" dir="5400000" algn="ctr" rotWithShape="0">
                  <a:srgbClr val="000000">
                    <a:alpha val="14000"/>
                  </a:srgbClr>
                </a:outerShdw>
              </a:effectLst>
            </c:spPr>
          </c:marker>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n-lt"/>
                    <a:ea typeface="+mn-ea"/>
                    <a:cs typeface="+mn-cs"/>
                  </a:defRPr>
                </a:pPr>
                <a:endParaRPr lang="es-E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MUN!$N$9:$N$22</c:f>
              <c:strCache>
                <c:ptCount val="14"/>
                <c:pt idx="0">
                  <c:v>Gandia</c:v>
                </c:pt>
                <c:pt idx="1">
                  <c:v>Laredo</c:v>
                </c:pt>
                <c:pt idx="2">
                  <c:v>La Manga del Mar Menor</c:v>
                </c:pt>
                <c:pt idx="3">
                  <c:v>Águilas</c:v>
                </c:pt>
                <c:pt idx="4">
                  <c:v>Motril</c:v>
                </c:pt>
                <c:pt idx="5">
                  <c:v>Santa Pola</c:v>
                </c:pt>
                <c:pt idx="6">
                  <c:v>Vera</c:v>
                </c:pt>
                <c:pt idx="7">
                  <c:v>Sanlúcar de Barrameda</c:v>
                </c:pt>
                <c:pt idx="8">
                  <c:v>Huelva Capital</c:v>
                </c:pt>
                <c:pt idx="9">
                  <c:v>Tortosa</c:v>
                </c:pt>
                <c:pt idx="10">
                  <c:v>Algeciras</c:v>
                </c:pt>
                <c:pt idx="11">
                  <c:v>Roquetas de Mar</c:v>
                </c:pt>
                <c:pt idx="12">
                  <c:v>Sagunto / Sagunt</c:v>
                </c:pt>
                <c:pt idx="13">
                  <c:v>Ferrol</c:v>
                </c:pt>
              </c:strCache>
            </c:strRef>
          </c:cat>
          <c:val>
            <c:numRef>
              <c:f>MUN!$R$9:$R$22</c:f>
              <c:numCache>
                <c:formatCode>0.0%</c:formatCode>
                <c:ptCount val="14"/>
                <c:pt idx="0">
                  <c:v>0.11641823133151785</c:v>
                </c:pt>
                <c:pt idx="1">
                  <c:v>0.11092836342457776</c:v>
                </c:pt>
                <c:pt idx="2">
                  <c:v>0.10017612338156891</c:v>
                </c:pt>
                <c:pt idx="3">
                  <c:v>9.9772647778943679E-2</c:v>
                </c:pt>
                <c:pt idx="4">
                  <c:v>8.7399025983494222E-2</c:v>
                </c:pt>
                <c:pt idx="5">
                  <c:v>8.0396003335373764E-2</c:v>
                </c:pt>
                <c:pt idx="6">
                  <c:v>8.0160430369523694E-2</c:v>
                </c:pt>
                <c:pt idx="7">
                  <c:v>7.9629920729379536E-2</c:v>
                </c:pt>
                <c:pt idx="8">
                  <c:v>7.8342451473486369E-2</c:v>
                </c:pt>
                <c:pt idx="9">
                  <c:v>7.7957361869645955E-2</c:v>
                </c:pt>
                <c:pt idx="10">
                  <c:v>7.7769977569645418E-2</c:v>
                </c:pt>
                <c:pt idx="11">
                  <c:v>7.6850422723398371E-2</c:v>
                </c:pt>
                <c:pt idx="12">
                  <c:v>7.5118259224219497E-2</c:v>
                </c:pt>
                <c:pt idx="13">
                  <c:v>7.4602478778942341E-2</c:v>
                </c:pt>
              </c:numCache>
            </c:numRef>
          </c:val>
          <c:smooth val="0"/>
          <c:extLst>
            <c:ext xmlns:c16="http://schemas.microsoft.com/office/drawing/2014/chart" uri="{C3380CC4-5D6E-409C-BE32-E72D297353CC}">
              <c16:uniqueId val="{00000005-4B3A-4824-BB5A-2969373EC731}"/>
            </c:ext>
          </c:extLst>
        </c:ser>
        <c:dLbls>
          <c:showLegendKey val="0"/>
          <c:showVal val="0"/>
          <c:showCatName val="0"/>
          <c:showSerName val="0"/>
          <c:showPercent val="0"/>
          <c:showBubbleSize val="0"/>
        </c:dLbls>
        <c:marker val="1"/>
        <c:smooth val="0"/>
        <c:axId val="554351791"/>
        <c:axId val="554337231"/>
      </c:lineChart>
      <c:catAx>
        <c:axId val="554351791"/>
        <c:scaling>
          <c:orientation val="minMax"/>
        </c:scaling>
        <c:delete val="0"/>
        <c:axPos val="b"/>
        <c:numFmt formatCode="General" sourceLinked="1"/>
        <c:majorTickMark val="none"/>
        <c:minorTickMark val="cross"/>
        <c:tickLblPos val="nextTo"/>
        <c:spPr>
          <a:noFill/>
          <a:ln w="0" cap="flat" cmpd="dbl" algn="ctr">
            <a:solidFill>
              <a:schemeClr val="tx1"/>
            </a:solidFill>
            <a:prstDash val="lgDashDot"/>
            <a:bevel/>
            <a:headEnd type="none"/>
            <a:tailEnd type="none"/>
          </a:ln>
          <a:effectLst/>
        </c:spPr>
        <c:txPr>
          <a:bodyPr rot="-27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ES"/>
          </a:p>
        </c:txPr>
        <c:crossAx val="554337231"/>
        <c:crosses val="autoZero"/>
        <c:auto val="1"/>
        <c:lblAlgn val="ctr"/>
        <c:lblOffset val="100"/>
        <c:noMultiLvlLbl val="0"/>
      </c:catAx>
      <c:valAx>
        <c:axId val="554337231"/>
        <c:scaling>
          <c:orientation val="minMax"/>
          <c:min val="0"/>
        </c:scaling>
        <c:delete val="1"/>
        <c:axPos val="l"/>
        <c:numFmt formatCode="0%" sourceLinked="0"/>
        <c:majorTickMark val="none"/>
        <c:minorTickMark val="none"/>
        <c:tickLblPos val="nextTo"/>
        <c:crossAx val="554351791"/>
        <c:crossesAt val="1"/>
        <c:crossBetween val="between"/>
        <c:majorUnit val="3.0000000000000006E-2"/>
        <c:minorUnit val="5.000000000000001E-3"/>
      </c:valAx>
      <c:spPr>
        <a:noFill/>
        <a:ln cap="sq">
          <a:noFill/>
        </a:ln>
        <a:effectLst>
          <a:outerShdw blurRad="50800" dist="50800" dir="4200000" algn="ctr" rotWithShape="0">
            <a:srgbClr val="000000">
              <a:alpha val="39000"/>
            </a:srgbClr>
          </a:outerShdw>
          <a:softEdge rad="190500"/>
        </a:effectLst>
      </c:spPr>
    </c:plotArea>
    <c:legend>
      <c:legendPos val="b"/>
      <c:layout>
        <c:manualLayout>
          <c:xMode val="edge"/>
          <c:yMode val="edge"/>
          <c:x val="0.14904872043487452"/>
          <c:y val="0.92087973040771376"/>
          <c:w val="0.72719403824521933"/>
          <c:h val="3.6458586737698716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5.0452019763343625E-2"/>
          <c:y val="6.3533584920760736E-2"/>
          <c:w val="0.92219028139591164"/>
          <c:h val="0.58119543017910202"/>
        </c:manualLayout>
      </c:layout>
      <c:lineChart>
        <c:grouping val="standard"/>
        <c:varyColors val="0"/>
        <c:ser>
          <c:idx val="0"/>
          <c:order val="0"/>
          <c:tx>
            <c:strRef>
              <c:f>MUN!$V$8</c:f>
              <c:strCache>
                <c:ptCount val="1"/>
                <c:pt idx="0">
                  <c:v> Mayo 2008</c:v>
                </c:pt>
              </c:strCache>
            </c:strRef>
          </c:tx>
          <c:spPr>
            <a:ln w="28575" cap="rnd">
              <a:solidFill>
                <a:schemeClr val="accent1">
                  <a:shade val="58000"/>
                </a:schemeClr>
              </a:solidFill>
              <a:round/>
            </a:ln>
            <a:effectLst>
              <a:outerShdw blurRad="50800" dist="50800" dir="5400000" algn="ctr" rotWithShape="0">
                <a:srgbClr val="000000">
                  <a:alpha val="14000"/>
                </a:srgbClr>
              </a:outerShdw>
            </a:effectLst>
          </c:spPr>
          <c:marker>
            <c:symbol val="circle"/>
            <c:size val="5"/>
            <c:spPr>
              <a:solidFill>
                <a:schemeClr val="accent1"/>
              </a:solidFill>
              <a:ln w="9525">
                <a:solidFill>
                  <a:schemeClr val="bg2">
                    <a:lumMod val="50000"/>
                    <a:alpha val="45000"/>
                  </a:schemeClr>
                </a:solidFill>
              </a:ln>
              <a:effectLst>
                <a:outerShdw blurRad="50800" dist="50800" dir="3720000" algn="ctr" rotWithShape="0">
                  <a:schemeClr val="bg2">
                    <a:lumMod val="75000"/>
                    <a:alpha val="14000"/>
                  </a:schemeClr>
                </a:outerShdw>
              </a:effectLst>
            </c:spPr>
          </c:marker>
          <c:cat>
            <c:strRef>
              <c:f>MUN!$U$9:$U$18</c:f>
              <c:strCache>
                <c:ptCount val="10"/>
                <c:pt idx="0">
                  <c:v>Getxo</c:v>
                </c:pt>
                <c:pt idx="1">
                  <c:v>Donostia - San Sebastián</c:v>
                </c:pt>
                <c:pt idx="2">
                  <c:v>Orihuela</c:v>
                </c:pt>
                <c:pt idx="3">
                  <c:v>Fuengirola</c:v>
                </c:pt>
                <c:pt idx="4">
                  <c:v>Sitges</c:v>
                </c:pt>
                <c:pt idx="5">
                  <c:v>Vigo</c:v>
                </c:pt>
                <c:pt idx="6">
                  <c:v>Palma de Mallorca</c:v>
                </c:pt>
                <c:pt idx="7">
                  <c:v>Pontevedra Capital</c:v>
                </c:pt>
                <c:pt idx="8">
                  <c:v>Rincón de la Victoria</c:v>
                </c:pt>
                <c:pt idx="9">
                  <c:v>Bilbao</c:v>
                </c:pt>
              </c:strCache>
            </c:strRef>
          </c:cat>
          <c:val>
            <c:numRef>
              <c:f>MUN!$V$9:$V$18</c:f>
              <c:numCache>
                <c:formatCode>0.0%</c:formatCode>
                <c:ptCount val="10"/>
                <c:pt idx="0">
                  <c:v>3.2152562589053892E-2</c:v>
                </c:pt>
                <c:pt idx="1">
                  <c:v>3.0396317338596733E-2</c:v>
                </c:pt>
                <c:pt idx="3">
                  <c:v>4.0134756711344532E-2</c:v>
                </c:pt>
                <c:pt idx="4">
                  <c:v>3.2337077851374879E-2</c:v>
                </c:pt>
                <c:pt idx="5">
                  <c:v>3.473735008852856E-2</c:v>
                </c:pt>
                <c:pt idx="6">
                  <c:v>4.3159674664490999E-2</c:v>
                </c:pt>
                <c:pt idx="7">
                  <c:v>3.9608789064427288E-2</c:v>
                </c:pt>
                <c:pt idx="8">
                  <c:v>3.7737780601888864E-2</c:v>
                </c:pt>
                <c:pt idx="9">
                  <c:v>3.3996603902731924E-2</c:v>
                </c:pt>
              </c:numCache>
            </c:numRef>
          </c:val>
          <c:smooth val="0"/>
          <c:extLst>
            <c:ext xmlns:c16="http://schemas.microsoft.com/office/drawing/2014/chart" uri="{C3380CC4-5D6E-409C-BE32-E72D297353CC}">
              <c16:uniqueId val="{00000000-90B9-4EFE-83E8-DDF88FCBF599}"/>
            </c:ext>
          </c:extLst>
        </c:ser>
        <c:ser>
          <c:idx val="1"/>
          <c:order val="1"/>
          <c:tx>
            <c:strRef>
              <c:f>MUN!$W$8</c:f>
              <c:strCache>
                <c:ptCount val="1"/>
                <c:pt idx="0">
                  <c:v> Mayo 2013</c:v>
                </c:pt>
              </c:strCache>
            </c:strRef>
          </c:tx>
          <c:spPr>
            <a:ln w="28575" cap="rnd">
              <a:solidFill>
                <a:schemeClr val="bg2">
                  <a:lumMod val="50000"/>
                  <a:alpha val="45000"/>
                </a:schemeClr>
              </a:solidFill>
              <a:round/>
            </a:ln>
            <a:effectLst>
              <a:outerShdw blurRad="50800" dist="50800" dir="3720000" algn="ctr" rotWithShape="0">
                <a:schemeClr val="bg2">
                  <a:lumMod val="50000"/>
                  <a:alpha val="14000"/>
                </a:schemeClr>
              </a:outerShdw>
            </a:effectLst>
          </c:spPr>
          <c:marker>
            <c:symbol val="circle"/>
            <c:size val="5"/>
            <c:spPr>
              <a:solidFill>
                <a:schemeClr val="bg2">
                  <a:lumMod val="50000"/>
                </a:schemeClr>
              </a:solidFill>
              <a:ln w="9525">
                <a:solidFill>
                  <a:schemeClr val="bg2">
                    <a:lumMod val="50000"/>
                    <a:alpha val="45000"/>
                  </a:schemeClr>
                </a:solidFill>
              </a:ln>
              <a:effectLst>
                <a:outerShdw blurRad="50800" dist="50800" dir="3720000" algn="ctr" rotWithShape="0">
                  <a:schemeClr val="bg2">
                    <a:lumMod val="50000"/>
                    <a:alpha val="14000"/>
                  </a:schemeClr>
                </a:outerShdw>
              </a:effectLst>
            </c:spPr>
          </c:marker>
          <c:dPt>
            <c:idx val="7"/>
            <c:marker>
              <c:symbol val="circle"/>
              <c:size val="5"/>
              <c:spPr>
                <a:solidFill>
                  <a:schemeClr val="bg2">
                    <a:lumMod val="50000"/>
                  </a:schemeClr>
                </a:solidFill>
                <a:ln w="9525">
                  <a:solidFill>
                    <a:schemeClr val="bg2">
                      <a:lumMod val="25000"/>
                      <a:alpha val="45000"/>
                    </a:schemeClr>
                  </a:solidFill>
                </a:ln>
                <a:effectLst>
                  <a:outerShdw blurRad="50800" dist="50800" dir="3720000" algn="ctr" rotWithShape="0">
                    <a:schemeClr val="bg2">
                      <a:lumMod val="50000"/>
                      <a:alpha val="14000"/>
                    </a:schemeClr>
                  </a:outerShdw>
                </a:effectLst>
              </c:spPr>
            </c:marker>
            <c:bubble3D val="0"/>
            <c:spPr>
              <a:ln w="28575" cap="rnd">
                <a:solidFill>
                  <a:schemeClr val="bg2">
                    <a:lumMod val="25000"/>
                    <a:alpha val="45000"/>
                  </a:schemeClr>
                </a:solidFill>
                <a:round/>
              </a:ln>
              <a:effectLst>
                <a:outerShdw blurRad="50800" dist="50800" dir="3720000" algn="ctr" rotWithShape="0">
                  <a:schemeClr val="bg2">
                    <a:lumMod val="50000"/>
                    <a:alpha val="14000"/>
                  </a:schemeClr>
                </a:outerShdw>
              </a:effectLst>
            </c:spPr>
            <c:extLst>
              <c:ext xmlns:c16="http://schemas.microsoft.com/office/drawing/2014/chart" uri="{C3380CC4-5D6E-409C-BE32-E72D297353CC}">
                <c16:uniqueId val="{00000002-90B9-4EFE-83E8-DDF88FCBF599}"/>
              </c:ext>
            </c:extLst>
          </c:dPt>
          <c:dLbls>
            <c:dLbl>
              <c:idx val="3"/>
              <c:layout>
                <c:manualLayout>
                  <c:x val="-2.8028899868524231E-2"/>
                  <c:y val="-3.50560130403204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0B9-4EFE-83E8-DDF88FCBF599}"/>
                </c:ext>
              </c:extLst>
            </c:dLbl>
            <c:dLbl>
              <c:idx val="8"/>
              <c:layout>
                <c:manualLayout>
                  <c:x val="-3.4957443418614204E-2"/>
                  <c:y val="-5.866309784618024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0B9-4EFE-83E8-DDF88FCBF599}"/>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E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MUN!$U$9:$U$18</c:f>
              <c:strCache>
                <c:ptCount val="10"/>
                <c:pt idx="0">
                  <c:v>Getxo</c:v>
                </c:pt>
                <c:pt idx="1">
                  <c:v>Donostia - San Sebastián</c:v>
                </c:pt>
                <c:pt idx="2">
                  <c:v>Orihuela</c:v>
                </c:pt>
                <c:pt idx="3">
                  <c:v>Fuengirola</c:v>
                </c:pt>
                <c:pt idx="4">
                  <c:v>Sitges</c:v>
                </c:pt>
                <c:pt idx="5">
                  <c:v>Vigo</c:v>
                </c:pt>
                <c:pt idx="6">
                  <c:v>Palma de Mallorca</c:v>
                </c:pt>
                <c:pt idx="7">
                  <c:v>Pontevedra Capital</c:v>
                </c:pt>
                <c:pt idx="8">
                  <c:v>Rincón de la Victoria</c:v>
                </c:pt>
                <c:pt idx="9">
                  <c:v>Bilbao</c:v>
                </c:pt>
              </c:strCache>
            </c:strRef>
          </c:cat>
          <c:val>
            <c:numRef>
              <c:f>MUN!$W$9:$W$18</c:f>
              <c:numCache>
                <c:formatCode>0.0%</c:formatCode>
                <c:ptCount val="10"/>
                <c:pt idx="0">
                  <c:v>3.5629974696629416E-2</c:v>
                </c:pt>
                <c:pt idx="1">
                  <c:v>2.9665017227724109E-2</c:v>
                </c:pt>
                <c:pt idx="2">
                  <c:v>4.4468730253955591E-2</c:v>
                </c:pt>
                <c:pt idx="3">
                  <c:v>4.7568221859821909E-2</c:v>
                </c:pt>
                <c:pt idx="4">
                  <c:v>3.3396920671149952E-2</c:v>
                </c:pt>
                <c:pt idx="5">
                  <c:v>3.7400198388786395E-2</c:v>
                </c:pt>
                <c:pt idx="6">
                  <c:v>9.4467427622759892E-2</c:v>
                </c:pt>
                <c:pt idx="7">
                  <c:v>3.7590397068534565E-2</c:v>
                </c:pt>
                <c:pt idx="8">
                  <c:v>4.7583425006301507E-2</c:v>
                </c:pt>
                <c:pt idx="9">
                  <c:v>3.8282975559144013E-2</c:v>
                </c:pt>
              </c:numCache>
            </c:numRef>
          </c:val>
          <c:smooth val="0"/>
          <c:extLst>
            <c:ext xmlns:c16="http://schemas.microsoft.com/office/drawing/2014/chart" uri="{C3380CC4-5D6E-409C-BE32-E72D297353CC}">
              <c16:uniqueId val="{00000004-90B9-4EFE-83E8-DDF88FCBF599}"/>
            </c:ext>
          </c:extLst>
        </c:ser>
        <c:ser>
          <c:idx val="2"/>
          <c:order val="2"/>
          <c:tx>
            <c:strRef>
              <c:f>MUN!$X$8</c:f>
              <c:strCache>
                <c:ptCount val="1"/>
                <c:pt idx="0">
                  <c:v>  Mayo 2018</c:v>
                </c:pt>
              </c:strCache>
            </c:strRef>
          </c:tx>
          <c:spPr>
            <a:ln w="28575" cap="rnd">
              <a:solidFill>
                <a:schemeClr val="accent1">
                  <a:tint val="86000"/>
                </a:schemeClr>
              </a:solidFill>
              <a:round/>
            </a:ln>
            <a:effectLst>
              <a:outerShdw dist="50800" dir="5400000" algn="ctr" rotWithShape="0">
                <a:srgbClr val="000000">
                  <a:alpha val="14000"/>
                </a:srgbClr>
              </a:outerShdw>
            </a:effectLst>
          </c:spPr>
          <c:marker>
            <c:symbol val="circle"/>
            <c:size val="5"/>
            <c:spPr>
              <a:solidFill>
                <a:schemeClr val="accent1">
                  <a:tint val="77000"/>
                </a:schemeClr>
              </a:solidFill>
              <a:ln w="9525">
                <a:solidFill>
                  <a:schemeClr val="accent1">
                    <a:tint val="77000"/>
                  </a:schemeClr>
                </a:solidFill>
              </a:ln>
              <a:effectLst>
                <a:outerShdw dist="50800" dir="5400000" algn="ctr" rotWithShape="0">
                  <a:srgbClr val="000000">
                    <a:alpha val="14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E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MUN!$U$9:$U$18</c:f>
              <c:strCache>
                <c:ptCount val="10"/>
                <c:pt idx="0">
                  <c:v>Getxo</c:v>
                </c:pt>
                <c:pt idx="1">
                  <c:v>Donostia - San Sebastián</c:v>
                </c:pt>
                <c:pt idx="2">
                  <c:v>Orihuela</c:v>
                </c:pt>
                <c:pt idx="3">
                  <c:v>Fuengirola</c:v>
                </c:pt>
                <c:pt idx="4">
                  <c:v>Sitges</c:v>
                </c:pt>
                <c:pt idx="5">
                  <c:v>Vigo</c:v>
                </c:pt>
                <c:pt idx="6">
                  <c:v>Palma de Mallorca</c:v>
                </c:pt>
                <c:pt idx="7">
                  <c:v>Pontevedra Capital</c:v>
                </c:pt>
                <c:pt idx="8">
                  <c:v>Rincón de la Victoria</c:v>
                </c:pt>
                <c:pt idx="9">
                  <c:v>Bilbao</c:v>
                </c:pt>
              </c:strCache>
            </c:strRef>
          </c:cat>
          <c:val>
            <c:numRef>
              <c:f>MUN!$X$9:$X$18</c:f>
              <c:numCache>
                <c:formatCode>0.0%</c:formatCode>
                <c:ptCount val="10"/>
                <c:pt idx="0">
                  <c:v>4.0364314347342882E-2</c:v>
                </c:pt>
                <c:pt idx="1">
                  <c:v>4.0418492447378676E-2</c:v>
                </c:pt>
                <c:pt idx="4">
                  <c:v>4.6915719599683478E-2</c:v>
                </c:pt>
                <c:pt idx="5">
                  <c:v>4.7468799153889477E-2</c:v>
                </c:pt>
                <c:pt idx="6">
                  <c:v>5.5880524107827304E-2</c:v>
                </c:pt>
                <c:pt idx="7">
                  <c:v>4.1964869774564942E-2</c:v>
                </c:pt>
                <c:pt idx="9">
                  <c:v>4.8385912833885159E-2</c:v>
                </c:pt>
              </c:numCache>
            </c:numRef>
          </c:val>
          <c:smooth val="0"/>
          <c:extLst>
            <c:ext xmlns:c16="http://schemas.microsoft.com/office/drawing/2014/chart" uri="{C3380CC4-5D6E-409C-BE32-E72D297353CC}">
              <c16:uniqueId val="{00000005-90B9-4EFE-83E8-DDF88FCBF599}"/>
            </c:ext>
          </c:extLst>
        </c:ser>
        <c:ser>
          <c:idx val="3"/>
          <c:order val="3"/>
          <c:tx>
            <c:strRef>
              <c:f>MUN!$Y$8</c:f>
              <c:strCache>
                <c:ptCount val="1"/>
                <c:pt idx="0">
                  <c:v>  Mayo 2023</c:v>
                </c:pt>
              </c:strCache>
            </c:strRef>
          </c:tx>
          <c:spPr>
            <a:ln w="28575" cap="rnd">
              <a:solidFill>
                <a:schemeClr val="accent1">
                  <a:tint val="58000"/>
                </a:schemeClr>
              </a:solidFill>
              <a:round/>
            </a:ln>
            <a:effectLst>
              <a:outerShdw blurRad="50800" dist="50800" dir="5400000" algn="ctr" rotWithShape="0">
                <a:srgbClr val="000000">
                  <a:alpha val="14000"/>
                </a:srgbClr>
              </a:outerShdw>
            </a:effectLst>
          </c:spPr>
          <c:marker>
            <c:symbol val="circle"/>
            <c:size val="5"/>
            <c:spPr>
              <a:solidFill>
                <a:schemeClr val="accent1">
                  <a:tint val="58000"/>
                </a:schemeClr>
              </a:solidFill>
              <a:ln w="9525">
                <a:solidFill>
                  <a:schemeClr val="tx1">
                    <a:alpha val="14000"/>
                  </a:schemeClr>
                </a:solidFill>
              </a:ln>
              <a:effectLst>
                <a:outerShdw blurRad="50800" dist="50800" dir="5400000" algn="ctr" rotWithShape="0">
                  <a:srgbClr val="000000">
                    <a:alpha val="14000"/>
                  </a:srgbClr>
                </a:outerShdw>
              </a:effectLst>
            </c:spPr>
          </c:marker>
          <c:cat>
            <c:strRef>
              <c:f>MUN!$U$9:$U$18</c:f>
              <c:strCache>
                <c:ptCount val="10"/>
                <c:pt idx="0">
                  <c:v>Getxo</c:v>
                </c:pt>
                <c:pt idx="1">
                  <c:v>Donostia - San Sebastián</c:v>
                </c:pt>
                <c:pt idx="2">
                  <c:v>Orihuela</c:v>
                </c:pt>
                <c:pt idx="3">
                  <c:v>Fuengirola</c:v>
                </c:pt>
                <c:pt idx="4">
                  <c:v>Sitges</c:v>
                </c:pt>
                <c:pt idx="5">
                  <c:v>Vigo</c:v>
                </c:pt>
                <c:pt idx="6">
                  <c:v>Palma de Mallorca</c:v>
                </c:pt>
                <c:pt idx="7">
                  <c:v>Pontevedra Capital</c:v>
                </c:pt>
                <c:pt idx="8">
                  <c:v>Rincón de la Victoria</c:v>
                </c:pt>
                <c:pt idx="9">
                  <c:v>Bilbao</c:v>
                </c:pt>
              </c:strCache>
            </c:strRef>
          </c:cat>
          <c:val>
            <c:numRef>
              <c:f>MUN!$Y$9:$Y$18</c:f>
              <c:numCache>
                <c:formatCode>0.0%</c:formatCode>
                <c:ptCount val="10"/>
                <c:pt idx="0">
                  <c:v>3.7150716664253659E-2</c:v>
                </c:pt>
                <c:pt idx="1">
                  <c:v>3.8692826651387742E-2</c:v>
                </c:pt>
                <c:pt idx="2">
                  <c:v>4.3725339355286996E-2</c:v>
                </c:pt>
                <c:pt idx="3">
                  <c:v>4.7225779543516214E-2</c:v>
                </c:pt>
                <c:pt idx="4">
                  <c:v>4.7352543077660715E-2</c:v>
                </c:pt>
                <c:pt idx="5">
                  <c:v>4.7526449082104502E-2</c:v>
                </c:pt>
                <c:pt idx="6">
                  <c:v>4.8169683155235267E-2</c:v>
                </c:pt>
                <c:pt idx="7">
                  <c:v>4.9579781123405289E-2</c:v>
                </c:pt>
                <c:pt idx="8">
                  <c:v>5.0536158213053316E-2</c:v>
                </c:pt>
                <c:pt idx="9">
                  <c:v>5.1728373398841905E-2</c:v>
                </c:pt>
              </c:numCache>
            </c:numRef>
          </c:val>
          <c:smooth val="0"/>
          <c:extLst>
            <c:ext xmlns:c16="http://schemas.microsoft.com/office/drawing/2014/chart" uri="{C3380CC4-5D6E-409C-BE32-E72D297353CC}">
              <c16:uniqueId val="{00000006-90B9-4EFE-83E8-DDF88FCBF599}"/>
            </c:ext>
          </c:extLst>
        </c:ser>
        <c:dLbls>
          <c:showLegendKey val="0"/>
          <c:showVal val="0"/>
          <c:showCatName val="0"/>
          <c:showSerName val="0"/>
          <c:showPercent val="0"/>
          <c:showBubbleSize val="0"/>
        </c:dLbls>
        <c:marker val="1"/>
        <c:smooth val="0"/>
        <c:axId val="554351791"/>
        <c:axId val="554337231"/>
      </c:lineChart>
      <c:catAx>
        <c:axId val="554351791"/>
        <c:scaling>
          <c:orientation val="minMax"/>
        </c:scaling>
        <c:delete val="0"/>
        <c:axPos val="b"/>
        <c:numFmt formatCode="General" sourceLinked="1"/>
        <c:majorTickMark val="none"/>
        <c:minorTickMark val="cross"/>
        <c:tickLblPos val="nextTo"/>
        <c:spPr>
          <a:noFill/>
          <a:ln w="0" cap="flat" cmpd="dbl" algn="ctr">
            <a:solidFill>
              <a:schemeClr val="tx1"/>
            </a:solidFill>
            <a:prstDash val="lgDashDot"/>
            <a:bevel/>
            <a:headEnd type="none"/>
            <a:tailEnd type="none"/>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554337231"/>
        <c:crosses val="autoZero"/>
        <c:auto val="1"/>
        <c:lblAlgn val="ctr"/>
        <c:lblOffset val="100"/>
        <c:noMultiLvlLbl val="0"/>
      </c:catAx>
      <c:valAx>
        <c:axId val="554337231"/>
        <c:scaling>
          <c:orientation val="minMax"/>
          <c:min val="0"/>
        </c:scaling>
        <c:delete val="1"/>
        <c:axPos val="l"/>
        <c:numFmt formatCode="0%" sourceLinked="0"/>
        <c:majorTickMark val="none"/>
        <c:minorTickMark val="none"/>
        <c:tickLblPos val="nextTo"/>
        <c:crossAx val="554351791"/>
        <c:crossesAt val="1"/>
        <c:crossBetween val="between"/>
        <c:majorUnit val="3.0000000000000006E-2"/>
      </c:valAx>
      <c:spPr>
        <a:noFill/>
        <a:ln cap="sq">
          <a:noFill/>
        </a:ln>
        <a:effectLst>
          <a:outerShdw blurRad="50800" dist="50800" dir="4200000" algn="ctr" rotWithShape="0">
            <a:srgbClr val="000000">
              <a:alpha val="39000"/>
            </a:srgbClr>
          </a:outerShdw>
          <a:softEdge rad="190500"/>
        </a:effectLst>
      </c:spPr>
    </c:plotArea>
    <c:legend>
      <c:legendPos val="b"/>
      <c:layout>
        <c:manualLayout>
          <c:xMode val="edge"/>
          <c:yMode val="edge"/>
          <c:x val="0.14904872043487452"/>
          <c:y val="0.91807691467360453"/>
          <c:w val="0.62323961888068025"/>
          <c:h val="4.123065960128728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RPZMtY/oK6zmMATa2woo7zDfOw==">CgMxLjAyCGguZ2pkZ3hzMgloLjFmb2I5dGUyCWguMzBqMHpsbDgAciExLWpLTGo3VEZJRXl6QW9aUW1zdDZZb25VZGM4dFR6Tms=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1503</Words>
  <Characters>8269</Characters>
  <Application>Microsoft Office Word</Application>
  <DocSecurity>0</DocSecurity>
  <Lines>68</Lines>
  <Paragraphs>19</Paragraphs>
  <ScaleCrop>false</ScaleCrop>
  <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2</cp:revision>
  <dcterms:created xsi:type="dcterms:W3CDTF">2022-07-07T12:34:00Z</dcterms:created>
  <dcterms:modified xsi:type="dcterms:W3CDTF">2023-06-26T06:46:00Z</dcterms:modified>
</cp:coreProperties>
</file>