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3754" w14:textId="77777777" w:rsidR="00C15353" w:rsidRDefault="00C15353" w:rsidP="00DC4348">
      <w:pPr>
        <w:ind w:right="-433"/>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DC4348">
      <w:pPr>
        <w:ind w:right="-433"/>
        <w:jc w:val="right"/>
        <w:rPr>
          <w:rFonts w:ascii="National" w:hAnsi="National"/>
          <w:color w:val="303AB2"/>
          <w:sz w:val="36"/>
          <w:szCs w:val="36"/>
        </w:rPr>
      </w:pPr>
    </w:p>
    <w:p w14:paraId="1BCE1281" w14:textId="77777777" w:rsidR="00C15353" w:rsidRDefault="00C15353" w:rsidP="00DC4348">
      <w:pPr>
        <w:ind w:right="-433"/>
        <w:jc w:val="right"/>
        <w:rPr>
          <w:rFonts w:ascii="National" w:hAnsi="National"/>
          <w:color w:val="303AB2"/>
          <w:sz w:val="36"/>
          <w:szCs w:val="36"/>
        </w:rPr>
      </w:pPr>
    </w:p>
    <w:p w14:paraId="4BA8AEAA" w14:textId="77777777" w:rsidR="00C15353" w:rsidRPr="00CF3B5B" w:rsidRDefault="00C15353" w:rsidP="00DC4348">
      <w:pPr>
        <w:ind w:right="-433"/>
        <w:rPr>
          <w:rFonts w:ascii="National" w:hAnsi="National"/>
          <w:color w:val="303AB2"/>
          <w:sz w:val="16"/>
          <w:szCs w:val="16"/>
        </w:rPr>
      </w:pPr>
    </w:p>
    <w:p w14:paraId="21418B66" w14:textId="29140C38" w:rsidR="00C15353" w:rsidRPr="007F56C2" w:rsidRDefault="00213412" w:rsidP="00DC4348">
      <w:pPr>
        <w:spacing w:line="276" w:lineRule="auto"/>
        <w:ind w:right="-433"/>
        <w:jc w:val="center"/>
        <w:rPr>
          <w:rFonts w:ascii="National" w:hAnsi="National"/>
          <w:b/>
          <w:bCs/>
          <w:iCs/>
          <w:color w:val="1DBDC5"/>
          <w:sz w:val="34"/>
          <w:szCs w:val="32"/>
          <w:lang w:val="es-ES"/>
        </w:rPr>
      </w:pPr>
      <w:r>
        <w:rPr>
          <w:rFonts w:ascii="National" w:hAnsi="National"/>
          <w:b/>
          <w:bCs/>
          <w:iCs/>
          <w:color w:val="1DBDC5"/>
          <w:sz w:val="34"/>
          <w:szCs w:val="32"/>
          <w:lang w:val="es-ES"/>
        </w:rPr>
        <w:t>SEGUNDO</w:t>
      </w:r>
      <w:r w:rsidR="007F56C2" w:rsidRPr="007F56C2">
        <w:rPr>
          <w:rFonts w:ascii="National" w:hAnsi="National"/>
          <w:b/>
          <w:bCs/>
          <w:iCs/>
          <w:color w:val="1DBDC5"/>
          <w:sz w:val="34"/>
          <w:szCs w:val="32"/>
          <w:lang w:val="es-ES"/>
        </w:rPr>
        <w:t xml:space="preserve"> TRIMESTRE </w:t>
      </w:r>
      <w:r w:rsidR="00C15353" w:rsidRPr="007F56C2">
        <w:rPr>
          <w:rFonts w:ascii="National" w:hAnsi="National"/>
          <w:b/>
          <w:bCs/>
          <w:iCs/>
          <w:color w:val="1DBDC5"/>
          <w:sz w:val="34"/>
          <w:szCs w:val="32"/>
          <w:lang w:val="es-ES"/>
        </w:rPr>
        <w:t>20</w:t>
      </w:r>
      <w:r w:rsidR="007D7C84" w:rsidRPr="007F56C2">
        <w:rPr>
          <w:rFonts w:ascii="National" w:hAnsi="National"/>
          <w:b/>
          <w:bCs/>
          <w:iCs/>
          <w:color w:val="1DBDC5"/>
          <w:sz w:val="34"/>
          <w:szCs w:val="32"/>
          <w:lang w:val="es-ES"/>
        </w:rPr>
        <w:t>2</w:t>
      </w:r>
      <w:r w:rsidR="00052C29">
        <w:rPr>
          <w:rFonts w:ascii="National" w:hAnsi="National"/>
          <w:b/>
          <w:bCs/>
          <w:iCs/>
          <w:color w:val="1DBDC5"/>
          <w:sz w:val="34"/>
          <w:szCs w:val="32"/>
          <w:lang w:val="es-ES"/>
        </w:rPr>
        <w:t>3</w:t>
      </w:r>
      <w:r w:rsidR="00C15353" w:rsidRPr="007F56C2">
        <w:rPr>
          <w:rFonts w:ascii="National" w:hAnsi="National"/>
          <w:b/>
          <w:bCs/>
          <w:iCs/>
          <w:color w:val="1DBDC5"/>
          <w:sz w:val="34"/>
          <w:szCs w:val="32"/>
          <w:lang w:val="es-ES"/>
        </w:rPr>
        <w:t>: PRECIO VIVIENDA EN VENTA</w:t>
      </w:r>
    </w:p>
    <w:p w14:paraId="51A07861" w14:textId="684EDF0F" w:rsidR="00C15353" w:rsidRPr="00BA69E1" w:rsidRDefault="00BA69E1" w:rsidP="00BA69E1">
      <w:pPr>
        <w:spacing w:line="276" w:lineRule="auto"/>
        <w:ind w:right="-433"/>
        <w:jc w:val="center"/>
        <w:rPr>
          <w:rFonts w:ascii="National" w:hAnsi="National"/>
          <w:b/>
          <w:bCs/>
          <w:iCs/>
          <w:color w:val="303AB2"/>
          <w:sz w:val="46"/>
          <w:szCs w:val="72"/>
          <w:lang w:val="es-ES"/>
        </w:rPr>
      </w:pPr>
      <w:r w:rsidRPr="00BA69E1">
        <w:rPr>
          <w:rFonts w:ascii="National" w:hAnsi="National"/>
          <w:b/>
          <w:bCs/>
          <w:iCs/>
          <w:color w:val="303AB2"/>
          <w:sz w:val="46"/>
          <w:szCs w:val="72"/>
          <w:lang w:val="es-ES"/>
        </w:rPr>
        <w:t>El precio de la vivienda en Canarias alcanza el precio máximo tras la burbuja de 2007</w:t>
      </w:r>
    </w:p>
    <w:p w14:paraId="1B13B5F6" w14:textId="77777777" w:rsidR="00BA69E1" w:rsidRDefault="00BA69E1" w:rsidP="00BA69E1">
      <w:pPr>
        <w:pStyle w:val="Prrafodelista"/>
        <w:spacing w:line="276" w:lineRule="auto"/>
        <w:ind w:right="-433"/>
        <w:jc w:val="both"/>
        <w:rPr>
          <w:rFonts w:ascii="Open Sans" w:eastAsia="Times New Roman" w:hAnsi="Open Sans" w:cs="Open Sans"/>
          <w:color w:val="303AB2"/>
          <w:lang w:val="es-ES" w:eastAsia="es-ES_tradnl"/>
        </w:rPr>
      </w:pPr>
    </w:p>
    <w:p w14:paraId="2F920C47" w14:textId="33C4AC53" w:rsidR="00BA69E1" w:rsidRPr="00BA69E1" w:rsidRDefault="00BA69E1" w:rsidP="00DC4348">
      <w:pPr>
        <w:pStyle w:val="Prrafodelista"/>
        <w:numPr>
          <w:ilvl w:val="0"/>
          <w:numId w:val="6"/>
        </w:numPr>
        <w:spacing w:line="276" w:lineRule="auto"/>
        <w:ind w:right="-433"/>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Después de Baleares, Canarias es la segunda comunidad en alcanzar el precio máximo en venta</w:t>
      </w:r>
    </w:p>
    <w:p w14:paraId="1436F875" w14:textId="21A48323" w:rsidR="00C05223" w:rsidRPr="00E53CBF" w:rsidRDefault="00385156" w:rsidP="00DC4348">
      <w:pPr>
        <w:pStyle w:val="Prrafodelista"/>
        <w:numPr>
          <w:ilvl w:val="0"/>
          <w:numId w:val="6"/>
        </w:numPr>
        <w:spacing w:line="276" w:lineRule="auto"/>
        <w:ind w:right="-433"/>
        <w:jc w:val="both"/>
        <w:rPr>
          <w:rFonts w:ascii="Open Sans" w:eastAsia="Times New Roman" w:hAnsi="Open Sans" w:cs="Open Sans"/>
          <w:color w:val="303AB2"/>
          <w:lang w:val="es-ES" w:eastAsia="es-ES_tradnl"/>
        </w:rPr>
      </w:pPr>
      <w:r>
        <w:rPr>
          <w:rFonts w:ascii="Open Sans" w:hAnsi="Open Sans" w:cs="Open Sans"/>
          <w:color w:val="303AB2"/>
        </w:rPr>
        <w:t>El</w:t>
      </w:r>
      <w:r w:rsidR="003E20A1">
        <w:rPr>
          <w:rFonts w:ascii="Open Sans" w:hAnsi="Open Sans" w:cs="Open Sans"/>
          <w:color w:val="303AB2"/>
        </w:rPr>
        <w:t xml:space="preserve"> precio de la vivienda</w:t>
      </w:r>
      <w:r w:rsidR="00F773FA">
        <w:rPr>
          <w:rFonts w:ascii="Open Sans" w:hAnsi="Open Sans" w:cs="Open Sans"/>
          <w:color w:val="303AB2"/>
        </w:rPr>
        <w:t xml:space="preserve"> </w:t>
      </w:r>
      <w:r w:rsidR="00A3723E">
        <w:rPr>
          <w:rFonts w:ascii="Open Sans" w:hAnsi="Open Sans" w:cs="Open Sans"/>
          <w:color w:val="303AB2"/>
        </w:rPr>
        <w:t>trimestral</w:t>
      </w:r>
      <w:r w:rsidR="003E20A1">
        <w:rPr>
          <w:rFonts w:ascii="Open Sans" w:hAnsi="Open Sans" w:cs="Open Sans"/>
          <w:color w:val="303AB2"/>
        </w:rPr>
        <w:t xml:space="preserve"> en </w:t>
      </w:r>
      <w:r w:rsidR="00931E1A" w:rsidRPr="00931E1A">
        <w:rPr>
          <w:rFonts w:ascii="Open Sans" w:hAnsi="Open Sans" w:cs="Open Sans"/>
          <w:color w:val="303AB2"/>
        </w:rPr>
        <w:t>Canarias</w:t>
      </w:r>
      <w:r w:rsidR="00931E1A">
        <w:rPr>
          <w:rFonts w:ascii="Open Sans" w:hAnsi="Open Sans" w:cs="Open Sans"/>
          <w:color w:val="303AB2"/>
        </w:rPr>
        <w:t xml:space="preserve"> </w:t>
      </w:r>
      <w:r w:rsidR="009B2E5C">
        <w:rPr>
          <w:rFonts w:ascii="Open Sans" w:hAnsi="Open Sans" w:cs="Open Sans"/>
          <w:color w:val="303AB2"/>
        </w:rPr>
        <w:t>sube</w:t>
      </w:r>
      <w:r w:rsidR="003E20A1">
        <w:rPr>
          <w:rFonts w:ascii="Open Sans" w:hAnsi="Open Sans" w:cs="Open Sans"/>
          <w:color w:val="303AB2"/>
        </w:rPr>
        <w:t xml:space="preserve"> un </w:t>
      </w:r>
      <w:r w:rsidR="00931E1A">
        <w:rPr>
          <w:rFonts w:ascii="Open Sans" w:hAnsi="Open Sans" w:cs="Open Sans"/>
          <w:color w:val="303AB2"/>
        </w:rPr>
        <w:t>6,9</w:t>
      </w:r>
      <w:r w:rsidR="003E20A1">
        <w:rPr>
          <w:rFonts w:ascii="Open Sans" w:hAnsi="Open Sans" w:cs="Open Sans"/>
          <w:color w:val="303AB2"/>
        </w:rPr>
        <w:t xml:space="preserve">% y </w:t>
      </w:r>
      <w:r w:rsidR="00BA69E1">
        <w:rPr>
          <w:rFonts w:ascii="Open Sans" w:hAnsi="Open Sans" w:cs="Open Sans"/>
          <w:color w:val="303AB2"/>
        </w:rPr>
        <w:t xml:space="preserve">el trimestral en un 21,7% </w:t>
      </w:r>
      <w:r w:rsidR="003E20A1">
        <w:rPr>
          <w:rFonts w:ascii="Open Sans" w:hAnsi="Open Sans" w:cs="Open Sans"/>
          <w:color w:val="303AB2"/>
        </w:rPr>
        <w:t xml:space="preserve">sitúa </w:t>
      </w:r>
      <w:r w:rsidR="00A3723E">
        <w:rPr>
          <w:rFonts w:ascii="Open Sans" w:hAnsi="Open Sans" w:cs="Open Sans"/>
          <w:color w:val="303AB2"/>
        </w:rPr>
        <w:t>su</w:t>
      </w:r>
      <w:r w:rsidR="003E20A1">
        <w:rPr>
          <w:rFonts w:ascii="Open Sans" w:hAnsi="Open Sans" w:cs="Open Sans"/>
          <w:color w:val="303AB2"/>
        </w:rPr>
        <w:t xml:space="preserve"> precio mensual en </w:t>
      </w:r>
      <w:r w:rsidR="00183A56">
        <w:rPr>
          <w:rFonts w:ascii="Open Sans" w:hAnsi="Open Sans" w:cs="Open Sans"/>
          <w:color w:val="303AB2"/>
        </w:rPr>
        <w:t>2.</w:t>
      </w:r>
      <w:r w:rsidR="00931E1A">
        <w:rPr>
          <w:rFonts w:ascii="Open Sans" w:hAnsi="Open Sans" w:cs="Open Sans"/>
          <w:color w:val="303AB2"/>
        </w:rPr>
        <w:t>190</w:t>
      </w:r>
      <w:r w:rsidR="004C0CE4">
        <w:rPr>
          <w:rFonts w:ascii="Open Sans" w:hAnsi="Open Sans" w:cs="Open Sans"/>
          <w:color w:val="303AB2"/>
        </w:rPr>
        <w:t xml:space="preserve"> </w:t>
      </w:r>
      <w:r w:rsidR="003E20A1" w:rsidRPr="003E20A1">
        <w:rPr>
          <w:rFonts w:ascii="Open Sans" w:hAnsi="Open Sans" w:cs="Open Sans"/>
          <w:color w:val="303AB2"/>
        </w:rPr>
        <w:t>euros/m</w:t>
      </w:r>
      <w:r w:rsidR="003E20A1" w:rsidRPr="003E20A1">
        <w:rPr>
          <w:rFonts w:ascii="Open Sans" w:hAnsi="Open Sans" w:cs="Open Sans"/>
          <w:color w:val="303AB2"/>
          <w:vertAlign w:val="superscript"/>
        </w:rPr>
        <w:t>2</w:t>
      </w:r>
    </w:p>
    <w:p w14:paraId="1BE66477" w14:textId="4583F138" w:rsidR="00C15353" w:rsidRDefault="00385156" w:rsidP="00DC4348">
      <w:pPr>
        <w:pStyle w:val="Prrafodelista"/>
        <w:numPr>
          <w:ilvl w:val="0"/>
          <w:numId w:val="6"/>
        </w:numPr>
        <w:spacing w:line="276" w:lineRule="auto"/>
        <w:ind w:right="-433"/>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La vivienda</w:t>
      </w:r>
      <w:r w:rsidR="00AC630E" w:rsidRPr="00210071">
        <w:rPr>
          <w:rFonts w:ascii="Open Sans" w:eastAsia="Times New Roman" w:hAnsi="Open Sans" w:cs="Open Sans"/>
          <w:color w:val="303AB2"/>
          <w:lang w:val="es-ES" w:eastAsia="es-ES_tradnl"/>
        </w:rPr>
        <w:t xml:space="preserve"> de segunda mano </w:t>
      </w:r>
      <w:r w:rsidR="009624C3">
        <w:rPr>
          <w:rFonts w:ascii="Open Sans" w:eastAsia="Times New Roman" w:hAnsi="Open Sans" w:cs="Open Sans"/>
          <w:color w:val="303AB2"/>
          <w:lang w:val="es-ES" w:eastAsia="es-ES_tradnl"/>
        </w:rPr>
        <w:t xml:space="preserve">en </w:t>
      </w:r>
      <w:r w:rsidR="00CF1608">
        <w:rPr>
          <w:rFonts w:ascii="Open Sans" w:eastAsia="Times New Roman" w:hAnsi="Open Sans" w:cs="Open Sans"/>
          <w:color w:val="303AB2"/>
          <w:lang w:val="es-ES" w:eastAsia="es-ES_tradnl"/>
        </w:rPr>
        <w:t xml:space="preserve">el </w:t>
      </w:r>
      <w:r w:rsidR="00A3723E">
        <w:rPr>
          <w:rFonts w:ascii="Open Sans" w:eastAsia="Times New Roman" w:hAnsi="Open Sans" w:cs="Open Sans"/>
          <w:color w:val="303AB2"/>
          <w:lang w:val="es-ES" w:eastAsia="es-ES_tradnl"/>
        </w:rPr>
        <w:t>segundo</w:t>
      </w:r>
      <w:r w:rsidR="00CF1608">
        <w:rPr>
          <w:rFonts w:ascii="Open Sans" w:eastAsia="Times New Roman" w:hAnsi="Open Sans" w:cs="Open Sans"/>
          <w:color w:val="303AB2"/>
          <w:lang w:val="es-ES" w:eastAsia="es-ES_tradnl"/>
        </w:rPr>
        <w:t xml:space="preserve"> trimestre </w:t>
      </w:r>
      <w:r w:rsidR="005A4900">
        <w:rPr>
          <w:rFonts w:ascii="Open Sans" w:eastAsia="Times New Roman" w:hAnsi="Open Sans" w:cs="Open Sans"/>
          <w:color w:val="303AB2"/>
          <w:lang w:val="es-ES" w:eastAsia="es-ES_tradnl"/>
        </w:rPr>
        <w:t>sube</w:t>
      </w:r>
      <w:r w:rsidR="008126EC">
        <w:rPr>
          <w:rFonts w:ascii="Open Sans" w:eastAsia="Times New Roman" w:hAnsi="Open Sans" w:cs="Open Sans"/>
          <w:color w:val="303AB2"/>
          <w:lang w:val="es-ES" w:eastAsia="es-ES_tradnl"/>
        </w:rPr>
        <w:t xml:space="preserve"> </w:t>
      </w:r>
      <w:r w:rsidR="00921DDC">
        <w:rPr>
          <w:rFonts w:ascii="Open Sans" w:eastAsia="Times New Roman" w:hAnsi="Open Sans" w:cs="Open Sans"/>
          <w:color w:val="303AB2"/>
          <w:lang w:val="es-ES" w:eastAsia="es-ES_tradnl"/>
        </w:rPr>
        <w:t>en</w:t>
      </w:r>
      <w:r w:rsidR="002E7933">
        <w:rPr>
          <w:rFonts w:ascii="Open Sans" w:eastAsia="Times New Roman" w:hAnsi="Open Sans" w:cs="Open Sans"/>
          <w:color w:val="303AB2"/>
          <w:lang w:val="es-ES" w:eastAsia="es-ES_tradnl"/>
        </w:rPr>
        <w:t xml:space="preserve"> las</w:t>
      </w:r>
      <w:r w:rsidR="00921DDC">
        <w:rPr>
          <w:rFonts w:ascii="Open Sans" w:eastAsia="Times New Roman" w:hAnsi="Open Sans" w:cs="Open Sans"/>
          <w:color w:val="303AB2"/>
          <w:lang w:val="es-ES" w:eastAsia="es-ES_tradnl"/>
        </w:rPr>
        <w:t xml:space="preserve"> </w:t>
      </w:r>
      <w:r w:rsidR="00611A77">
        <w:rPr>
          <w:rFonts w:ascii="Open Sans" w:eastAsia="Times New Roman" w:hAnsi="Open Sans" w:cs="Open Sans"/>
          <w:color w:val="303AB2"/>
          <w:lang w:val="es-ES" w:eastAsia="es-ES_tradnl"/>
        </w:rPr>
        <w:t>dos</w:t>
      </w:r>
      <w:r w:rsidR="006E44D2">
        <w:rPr>
          <w:rFonts w:ascii="Open Sans" w:eastAsia="Times New Roman" w:hAnsi="Open Sans" w:cs="Open Sans"/>
          <w:color w:val="303AB2"/>
          <w:lang w:val="es-ES" w:eastAsia="es-ES_tradnl"/>
        </w:rPr>
        <w:t xml:space="preserve"> provincias</w:t>
      </w:r>
      <w:r w:rsidR="00AC630E" w:rsidRPr="00210071">
        <w:rPr>
          <w:rFonts w:ascii="Open Sans" w:eastAsia="Times New Roman" w:hAnsi="Open Sans" w:cs="Open Sans"/>
          <w:color w:val="303AB2"/>
          <w:lang w:val="es-ES" w:eastAsia="es-ES_tradnl"/>
        </w:rPr>
        <w:t xml:space="preserve"> y en </w:t>
      </w:r>
      <w:r w:rsidR="00DA5868">
        <w:rPr>
          <w:rFonts w:ascii="Open Sans" w:eastAsia="Times New Roman" w:hAnsi="Open Sans" w:cs="Open Sans"/>
          <w:color w:val="303AB2"/>
          <w:lang w:val="es-ES" w:eastAsia="es-ES_tradnl"/>
        </w:rPr>
        <w:t xml:space="preserve">el </w:t>
      </w:r>
      <w:r w:rsidR="002E7933">
        <w:rPr>
          <w:rFonts w:ascii="Open Sans" w:eastAsia="Times New Roman" w:hAnsi="Open Sans" w:cs="Open Sans"/>
          <w:color w:val="303AB2"/>
          <w:lang w:val="es-ES" w:eastAsia="es-ES_tradnl"/>
        </w:rPr>
        <w:t>90</w:t>
      </w:r>
      <w:r w:rsidR="00DA5868">
        <w:rPr>
          <w:rFonts w:ascii="Open Sans" w:eastAsia="Times New Roman" w:hAnsi="Open Sans" w:cs="Open Sans"/>
          <w:color w:val="303AB2"/>
          <w:lang w:val="es-ES" w:eastAsia="es-ES_tradnl"/>
        </w:rPr>
        <w:t xml:space="preserve">% de </w:t>
      </w:r>
      <w:r w:rsidR="005A4900">
        <w:rPr>
          <w:rFonts w:ascii="Open Sans" w:eastAsia="Times New Roman" w:hAnsi="Open Sans" w:cs="Open Sans"/>
          <w:color w:val="303AB2"/>
          <w:lang w:val="es-ES" w:eastAsia="es-ES_tradnl"/>
        </w:rPr>
        <w:t>los</w:t>
      </w:r>
      <w:r w:rsidR="00AC630E" w:rsidRPr="00210071">
        <w:rPr>
          <w:rFonts w:ascii="Open Sans" w:eastAsia="Times New Roman" w:hAnsi="Open Sans" w:cs="Open Sans"/>
          <w:color w:val="303AB2"/>
          <w:lang w:val="es-ES" w:eastAsia="es-ES_tradnl"/>
        </w:rPr>
        <w:t xml:space="preserve"> municipios </w:t>
      </w:r>
    </w:p>
    <w:p w14:paraId="109ECD7D" w14:textId="0EA4B757" w:rsidR="00BA69E1" w:rsidRPr="00BA69E1" w:rsidRDefault="00BA69E1" w:rsidP="00DC4348">
      <w:pPr>
        <w:pStyle w:val="Prrafodelista"/>
        <w:numPr>
          <w:ilvl w:val="0"/>
          <w:numId w:val="6"/>
        </w:numPr>
        <w:spacing w:line="276" w:lineRule="auto"/>
        <w:ind w:right="-433"/>
        <w:jc w:val="both"/>
        <w:rPr>
          <w:rFonts w:ascii="Open Sans" w:eastAsia="Times New Roman" w:hAnsi="Open Sans" w:cs="Open Sans"/>
          <w:b/>
          <w:bCs/>
          <w:color w:val="303AB2"/>
          <w:lang w:val="es-ES" w:eastAsia="es-ES_tradnl"/>
        </w:rPr>
      </w:pPr>
      <w:hyperlink r:id="rId9" w:history="1">
        <w:r w:rsidRPr="00BA69E1">
          <w:rPr>
            <w:rStyle w:val="Hipervnculo"/>
            <w:rFonts w:ascii="Open Sans" w:eastAsia="Times New Roman" w:hAnsi="Open Sans" w:cs="Open Sans"/>
            <w:b/>
            <w:bCs/>
            <w:lang w:val="es-ES" w:eastAsia="es-ES_tradnl"/>
          </w:rPr>
          <w:t>La directora de Estudios de Fotocasa valora los datos de Canarias en este vídeo</w:t>
        </w:r>
      </w:hyperlink>
    </w:p>
    <w:p w14:paraId="1D8433AA" w14:textId="77777777" w:rsidR="00CE4FBD" w:rsidRDefault="00CE4FBD" w:rsidP="00DC4348">
      <w:pPr>
        <w:spacing w:line="276" w:lineRule="auto"/>
        <w:ind w:left="360" w:right="-433"/>
        <w:jc w:val="both"/>
        <w:rPr>
          <w:rFonts w:ascii="Open Sans" w:eastAsia="Times New Roman" w:hAnsi="Open Sans" w:cs="Open Sans"/>
          <w:color w:val="303AB2"/>
          <w:lang w:val="es-ES" w:eastAsia="es-ES_tradnl"/>
        </w:rPr>
      </w:pPr>
    </w:p>
    <w:p w14:paraId="24BEE430" w14:textId="1F69AAA8" w:rsidR="00C05223" w:rsidRDefault="00C15353" w:rsidP="00BA69E1">
      <w:pPr>
        <w:spacing w:line="276" w:lineRule="auto"/>
        <w:ind w:right="-433"/>
        <w:jc w:val="both"/>
        <w:rPr>
          <w:rFonts w:ascii="Open Sans" w:eastAsia="Times New Roman" w:hAnsi="Open Sans" w:cs="Open Sans"/>
          <w:color w:val="303AB2"/>
          <w:lang w:val="es-ES" w:eastAsia="es-ES_tradnl"/>
        </w:rPr>
      </w:pPr>
      <w:r w:rsidRPr="00CE4FBD">
        <w:rPr>
          <w:rFonts w:ascii="Open Sans" w:eastAsia="Times New Roman" w:hAnsi="Open Sans" w:cs="Open Sans"/>
          <w:color w:val="303AB2"/>
          <w:lang w:val="es-ES" w:eastAsia="es-ES_tradnl"/>
        </w:rPr>
        <w:t>Madrid,</w:t>
      </w:r>
      <w:r w:rsidR="00610924" w:rsidRPr="00CE4FBD">
        <w:rPr>
          <w:rFonts w:ascii="Open Sans" w:eastAsia="Times New Roman" w:hAnsi="Open Sans" w:cs="Open Sans"/>
          <w:color w:val="303AB2"/>
          <w:lang w:val="es-ES" w:eastAsia="es-ES_tradnl"/>
        </w:rPr>
        <w:t xml:space="preserve"> </w:t>
      </w:r>
      <w:r w:rsidR="00843C6D">
        <w:rPr>
          <w:rFonts w:ascii="Open Sans" w:eastAsia="Times New Roman" w:hAnsi="Open Sans" w:cs="Open Sans"/>
          <w:color w:val="303AB2"/>
          <w:lang w:val="es-ES" w:eastAsia="es-ES_tradnl"/>
        </w:rPr>
        <w:t>5</w:t>
      </w:r>
      <w:r w:rsidRPr="00CE4FBD">
        <w:rPr>
          <w:rFonts w:ascii="Open Sans" w:eastAsia="Times New Roman" w:hAnsi="Open Sans" w:cs="Open Sans"/>
          <w:color w:val="303AB2"/>
          <w:lang w:val="es-ES" w:eastAsia="es-ES_tradnl"/>
        </w:rPr>
        <w:t xml:space="preserve"> de </w:t>
      </w:r>
      <w:r w:rsidR="000518FE">
        <w:rPr>
          <w:rFonts w:ascii="Open Sans" w:eastAsia="Times New Roman" w:hAnsi="Open Sans" w:cs="Open Sans"/>
          <w:color w:val="303AB2"/>
          <w:lang w:val="es-ES" w:eastAsia="es-ES_tradnl"/>
        </w:rPr>
        <w:t>julio</w:t>
      </w:r>
      <w:r w:rsidRPr="00CE4FBD">
        <w:rPr>
          <w:rFonts w:ascii="Open Sans" w:eastAsia="Times New Roman" w:hAnsi="Open Sans" w:cs="Open Sans"/>
          <w:color w:val="303AB2"/>
          <w:lang w:val="es-ES" w:eastAsia="es-ES_tradnl"/>
        </w:rPr>
        <w:t xml:space="preserve"> de 20</w:t>
      </w:r>
      <w:r w:rsidR="009A2653" w:rsidRPr="00CE4FBD">
        <w:rPr>
          <w:rFonts w:ascii="Open Sans" w:eastAsia="Times New Roman" w:hAnsi="Open Sans" w:cs="Open Sans"/>
          <w:color w:val="303AB2"/>
          <w:lang w:val="es-ES" w:eastAsia="es-ES_tradnl"/>
        </w:rPr>
        <w:t>2</w:t>
      </w:r>
      <w:r w:rsidR="00F773FA">
        <w:rPr>
          <w:rFonts w:ascii="Open Sans" w:eastAsia="Times New Roman" w:hAnsi="Open Sans" w:cs="Open Sans"/>
          <w:color w:val="303AB2"/>
          <w:lang w:val="es-ES" w:eastAsia="es-ES_tradnl"/>
        </w:rPr>
        <w:t>3</w:t>
      </w:r>
    </w:p>
    <w:p w14:paraId="2E6BA9F1" w14:textId="77777777" w:rsidR="00875D48" w:rsidRDefault="00875D48" w:rsidP="00BA69E1">
      <w:pPr>
        <w:spacing w:line="276" w:lineRule="auto"/>
        <w:ind w:right="-433"/>
        <w:jc w:val="both"/>
        <w:rPr>
          <w:rFonts w:ascii="Open Sans Light" w:hAnsi="Open Sans Light" w:cs="Open Sans Light"/>
          <w:bCs/>
          <w:iCs/>
          <w:color w:val="303AB2"/>
          <w:szCs w:val="20"/>
          <w:lang w:val="es-ES"/>
        </w:rPr>
      </w:pPr>
    </w:p>
    <w:p w14:paraId="617FE5C4" w14:textId="007AD159" w:rsidR="00BA69E1" w:rsidRPr="00BA69E1" w:rsidRDefault="00C15353" w:rsidP="00DC4348">
      <w:pPr>
        <w:spacing w:line="276" w:lineRule="auto"/>
        <w:ind w:right="-433"/>
        <w:jc w:val="both"/>
        <w:rPr>
          <w:rFonts w:ascii="Open Sans" w:hAnsi="Open Sans" w:cs="Open Sans"/>
          <w:color w:val="0000FF"/>
        </w:rPr>
      </w:pPr>
      <w:r w:rsidRPr="00753088">
        <w:rPr>
          <w:rFonts w:ascii="Open Sans" w:hAnsi="Open Sans" w:cs="Open Sans"/>
          <w:color w:val="000000"/>
        </w:rPr>
        <w:t>En</w:t>
      </w:r>
      <w:r w:rsidR="00E45120">
        <w:rPr>
          <w:rFonts w:ascii="Open Sans" w:hAnsi="Open Sans" w:cs="Open Sans"/>
          <w:color w:val="000000"/>
        </w:rPr>
        <w:t xml:space="preserve"> </w:t>
      </w:r>
      <w:r w:rsidR="004C3A61">
        <w:rPr>
          <w:rFonts w:ascii="Open Sans" w:hAnsi="Open Sans" w:cs="Open Sans"/>
          <w:color w:val="000000"/>
        </w:rPr>
        <w:t xml:space="preserve">los primeros </w:t>
      </w:r>
      <w:r w:rsidR="00A3723E">
        <w:rPr>
          <w:rFonts w:ascii="Open Sans" w:hAnsi="Open Sans" w:cs="Open Sans"/>
          <w:color w:val="000000"/>
        </w:rPr>
        <w:t>seis</w:t>
      </w:r>
      <w:r w:rsidR="004C3A61">
        <w:rPr>
          <w:rFonts w:ascii="Open Sans" w:hAnsi="Open Sans" w:cs="Open Sans"/>
          <w:color w:val="000000"/>
        </w:rPr>
        <w:t xml:space="preserve"> meses de</w:t>
      </w:r>
      <w:r w:rsidRPr="00753088">
        <w:rPr>
          <w:rFonts w:ascii="Open Sans" w:hAnsi="Open Sans" w:cs="Open Sans"/>
          <w:color w:val="000000"/>
        </w:rPr>
        <w:t xml:space="preserve"> </w:t>
      </w:r>
      <w:r w:rsidR="00E45120">
        <w:rPr>
          <w:rFonts w:ascii="Open Sans" w:hAnsi="Open Sans" w:cs="Open Sans"/>
          <w:color w:val="000000"/>
        </w:rPr>
        <w:t>202</w:t>
      </w:r>
      <w:r w:rsidR="00F773FA">
        <w:rPr>
          <w:rFonts w:ascii="Open Sans" w:hAnsi="Open Sans" w:cs="Open Sans"/>
          <w:color w:val="000000"/>
        </w:rPr>
        <w:t>3</w:t>
      </w:r>
      <w:r w:rsidR="00E45120">
        <w:rPr>
          <w:rFonts w:ascii="Open Sans" w:hAnsi="Open Sans" w:cs="Open Sans"/>
          <w:color w:val="000000"/>
        </w:rPr>
        <w:t xml:space="preserve">, </w:t>
      </w:r>
      <w:r w:rsidR="00931E1A" w:rsidRPr="00931E1A">
        <w:rPr>
          <w:rFonts w:ascii="Open Sans" w:hAnsi="Open Sans" w:cs="Open Sans"/>
          <w:color w:val="000000"/>
        </w:rPr>
        <w:t>Canarias</w:t>
      </w:r>
      <w:r w:rsidR="00931E1A">
        <w:rPr>
          <w:rFonts w:ascii="Open Sans" w:hAnsi="Open Sans" w:cs="Open Sans"/>
          <w:color w:val="000000"/>
        </w:rPr>
        <w:t xml:space="preserve"> </w:t>
      </w:r>
      <w:r w:rsidR="00AC7DAB">
        <w:rPr>
          <w:rFonts w:ascii="Open Sans" w:hAnsi="Open Sans" w:cs="Open Sans"/>
          <w:color w:val="000000"/>
        </w:rPr>
        <w:t xml:space="preserve">ha experimentado </w:t>
      </w:r>
      <w:r w:rsidR="00A3723E">
        <w:rPr>
          <w:rFonts w:ascii="Open Sans" w:hAnsi="Open Sans" w:cs="Open Sans"/>
          <w:color w:val="000000"/>
        </w:rPr>
        <w:t xml:space="preserve">grandes </w:t>
      </w:r>
      <w:r w:rsidR="008E471D">
        <w:rPr>
          <w:rFonts w:ascii="Open Sans" w:hAnsi="Open Sans" w:cs="Open Sans"/>
          <w:color w:val="000000"/>
        </w:rPr>
        <w:t>incrementos</w:t>
      </w:r>
      <w:r w:rsidR="00AC7DAB">
        <w:rPr>
          <w:rFonts w:ascii="Open Sans" w:hAnsi="Open Sans" w:cs="Open Sans"/>
          <w:color w:val="000000"/>
        </w:rPr>
        <w:t xml:space="preserve"> </w:t>
      </w:r>
      <w:r w:rsidR="00A3723E">
        <w:rPr>
          <w:rFonts w:ascii="Open Sans" w:hAnsi="Open Sans" w:cs="Open Sans"/>
          <w:color w:val="000000"/>
        </w:rPr>
        <w:t xml:space="preserve">interanuales </w:t>
      </w:r>
      <w:r w:rsidR="00AC7DAB">
        <w:rPr>
          <w:rFonts w:ascii="Open Sans" w:hAnsi="Open Sans" w:cs="Open Sans"/>
          <w:color w:val="000000"/>
        </w:rPr>
        <w:t xml:space="preserve">en </w:t>
      </w:r>
      <w:r w:rsidRPr="00753088">
        <w:rPr>
          <w:rFonts w:ascii="Open Sans" w:hAnsi="Open Sans" w:cs="Open Sans"/>
          <w:color w:val="000000"/>
        </w:rPr>
        <w:t>el precio de la vivienda de segunda mano</w:t>
      </w:r>
      <w:r w:rsidR="00AC7DAB">
        <w:rPr>
          <w:rFonts w:ascii="Open Sans" w:hAnsi="Open Sans" w:cs="Open Sans"/>
          <w:color w:val="000000"/>
        </w:rPr>
        <w:t xml:space="preserve">, </w:t>
      </w:r>
      <w:r w:rsidR="004C3A61">
        <w:rPr>
          <w:rFonts w:ascii="Open Sans" w:hAnsi="Open Sans" w:cs="Open Sans"/>
          <w:color w:val="000000"/>
        </w:rPr>
        <w:t>pero</w:t>
      </w:r>
      <w:r w:rsidR="0052236B">
        <w:rPr>
          <w:rFonts w:ascii="Open Sans" w:hAnsi="Open Sans" w:cs="Open Sans"/>
          <w:color w:val="000000"/>
        </w:rPr>
        <w:t xml:space="preserve"> en</w:t>
      </w:r>
      <w:r w:rsidR="00AC7DAB">
        <w:rPr>
          <w:rFonts w:ascii="Open Sans" w:hAnsi="Open Sans" w:cs="Open Sans"/>
          <w:color w:val="000000"/>
        </w:rPr>
        <w:t xml:space="preserve"> concreto</w:t>
      </w:r>
      <w:r w:rsidR="003E20A1">
        <w:rPr>
          <w:rFonts w:ascii="Open Sans" w:hAnsi="Open Sans" w:cs="Open Sans"/>
          <w:color w:val="000000"/>
        </w:rPr>
        <w:t xml:space="preserve">, cierra el </w:t>
      </w:r>
      <w:r w:rsidR="00A3723E">
        <w:rPr>
          <w:rFonts w:ascii="Open Sans" w:hAnsi="Open Sans" w:cs="Open Sans"/>
          <w:color w:val="000000"/>
        </w:rPr>
        <w:t>segundo</w:t>
      </w:r>
      <w:r w:rsidR="003E20A1">
        <w:rPr>
          <w:rFonts w:ascii="Open Sans" w:hAnsi="Open Sans" w:cs="Open Sans"/>
          <w:color w:val="000000"/>
        </w:rPr>
        <w:t xml:space="preserve"> trimestre del año con un incremento </w:t>
      </w:r>
      <w:r w:rsidR="00A3723E">
        <w:rPr>
          <w:rFonts w:ascii="Open Sans" w:hAnsi="Open Sans" w:cs="Open Sans"/>
          <w:color w:val="000000"/>
        </w:rPr>
        <w:t xml:space="preserve">interanual </w:t>
      </w:r>
      <w:r w:rsidR="003E20A1">
        <w:rPr>
          <w:rFonts w:ascii="Open Sans" w:hAnsi="Open Sans" w:cs="Open Sans"/>
          <w:color w:val="000000"/>
        </w:rPr>
        <w:t xml:space="preserve">del </w:t>
      </w:r>
      <w:r w:rsidR="00931E1A">
        <w:rPr>
          <w:rFonts w:ascii="Open Sans" w:hAnsi="Open Sans" w:cs="Open Sans"/>
          <w:color w:val="000000"/>
        </w:rPr>
        <w:t>21,7</w:t>
      </w:r>
      <w:r w:rsidR="003E20A1">
        <w:rPr>
          <w:rFonts w:ascii="Open Sans" w:hAnsi="Open Sans" w:cs="Open Sans"/>
          <w:color w:val="000000"/>
        </w:rPr>
        <w:t xml:space="preserve">% y </w:t>
      </w:r>
      <w:r w:rsidR="0052236B">
        <w:rPr>
          <w:rFonts w:ascii="Open Sans" w:hAnsi="Open Sans" w:cs="Open Sans"/>
          <w:color w:val="000000"/>
        </w:rPr>
        <w:t>uno</w:t>
      </w:r>
      <w:r w:rsidR="003E20A1">
        <w:rPr>
          <w:rFonts w:ascii="Open Sans" w:hAnsi="Open Sans" w:cs="Open Sans"/>
          <w:color w:val="000000"/>
        </w:rPr>
        <w:t xml:space="preserve"> </w:t>
      </w:r>
      <w:r w:rsidR="00A3723E">
        <w:rPr>
          <w:rFonts w:ascii="Open Sans" w:hAnsi="Open Sans" w:cs="Open Sans"/>
          <w:color w:val="000000"/>
        </w:rPr>
        <w:t>trimestral</w:t>
      </w:r>
      <w:r w:rsidR="003E20A1">
        <w:rPr>
          <w:rFonts w:ascii="Open Sans" w:hAnsi="Open Sans" w:cs="Open Sans"/>
          <w:color w:val="000000"/>
        </w:rPr>
        <w:t xml:space="preserve"> del </w:t>
      </w:r>
      <w:r w:rsidR="00931E1A">
        <w:rPr>
          <w:rFonts w:ascii="Open Sans" w:hAnsi="Open Sans" w:cs="Open Sans"/>
          <w:color w:val="000000"/>
        </w:rPr>
        <w:t>6,9</w:t>
      </w:r>
      <w:r w:rsidR="003E20A1">
        <w:rPr>
          <w:rFonts w:ascii="Open Sans" w:hAnsi="Open Sans" w:cs="Open Sans"/>
          <w:color w:val="000000"/>
        </w:rPr>
        <w:t xml:space="preserve">%, </w:t>
      </w:r>
      <w:r w:rsidR="003E20A1" w:rsidRPr="00753088">
        <w:rPr>
          <w:rFonts w:ascii="Open Sans" w:hAnsi="Open Sans" w:cs="Open Sans"/>
          <w:color w:val="000000"/>
        </w:rPr>
        <w:t>según los</w:t>
      </w:r>
      <w:r w:rsidR="003E20A1">
        <w:rPr>
          <w:rFonts w:ascii="Open Sans" w:hAnsi="Open Sans" w:cs="Open Sans"/>
          <w:color w:val="000000"/>
        </w:rPr>
        <w:t xml:space="preserve"> datos del Índice Inmobiliario </w:t>
      </w:r>
      <w:hyperlink r:id="rId10" w:history="1">
        <w:r w:rsidR="003E20A1" w:rsidRPr="007D2C22">
          <w:rPr>
            <w:rStyle w:val="Hipervnculo"/>
            <w:rFonts w:ascii="Open Sans" w:hAnsi="Open Sans" w:cs="Open Sans"/>
          </w:rPr>
          <w:t>Fotocasa</w:t>
        </w:r>
      </w:hyperlink>
      <w:r w:rsidR="00BA69E1">
        <w:rPr>
          <w:rFonts w:ascii="Open Sans" w:hAnsi="Open Sans" w:cs="Open Sans"/>
          <w:color w:val="000000"/>
        </w:rPr>
        <w:t xml:space="preserve">. De hecho, en junio el precio medio de la vivienda en venta en Canarias alcanza los 2.190 euros por metro cuadrado y supera el precio máximo alcanzado en mayo de 2007 cuando el precio fue de 2.155 euros por metro cuadrado. Así, el precio de junio es un 1,6% superior al alcanzado en los años de la burbuja. </w:t>
      </w:r>
    </w:p>
    <w:p w14:paraId="390CE81C" w14:textId="77777777" w:rsidR="00BA69E1" w:rsidRDefault="00BA69E1" w:rsidP="00DC4348">
      <w:pPr>
        <w:spacing w:line="276" w:lineRule="auto"/>
        <w:ind w:right="-433"/>
        <w:jc w:val="both"/>
        <w:rPr>
          <w:rFonts w:ascii="Open Sans" w:hAnsi="Open Sans" w:cs="Open Sans"/>
          <w:color w:val="000000"/>
        </w:rPr>
      </w:pPr>
    </w:p>
    <w:p w14:paraId="5F013055" w14:textId="053915C1" w:rsidR="00BA69E1" w:rsidRDefault="00BA69E1" w:rsidP="00DC4348">
      <w:pPr>
        <w:spacing w:line="276" w:lineRule="auto"/>
        <w:ind w:right="-433"/>
        <w:jc w:val="both"/>
        <w:rPr>
          <w:rFonts w:ascii="Open Sans" w:hAnsi="Open Sans" w:cs="Open Sans"/>
          <w:color w:val="000000"/>
        </w:rPr>
      </w:pPr>
      <w:r w:rsidRPr="00BA69E1">
        <w:rPr>
          <w:rFonts w:ascii="Open Sans" w:hAnsi="Open Sans" w:cs="Open Sans"/>
          <w:color w:val="000000"/>
        </w:rPr>
        <w:t xml:space="preserve">“La vivienda en Canarias ya supera el precio de la burbuja inmobiliaria de 2007. Canarias se convierte en la segunda comunidad autónoma, tras Baleares, en alcanzar su precio máximo histórico en el mercado de la vivienda de segunda mano. Estos incrementos tan significativos, coinciden con el cambio de política monetaria de la subida de tipos de interés por parte del BCE. La demanda de compra ha resurgido y la sociedad vive un momento de `comprar ahora o nunca’ antes de que se endurezcan todavía más las hipotecas. Una situación que complica el acceso a la vivienda, ya que el archipiélago prácticamente no cuenta </w:t>
      </w:r>
      <w:r w:rsidRPr="00BA69E1">
        <w:rPr>
          <w:rFonts w:ascii="Open Sans" w:hAnsi="Open Sans" w:cs="Open Sans"/>
          <w:color w:val="000000"/>
        </w:rPr>
        <w:lastRenderedPageBreak/>
        <w:t>con stock de vivienda social pública, lo que agrava todavía más las dificultades en las islas. En Canarias, ambos mercados, tanto venta como alquiler, muestran subidas muy significativas, por encima de los dos dígitos y en torno al 20%. En menos de seis meses ambos mercados, han presentado máximos al mismo tiempo, una situación que complica el acceso a la vivienda”</w:t>
      </w:r>
      <w:r>
        <w:rPr>
          <w:rFonts w:ascii="Open Sans" w:hAnsi="Open Sans" w:cs="Open Sans"/>
          <w:color w:val="000000"/>
        </w:rPr>
        <w:t xml:space="preserve">, explica María Matos, directora de Estudios de </w:t>
      </w:r>
      <w:hyperlink r:id="rId11" w:history="1">
        <w:r w:rsidRPr="00BA69E1">
          <w:rPr>
            <w:rStyle w:val="Hipervnculo"/>
            <w:rFonts w:ascii="Open Sans" w:hAnsi="Open Sans" w:cs="Open Sans"/>
          </w:rPr>
          <w:t>Fotocasa</w:t>
        </w:r>
      </w:hyperlink>
      <w:r>
        <w:rPr>
          <w:rFonts w:ascii="Open Sans" w:hAnsi="Open Sans" w:cs="Open Sans"/>
          <w:color w:val="000000"/>
        </w:rPr>
        <w:t>.</w:t>
      </w:r>
    </w:p>
    <w:p w14:paraId="4EC5A11D" w14:textId="77777777" w:rsidR="00BA69E1" w:rsidRDefault="00BA69E1" w:rsidP="00DC4348">
      <w:pPr>
        <w:spacing w:line="276" w:lineRule="auto"/>
        <w:ind w:right="-433"/>
        <w:jc w:val="both"/>
        <w:rPr>
          <w:rFonts w:ascii="Open Sans" w:hAnsi="Open Sans" w:cs="Open Sans"/>
          <w:color w:val="000000"/>
        </w:rPr>
      </w:pPr>
    </w:p>
    <w:p w14:paraId="60F0C377" w14:textId="745183C7" w:rsidR="00BA69E1" w:rsidRDefault="00875D48" w:rsidP="00DC4348">
      <w:pPr>
        <w:spacing w:line="276" w:lineRule="auto"/>
        <w:ind w:right="-433"/>
        <w:jc w:val="both"/>
        <w:rPr>
          <w:rFonts w:ascii="Open Sans" w:hAnsi="Open Sans" w:cs="Open Sans"/>
          <w:color w:val="000000"/>
        </w:rPr>
      </w:pPr>
      <w:hyperlink r:id="rId12" w:history="1">
        <w:r w:rsidRPr="00875D48">
          <w:rPr>
            <w:rStyle w:val="Hipervnculo"/>
            <w:rFonts w:ascii="Open Sans" w:hAnsi="Open Sans" w:cs="Open Sans"/>
          </w:rPr>
          <w:t>Declaraciones de María Matos, directora de Estudios de Fotocasa sobre Canarias</w:t>
        </w:r>
      </w:hyperlink>
    </w:p>
    <w:p w14:paraId="145FF593" w14:textId="77777777" w:rsidR="00875D48" w:rsidRDefault="00875D48" w:rsidP="00DC4348">
      <w:pPr>
        <w:spacing w:line="276" w:lineRule="auto"/>
        <w:ind w:right="-433"/>
        <w:jc w:val="both"/>
        <w:rPr>
          <w:rFonts w:ascii="Open Sans" w:hAnsi="Open Sans" w:cs="Open Sans"/>
          <w:color w:val="000000"/>
        </w:rPr>
      </w:pPr>
    </w:p>
    <w:p w14:paraId="43245B71" w14:textId="2754B26A" w:rsidR="00875D48" w:rsidRDefault="00875D48" w:rsidP="00DC4348">
      <w:pPr>
        <w:spacing w:line="276" w:lineRule="auto"/>
        <w:ind w:right="-433"/>
        <w:jc w:val="both"/>
        <w:rPr>
          <w:rFonts w:ascii="Open Sans" w:hAnsi="Open Sans" w:cs="Open Sans"/>
          <w:color w:val="000000"/>
        </w:rPr>
      </w:pPr>
      <w:r>
        <w:rPr>
          <w:noProof/>
        </w:rPr>
        <w:drawing>
          <wp:inline distT="0" distB="0" distL="0" distR="0" wp14:anchorId="7A88CE7F" wp14:editId="38AF5377">
            <wp:extent cx="5677232" cy="2849973"/>
            <wp:effectExtent l="0" t="0" r="0" b="7620"/>
            <wp:docPr id="1866956907" name="Imagen 1" descr="Mujer con ropa deportiva&#10;&#10;Descripción generada automáticamente con confianza 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956907" name="Imagen 1" descr="Mujer con ropa deportiva&#10;&#10;Descripción generada automáticamente con confianza m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4280" cy="2853511"/>
                    </a:xfrm>
                    <a:prstGeom prst="rect">
                      <a:avLst/>
                    </a:prstGeom>
                    <a:noFill/>
                    <a:ln>
                      <a:noFill/>
                    </a:ln>
                  </pic:spPr>
                </pic:pic>
              </a:graphicData>
            </a:graphic>
          </wp:inline>
        </w:drawing>
      </w:r>
    </w:p>
    <w:p w14:paraId="53FDDC6A" w14:textId="77777777" w:rsidR="00875D48" w:rsidRDefault="00875D48" w:rsidP="00DC4348">
      <w:pPr>
        <w:spacing w:line="276" w:lineRule="auto"/>
        <w:ind w:right="-433"/>
        <w:jc w:val="both"/>
        <w:rPr>
          <w:rFonts w:ascii="Open Sans" w:hAnsi="Open Sans" w:cs="Open Sans"/>
          <w:color w:val="000000"/>
        </w:rPr>
      </w:pPr>
    </w:p>
    <w:p w14:paraId="73B79677" w14:textId="77777777" w:rsidR="00BD2216" w:rsidRDefault="00BD2216" w:rsidP="00DC4348">
      <w:pPr>
        <w:spacing w:line="276" w:lineRule="auto"/>
        <w:ind w:right="-433"/>
        <w:jc w:val="both"/>
        <w:rPr>
          <w:color w:val="000000"/>
        </w:rPr>
      </w:pPr>
    </w:p>
    <w:p w14:paraId="4CC83B4F" w14:textId="3DF3BB10" w:rsidR="00610924" w:rsidRDefault="00610924" w:rsidP="00DC4348">
      <w:pPr>
        <w:spacing w:line="276" w:lineRule="auto"/>
        <w:ind w:right="-433"/>
        <w:jc w:val="center"/>
        <w:rPr>
          <w:rFonts w:ascii="Open Sans" w:hAnsi="Open Sans" w:cs="Open Sans"/>
          <w:color w:val="000000"/>
        </w:rPr>
      </w:pPr>
      <w:r w:rsidRPr="00C0175D">
        <w:rPr>
          <w:rFonts w:ascii="Open Sans Light" w:hAnsi="Open Sans Light" w:cs="Open Sans Light"/>
          <w:b/>
          <w:iCs/>
          <w:color w:val="303AB2"/>
          <w:sz w:val="28"/>
          <w:szCs w:val="22"/>
        </w:rPr>
        <w:t>Variaci</w:t>
      </w:r>
      <w:r w:rsidR="008462C0">
        <w:rPr>
          <w:rFonts w:ascii="Open Sans Light" w:hAnsi="Open Sans Light" w:cs="Open Sans Light"/>
          <w:b/>
          <w:iCs/>
          <w:color w:val="303AB2"/>
          <w:sz w:val="28"/>
          <w:szCs w:val="22"/>
        </w:rPr>
        <w:t xml:space="preserve">ón </w:t>
      </w:r>
      <w:r w:rsidR="00A14848">
        <w:rPr>
          <w:rFonts w:ascii="Open Sans Light" w:hAnsi="Open Sans Light" w:cs="Open Sans Light"/>
          <w:b/>
          <w:iCs/>
          <w:color w:val="303AB2"/>
          <w:sz w:val="28"/>
          <w:szCs w:val="22"/>
        </w:rPr>
        <w:t xml:space="preserve">trimestral e </w:t>
      </w:r>
      <w:r w:rsidR="008462C0">
        <w:rPr>
          <w:rFonts w:ascii="Open Sans Light" w:hAnsi="Open Sans Light" w:cs="Open Sans Light"/>
          <w:b/>
          <w:iCs/>
          <w:color w:val="303AB2"/>
          <w:sz w:val="28"/>
          <w:szCs w:val="22"/>
        </w:rPr>
        <w:t xml:space="preserve">interanual </w:t>
      </w:r>
      <w:r>
        <w:rPr>
          <w:rFonts w:ascii="Open Sans Light" w:hAnsi="Open Sans Light" w:cs="Open Sans Light"/>
          <w:b/>
          <w:iCs/>
          <w:color w:val="303AB2"/>
          <w:sz w:val="28"/>
          <w:szCs w:val="22"/>
        </w:rPr>
        <w:t xml:space="preserve">en </w:t>
      </w:r>
      <w:r w:rsidR="008462C0">
        <w:rPr>
          <w:rFonts w:ascii="Open Sans Light" w:hAnsi="Open Sans Light" w:cs="Open Sans Light"/>
          <w:b/>
          <w:iCs/>
          <w:color w:val="303AB2"/>
          <w:sz w:val="28"/>
          <w:szCs w:val="22"/>
        </w:rPr>
        <w:t xml:space="preserve">el </w:t>
      </w:r>
      <w:r w:rsidR="00DF6954">
        <w:rPr>
          <w:rFonts w:ascii="Open Sans Light" w:hAnsi="Open Sans Light" w:cs="Open Sans Light"/>
          <w:b/>
          <w:iCs/>
          <w:color w:val="303AB2"/>
          <w:sz w:val="28"/>
          <w:szCs w:val="22"/>
        </w:rPr>
        <w:t>segundo trimestre</w:t>
      </w:r>
      <w:r w:rsidR="008462C0">
        <w:rPr>
          <w:rFonts w:ascii="Open Sans Light" w:hAnsi="Open Sans Light" w:cs="Open Sans Light"/>
          <w:b/>
          <w:iCs/>
          <w:color w:val="303AB2"/>
          <w:sz w:val="28"/>
          <w:szCs w:val="22"/>
        </w:rPr>
        <w:t xml:space="preserve"> </w:t>
      </w:r>
    </w:p>
    <w:p w14:paraId="5799D1AC" w14:textId="7283258B" w:rsidR="009B47D8" w:rsidRDefault="002451C4" w:rsidP="00DC4348">
      <w:pPr>
        <w:spacing w:line="276" w:lineRule="auto"/>
        <w:ind w:right="-433"/>
        <w:jc w:val="center"/>
        <w:rPr>
          <w:rFonts w:ascii="Open Sans" w:hAnsi="Open Sans" w:cs="Open Sans"/>
          <w:color w:val="000000"/>
        </w:rPr>
      </w:pPr>
      <w:r>
        <w:rPr>
          <w:noProof/>
        </w:rPr>
        <w:drawing>
          <wp:inline distT="0" distB="0" distL="0" distR="0" wp14:anchorId="2C444A32" wp14:editId="65D30E2B">
            <wp:extent cx="5264790" cy="2561716"/>
            <wp:effectExtent l="0" t="0" r="0" b="0"/>
            <wp:docPr id="2109352390" name="Gráfico 1">
              <a:extLst xmlns:a="http://schemas.openxmlformats.org/drawingml/2006/main">
                <a:ext uri="{FF2B5EF4-FFF2-40B4-BE49-F238E27FC236}">
                  <a16:creationId xmlns:a16="http://schemas.microsoft.com/office/drawing/2014/main" id="{CC627CF3-58B0-8EAE-5A5B-C37DD38A3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907E51" w14:textId="77777777" w:rsidR="00F773FA" w:rsidRDefault="00F773FA" w:rsidP="00DC4348">
      <w:pPr>
        <w:spacing w:line="276" w:lineRule="auto"/>
        <w:ind w:right="-433"/>
        <w:jc w:val="center"/>
        <w:rPr>
          <w:rFonts w:ascii="Open Sans" w:hAnsi="Open Sans" w:cs="Open Sans"/>
          <w:color w:val="000000"/>
        </w:rPr>
      </w:pPr>
    </w:p>
    <w:p w14:paraId="47E9D671" w14:textId="2F7535F5" w:rsidR="00583F35" w:rsidRDefault="000B2CCF" w:rsidP="00DC4348">
      <w:pPr>
        <w:spacing w:line="276" w:lineRule="auto"/>
        <w:ind w:right="-433"/>
        <w:jc w:val="both"/>
        <w:rPr>
          <w:rFonts w:ascii="Open Sans" w:hAnsi="Open Sans" w:cs="Open Sans"/>
          <w:color w:val="000000"/>
        </w:rPr>
      </w:pPr>
      <w:r>
        <w:rPr>
          <w:rFonts w:ascii="Open Sans" w:hAnsi="Open Sans" w:cs="Open Sans"/>
          <w:color w:val="000000"/>
        </w:rPr>
        <w:lastRenderedPageBreak/>
        <w:t>En las CCAA</w:t>
      </w:r>
      <w:r w:rsidR="003A44BD">
        <w:rPr>
          <w:rFonts w:ascii="Open Sans" w:hAnsi="Open Sans" w:cs="Open Sans"/>
          <w:color w:val="000000"/>
        </w:rPr>
        <w:t>,</w:t>
      </w:r>
      <w:r>
        <w:rPr>
          <w:rFonts w:ascii="Open Sans" w:hAnsi="Open Sans" w:cs="Open Sans"/>
          <w:color w:val="000000"/>
        </w:rPr>
        <w:t xml:space="preserve"> este </w:t>
      </w:r>
      <w:r w:rsidR="008E471D">
        <w:rPr>
          <w:rFonts w:ascii="Open Sans" w:hAnsi="Open Sans" w:cs="Open Sans"/>
          <w:color w:val="000000"/>
        </w:rPr>
        <w:t>segundo</w:t>
      </w:r>
      <w:r>
        <w:rPr>
          <w:rFonts w:ascii="Open Sans" w:hAnsi="Open Sans" w:cs="Open Sans"/>
          <w:color w:val="000000"/>
        </w:rPr>
        <w:t xml:space="preserve"> trimestre de 202</w:t>
      </w:r>
      <w:r w:rsidR="009B47D8">
        <w:rPr>
          <w:rFonts w:ascii="Open Sans" w:hAnsi="Open Sans" w:cs="Open Sans"/>
          <w:color w:val="000000"/>
        </w:rPr>
        <w:t>3</w:t>
      </w:r>
      <w:r>
        <w:rPr>
          <w:rFonts w:ascii="Open Sans" w:hAnsi="Open Sans" w:cs="Open Sans"/>
          <w:color w:val="000000"/>
        </w:rPr>
        <w:t xml:space="preserve"> se presenta con</w:t>
      </w:r>
      <w:r w:rsidR="00662CCB">
        <w:rPr>
          <w:rFonts w:ascii="Open Sans" w:hAnsi="Open Sans" w:cs="Open Sans"/>
          <w:color w:val="000000"/>
        </w:rPr>
        <w:t xml:space="preserve"> </w:t>
      </w:r>
      <w:r w:rsidR="009B47D8">
        <w:rPr>
          <w:rFonts w:ascii="Open Sans" w:hAnsi="Open Sans" w:cs="Open Sans"/>
          <w:color w:val="000000"/>
        </w:rPr>
        <w:t>1</w:t>
      </w:r>
      <w:r w:rsidR="008E471D">
        <w:rPr>
          <w:rFonts w:ascii="Open Sans" w:hAnsi="Open Sans" w:cs="Open Sans"/>
          <w:color w:val="000000"/>
        </w:rPr>
        <w:t>5</w:t>
      </w:r>
      <w:r w:rsidR="008462C0">
        <w:rPr>
          <w:rFonts w:ascii="Open Sans" w:hAnsi="Open Sans" w:cs="Open Sans"/>
          <w:color w:val="000000"/>
        </w:rPr>
        <w:t xml:space="preserve"> </w:t>
      </w:r>
      <w:r w:rsidR="00662CCB">
        <w:rPr>
          <w:rFonts w:ascii="Open Sans" w:hAnsi="Open Sans" w:cs="Open Sans"/>
          <w:color w:val="000000"/>
        </w:rPr>
        <w:t xml:space="preserve">subidas </w:t>
      </w:r>
      <w:r>
        <w:rPr>
          <w:rFonts w:ascii="Open Sans" w:hAnsi="Open Sans" w:cs="Open Sans"/>
          <w:color w:val="000000"/>
        </w:rPr>
        <w:t xml:space="preserve">trimestrales y </w:t>
      </w:r>
      <w:r w:rsidR="009B47D8">
        <w:rPr>
          <w:rFonts w:ascii="Open Sans" w:hAnsi="Open Sans" w:cs="Open Sans"/>
          <w:color w:val="000000"/>
        </w:rPr>
        <w:t>17</w:t>
      </w:r>
      <w:r>
        <w:rPr>
          <w:rFonts w:ascii="Open Sans" w:hAnsi="Open Sans" w:cs="Open Sans"/>
          <w:color w:val="000000"/>
        </w:rPr>
        <w:t xml:space="preserve"> interanuales. </w:t>
      </w:r>
      <w:r w:rsidR="00DB4C11">
        <w:rPr>
          <w:rFonts w:ascii="Open Sans" w:hAnsi="Open Sans" w:cs="Open Sans"/>
          <w:color w:val="000000"/>
        </w:rPr>
        <w:t>La</w:t>
      </w:r>
      <w:r w:rsidR="008D4B44">
        <w:rPr>
          <w:rFonts w:ascii="Open Sans" w:hAnsi="Open Sans" w:cs="Open Sans"/>
          <w:color w:val="000000"/>
        </w:rPr>
        <w:t xml:space="preserve"> Comunidad con el mayor incremento trimestral es </w:t>
      </w:r>
      <w:r w:rsidR="00583F35">
        <w:rPr>
          <w:rFonts w:ascii="Open Sans" w:hAnsi="Open Sans" w:cs="Open Sans"/>
          <w:color w:val="000000"/>
        </w:rPr>
        <w:t>Navarra</w:t>
      </w:r>
      <w:r w:rsidR="009B47D8">
        <w:rPr>
          <w:rFonts w:ascii="Open Sans" w:hAnsi="Open Sans" w:cs="Open Sans"/>
          <w:color w:val="000000"/>
        </w:rPr>
        <w:t xml:space="preserve"> </w:t>
      </w:r>
      <w:r w:rsidR="008D4B44">
        <w:rPr>
          <w:rFonts w:ascii="Open Sans" w:hAnsi="Open Sans" w:cs="Open Sans"/>
          <w:color w:val="000000"/>
        </w:rPr>
        <w:t xml:space="preserve">con </w:t>
      </w:r>
      <w:r w:rsidR="00583F35">
        <w:rPr>
          <w:rFonts w:ascii="Open Sans" w:hAnsi="Open Sans" w:cs="Open Sans"/>
          <w:color w:val="000000"/>
        </w:rPr>
        <w:t>7,5</w:t>
      </w:r>
      <w:r w:rsidR="008D4B44" w:rsidRPr="008D4B44">
        <w:rPr>
          <w:rFonts w:ascii="Open Sans" w:hAnsi="Open Sans" w:cs="Open Sans"/>
          <w:color w:val="000000"/>
        </w:rPr>
        <w:t>%</w:t>
      </w:r>
      <w:r w:rsidR="008D4B44">
        <w:rPr>
          <w:rFonts w:ascii="Open Sans" w:hAnsi="Open Sans" w:cs="Open Sans"/>
          <w:color w:val="000000"/>
        </w:rPr>
        <w:t xml:space="preserve">, </w:t>
      </w:r>
      <w:r w:rsidR="00583F35">
        <w:rPr>
          <w:rFonts w:ascii="Open Sans" w:hAnsi="Open Sans" w:cs="Open Sans"/>
          <w:color w:val="000000"/>
        </w:rPr>
        <w:t xml:space="preserve">seguida de </w:t>
      </w:r>
      <w:r w:rsidR="00253855" w:rsidRPr="00253855">
        <w:rPr>
          <w:rFonts w:ascii="Open Sans" w:hAnsi="Open Sans" w:cs="Open Sans"/>
          <w:color w:val="000000"/>
        </w:rPr>
        <w:t xml:space="preserve">Canarias </w:t>
      </w:r>
      <w:r w:rsidR="00253855">
        <w:rPr>
          <w:rFonts w:ascii="Open Sans" w:hAnsi="Open Sans" w:cs="Open Sans"/>
          <w:color w:val="000000"/>
        </w:rPr>
        <w:t xml:space="preserve">con </w:t>
      </w:r>
      <w:r w:rsidR="00253855" w:rsidRPr="00253855">
        <w:rPr>
          <w:rFonts w:ascii="Open Sans" w:hAnsi="Open Sans" w:cs="Open Sans"/>
          <w:color w:val="000000"/>
        </w:rPr>
        <w:t>6,9%</w:t>
      </w:r>
      <w:r w:rsidR="00253855">
        <w:rPr>
          <w:rFonts w:ascii="Open Sans" w:hAnsi="Open Sans" w:cs="Open Sans"/>
          <w:color w:val="000000"/>
        </w:rPr>
        <w:t xml:space="preserve">, </w:t>
      </w:r>
      <w:r w:rsidR="00253855" w:rsidRPr="00253855">
        <w:rPr>
          <w:rFonts w:ascii="Open Sans" w:hAnsi="Open Sans" w:cs="Open Sans"/>
          <w:color w:val="000000"/>
        </w:rPr>
        <w:t xml:space="preserve">Baleares </w:t>
      </w:r>
      <w:r w:rsidR="00253855">
        <w:rPr>
          <w:rFonts w:ascii="Open Sans" w:hAnsi="Open Sans" w:cs="Open Sans"/>
          <w:color w:val="000000"/>
        </w:rPr>
        <w:t xml:space="preserve">con </w:t>
      </w:r>
      <w:r w:rsidR="00253855" w:rsidRPr="00253855">
        <w:rPr>
          <w:rFonts w:ascii="Open Sans" w:hAnsi="Open Sans" w:cs="Open Sans"/>
          <w:color w:val="000000"/>
        </w:rPr>
        <w:t>5,3%</w:t>
      </w:r>
      <w:r w:rsidR="00253855">
        <w:rPr>
          <w:rFonts w:ascii="Open Sans" w:hAnsi="Open Sans" w:cs="Open Sans"/>
          <w:color w:val="000000"/>
        </w:rPr>
        <w:t xml:space="preserve">, </w:t>
      </w:r>
      <w:r w:rsidR="00253855" w:rsidRPr="00253855">
        <w:rPr>
          <w:rFonts w:ascii="Open Sans" w:hAnsi="Open Sans" w:cs="Open Sans"/>
          <w:color w:val="000000"/>
        </w:rPr>
        <w:t xml:space="preserve">Región de Murcia </w:t>
      </w:r>
      <w:r w:rsidR="00253855">
        <w:rPr>
          <w:rFonts w:ascii="Open Sans" w:hAnsi="Open Sans" w:cs="Open Sans"/>
          <w:color w:val="000000"/>
        </w:rPr>
        <w:t xml:space="preserve">con </w:t>
      </w:r>
      <w:r w:rsidR="00253855" w:rsidRPr="00253855">
        <w:rPr>
          <w:rFonts w:ascii="Open Sans" w:hAnsi="Open Sans" w:cs="Open Sans"/>
          <w:color w:val="000000"/>
        </w:rPr>
        <w:t>4,7%</w:t>
      </w:r>
      <w:r w:rsidR="00253855">
        <w:rPr>
          <w:rFonts w:ascii="Open Sans" w:hAnsi="Open Sans" w:cs="Open Sans"/>
          <w:color w:val="000000"/>
        </w:rPr>
        <w:t>,</w:t>
      </w:r>
      <w:r w:rsidR="00253855" w:rsidRPr="00253855">
        <w:rPr>
          <w:rFonts w:ascii="Open Sans" w:hAnsi="Open Sans" w:cs="Open Sans"/>
          <w:color w:val="000000"/>
        </w:rPr>
        <w:t xml:space="preserve"> Comunitat Valenciana </w:t>
      </w:r>
      <w:r w:rsidR="00253855">
        <w:rPr>
          <w:rFonts w:ascii="Open Sans" w:hAnsi="Open Sans" w:cs="Open Sans"/>
          <w:color w:val="000000"/>
        </w:rPr>
        <w:t xml:space="preserve">con </w:t>
      </w:r>
      <w:r w:rsidR="00253855" w:rsidRPr="00253855">
        <w:rPr>
          <w:rFonts w:ascii="Open Sans" w:hAnsi="Open Sans" w:cs="Open Sans"/>
          <w:color w:val="000000"/>
        </w:rPr>
        <w:t>4,3%</w:t>
      </w:r>
      <w:r w:rsidR="00253855">
        <w:rPr>
          <w:rFonts w:ascii="Open Sans" w:hAnsi="Open Sans" w:cs="Open Sans"/>
          <w:color w:val="000000"/>
        </w:rPr>
        <w:t>,</w:t>
      </w:r>
      <w:r w:rsidR="00253855" w:rsidRPr="00253855">
        <w:rPr>
          <w:rFonts w:ascii="Open Sans" w:hAnsi="Open Sans" w:cs="Open Sans"/>
          <w:color w:val="000000"/>
        </w:rPr>
        <w:t xml:space="preserve"> Aragón </w:t>
      </w:r>
      <w:r w:rsidR="00253855">
        <w:rPr>
          <w:rFonts w:ascii="Open Sans" w:hAnsi="Open Sans" w:cs="Open Sans"/>
          <w:color w:val="000000"/>
        </w:rPr>
        <w:t xml:space="preserve">con </w:t>
      </w:r>
      <w:r w:rsidR="00253855" w:rsidRPr="00253855">
        <w:rPr>
          <w:rFonts w:ascii="Open Sans" w:hAnsi="Open Sans" w:cs="Open Sans"/>
          <w:color w:val="000000"/>
        </w:rPr>
        <w:t>3,1%</w:t>
      </w:r>
      <w:r w:rsidR="00253855">
        <w:rPr>
          <w:rFonts w:ascii="Open Sans" w:hAnsi="Open Sans" w:cs="Open Sans"/>
          <w:color w:val="000000"/>
        </w:rPr>
        <w:t>,</w:t>
      </w:r>
      <w:r w:rsidR="00253855" w:rsidRPr="00253855">
        <w:rPr>
          <w:rFonts w:ascii="Open Sans" w:hAnsi="Open Sans" w:cs="Open Sans"/>
          <w:color w:val="000000"/>
        </w:rPr>
        <w:t xml:space="preserve"> La Rioja </w:t>
      </w:r>
      <w:r w:rsidR="00253855">
        <w:rPr>
          <w:rFonts w:ascii="Open Sans" w:hAnsi="Open Sans" w:cs="Open Sans"/>
          <w:color w:val="000000"/>
        </w:rPr>
        <w:t xml:space="preserve">con </w:t>
      </w:r>
      <w:r w:rsidR="00253855" w:rsidRPr="00253855">
        <w:rPr>
          <w:rFonts w:ascii="Open Sans" w:hAnsi="Open Sans" w:cs="Open Sans"/>
          <w:color w:val="000000"/>
        </w:rPr>
        <w:t>2,5%</w:t>
      </w:r>
      <w:r w:rsidR="00253855">
        <w:rPr>
          <w:rFonts w:ascii="Open Sans" w:hAnsi="Open Sans" w:cs="Open Sans"/>
          <w:color w:val="000000"/>
        </w:rPr>
        <w:t>,</w:t>
      </w:r>
      <w:r w:rsidR="00253855" w:rsidRPr="00253855">
        <w:rPr>
          <w:rFonts w:ascii="Open Sans" w:hAnsi="Open Sans" w:cs="Open Sans"/>
          <w:color w:val="000000"/>
        </w:rPr>
        <w:t xml:space="preserve"> Cantabria </w:t>
      </w:r>
      <w:r w:rsidR="00253855">
        <w:rPr>
          <w:rFonts w:ascii="Open Sans" w:hAnsi="Open Sans" w:cs="Open Sans"/>
          <w:color w:val="000000"/>
        </w:rPr>
        <w:t xml:space="preserve">con </w:t>
      </w:r>
      <w:r w:rsidR="00253855" w:rsidRPr="00253855">
        <w:rPr>
          <w:rFonts w:ascii="Open Sans" w:hAnsi="Open Sans" w:cs="Open Sans"/>
          <w:color w:val="000000"/>
        </w:rPr>
        <w:t>2,3%</w:t>
      </w:r>
      <w:r w:rsidR="00253855">
        <w:rPr>
          <w:rFonts w:ascii="Open Sans" w:hAnsi="Open Sans" w:cs="Open Sans"/>
          <w:color w:val="000000"/>
        </w:rPr>
        <w:t>,</w:t>
      </w:r>
      <w:r w:rsidR="00253855" w:rsidRPr="00253855">
        <w:rPr>
          <w:rFonts w:ascii="Open Sans" w:hAnsi="Open Sans" w:cs="Open Sans"/>
          <w:color w:val="000000"/>
        </w:rPr>
        <w:t xml:space="preserve"> Cataluña </w:t>
      </w:r>
      <w:r w:rsidR="00253855">
        <w:rPr>
          <w:rFonts w:ascii="Open Sans" w:hAnsi="Open Sans" w:cs="Open Sans"/>
          <w:color w:val="000000"/>
        </w:rPr>
        <w:t xml:space="preserve">con </w:t>
      </w:r>
      <w:r w:rsidR="00253855" w:rsidRPr="00253855">
        <w:rPr>
          <w:rFonts w:ascii="Open Sans" w:hAnsi="Open Sans" w:cs="Open Sans"/>
          <w:color w:val="000000"/>
        </w:rPr>
        <w:t>2,2%</w:t>
      </w:r>
      <w:r w:rsidR="00253855">
        <w:rPr>
          <w:rFonts w:ascii="Open Sans" w:hAnsi="Open Sans" w:cs="Open Sans"/>
          <w:color w:val="000000"/>
        </w:rPr>
        <w:t>,</w:t>
      </w:r>
      <w:r w:rsidR="00253855" w:rsidRPr="00253855">
        <w:rPr>
          <w:rFonts w:ascii="Open Sans" w:hAnsi="Open Sans" w:cs="Open Sans"/>
          <w:color w:val="000000"/>
        </w:rPr>
        <w:t xml:space="preserve"> Castilla-La Mancha </w:t>
      </w:r>
      <w:r w:rsidR="00253855">
        <w:rPr>
          <w:rFonts w:ascii="Open Sans" w:hAnsi="Open Sans" w:cs="Open Sans"/>
          <w:color w:val="000000"/>
        </w:rPr>
        <w:t xml:space="preserve">con </w:t>
      </w:r>
      <w:r w:rsidR="00253855" w:rsidRPr="00253855">
        <w:rPr>
          <w:rFonts w:ascii="Open Sans" w:hAnsi="Open Sans" w:cs="Open Sans"/>
          <w:color w:val="000000"/>
        </w:rPr>
        <w:t>2,1%</w:t>
      </w:r>
      <w:r w:rsidR="00253855">
        <w:rPr>
          <w:rFonts w:ascii="Open Sans" w:hAnsi="Open Sans" w:cs="Open Sans"/>
          <w:color w:val="000000"/>
        </w:rPr>
        <w:t>,</w:t>
      </w:r>
      <w:r w:rsidR="00253855" w:rsidRPr="00253855">
        <w:rPr>
          <w:rFonts w:ascii="Open Sans" w:hAnsi="Open Sans" w:cs="Open Sans"/>
          <w:color w:val="000000"/>
        </w:rPr>
        <w:t xml:space="preserve"> Asturias </w:t>
      </w:r>
      <w:r w:rsidR="00253855">
        <w:rPr>
          <w:rFonts w:ascii="Open Sans" w:hAnsi="Open Sans" w:cs="Open Sans"/>
          <w:color w:val="000000"/>
        </w:rPr>
        <w:t xml:space="preserve">con </w:t>
      </w:r>
      <w:r w:rsidR="00253855" w:rsidRPr="00253855">
        <w:rPr>
          <w:rFonts w:ascii="Open Sans" w:hAnsi="Open Sans" w:cs="Open Sans"/>
          <w:color w:val="000000"/>
        </w:rPr>
        <w:t>1,3%</w:t>
      </w:r>
      <w:r w:rsidR="00253855">
        <w:rPr>
          <w:rFonts w:ascii="Open Sans" w:hAnsi="Open Sans" w:cs="Open Sans"/>
          <w:color w:val="000000"/>
        </w:rPr>
        <w:t>,</w:t>
      </w:r>
      <w:r w:rsidR="00253855" w:rsidRPr="00253855">
        <w:rPr>
          <w:rFonts w:ascii="Open Sans" w:hAnsi="Open Sans" w:cs="Open Sans"/>
          <w:color w:val="000000"/>
        </w:rPr>
        <w:t xml:space="preserve"> Galicia </w:t>
      </w:r>
      <w:r w:rsidR="00253855">
        <w:rPr>
          <w:rFonts w:ascii="Open Sans" w:hAnsi="Open Sans" w:cs="Open Sans"/>
          <w:color w:val="000000"/>
        </w:rPr>
        <w:t xml:space="preserve">con </w:t>
      </w:r>
      <w:r w:rsidR="00253855" w:rsidRPr="00253855">
        <w:rPr>
          <w:rFonts w:ascii="Open Sans" w:hAnsi="Open Sans" w:cs="Open Sans"/>
          <w:color w:val="000000"/>
        </w:rPr>
        <w:t>1,1%</w:t>
      </w:r>
      <w:r w:rsidR="00253855">
        <w:rPr>
          <w:rFonts w:ascii="Open Sans" w:hAnsi="Open Sans" w:cs="Open Sans"/>
          <w:color w:val="000000"/>
        </w:rPr>
        <w:t xml:space="preserve">, </w:t>
      </w:r>
      <w:r w:rsidR="00253855" w:rsidRPr="00253855">
        <w:rPr>
          <w:rFonts w:ascii="Open Sans" w:hAnsi="Open Sans" w:cs="Open Sans"/>
          <w:color w:val="000000"/>
        </w:rPr>
        <w:t xml:space="preserve">País Vasco </w:t>
      </w:r>
      <w:r w:rsidR="00253855">
        <w:rPr>
          <w:rFonts w:ascii="Open Sans" w:hAnsi="Open Sans" w:cs="Open Sans"/>
          <w:color w:val="000000"/>
        </w:rPr>
        <w:t xml:space="preserve">con </w:t>
      </w:r>
      <w:r w:rsidR="00253855" w:rsidRPr="00253855">
        <w:rPr>
          <w:rFonts w:ascii="Open Sans" w:hAnsi="Open Sans" w:cs="Open Sans"/>
          <w:color w:val="000000"/>
        </w:rPr>
        <w:t>1,0%</w:t>
      </w:r>
      <w:r w:rsidR="00253855">
        <w:rPr>
          <w:rFonts w:ascii="Open Sans" w:hAnsi="Open Sans" w:cs="Open Sans"/>
          <w:color w:val="000000"/>
        </w:rPr>
        <w:t xml:space="preserve">, </w:t>
      </w:r>
      <w:r w:rsidR="00253855" w:rsidRPr="00253855">
        <w:rPr>
          <w:rFonts w:ascii="Open Sans" w:hAnsi="Open Sans" w:cs="Open Sans"/>
          <w:color w:val="000000"/>
        </w:rPr>
        <w:t xml:space="preserve">Madrid </w:t>
      </w:r>
      <w:r w:rsidR="00253855">
        <w:rPr>
          <w:rFonts w:ascii="Open Sans" w:hAnsi="Open Sans" w:cs="Open Sans"/>
          <w:color w:val="000000"/>
        </w:rPr>
        <w:t xml:space="preserve">con </w:t>
      </w:r>
      <w:r w:rsidR="00253855" w:rsidRPr="00253855">
        <w:rPr>
          <w:rFonts w:ascii="Open Sans" w:hAnsi="Open Sans" w:cs="Open Sans"/>
          <w:color w:val="000000"/>
        </w:rPr>
        <w:t>0,9%</w:t>
      </w:r>
      <w:r w:rsidR="00253855">
        <w:rPr>
          <w:rFonts w:ascii="Open Sans" w:hAnsi="Open Sans" w:cs="Open Sans"/>
          <w:color w:val="000000"/>
        </w:rPr>
        <w:t xml:space="preserve"> y </w:t>
      </w:r>
      <w:r w:rsidR="00253855" w:rsidRPr="00253855">
        <w:rPr>
          <w:rFonts w:ascii="Open Sans" w:hAnsi="Open Sans" w:cs="Open Sans"/>
          <w:color w:val="000000"/>
        </w:rPr>
        <w:t xml:space="preserve">Andalucía </w:t>
      </w:r>
      <w:r w:rsidR="00253855">
        <w:rPr>
          <w:rFonts w:ascii="Open Sans" w:hAnsi="Open Sans" w:cs="Open Sans"/>
          <w:color w:val="000000"/>
        </w:rPr>
        <w:t xml:space="preserve">con </w:t>
      </w:r>
      <w:r w:rsidR="00253855" w:rsidRPr="00253855">
        <w:rPr>
          <w:rFonts w:ascii="Open Sans" w:hAnsi="Open Sans" w:cs="Open Sans"/>
          <w:color w:val="000000"/>
        </w:rPr>
        <w:t>0,7%</w:t>
      </w:r>
      <w:r w:rsidR="00253855">
        <w:rPr>
          <w:rFonts w:ascii="Open Sans" w:hAnsi="Open Sans" w:cs="Open Sans"/>
          <w:color w:val="000000"/>
        </w:rPr>
        <w:t xml:space="preserve">. Por otro lado, las dos regiones con descensos trimestrales </w:t>
      </w:r>
      <w:r w:rsidR="00240463">
        <w:rPr>
          <w:rFonts w:ascii="Open Sans" w:hAnsi="Open Sans" w:cs="Open Sans"/>
          <w:color w:val="000000"/>
        </w:rPr>
        <w:t xml:space="preserve">en junio </w:t>
      </w:r>
      <w:r w:rsidR="00253855">
        <w:rPr>
          <w:rFonts w:ascii="Open Sans" w:hAnsi="Open Sans" w:cs="Open Sans"/>
          <w:color w:val="000000"/>
        </w:rPr>
        <w:t xml:space="preserve">son </w:t>
      </w:r>
      <w:r w:rsidR="00253855" w:rsidRPr="00253855">
        <w:rPr>
          <w:rFonts w:ascii="Open Sans" w:hAnsi="Open Sans" w:cs="Open Sans"/>
          <w:color w:val="000000"/>
        </w:rPr>
        <w:t xml:space="preserve">Castilla y León </w:t>
      </w:r>
      <w:r w:rsidR="00253855">
        <w:rPr>
          <w:rFonts w:ascii="Open Sans" w:hAnsi="Open Sans" w:cs="Open Sans"/>
          <w:color w:val="000000"/>
        </w:rPr>
        <w:t xml:space="preserve">con </w:t>
      </w:r>
      <w:r w:rsidR="00253855" w:rsidRPr="00253855">
        <w:rPr>
          <w:rFonts w:ascii="Open Sans" w:hAnsi="Open Sans" w:cs="Open Sans"/>
          <w:color w:val="000000"/>
        </w:rPr>
        <w:t>-0,1%</w:t>
      </w:r>
      <w:r w:rsidR="00253855">
        <w:rPr>
          <w:rFonts w:ascii="Open Sans" w:hAnsi="Open Sans" w:cs="Open Sans"/>
          <w:color w:val="000000"/>
        </w:rPr>
        <w:t xml:space="preserve"> y</w:t>
      </w:r>
      <w:r w:rsidR="00253855" w:rsidRPr="00253855">
        <w:rPr>
          <w:rFonts w:ascii="Open Sans" w:hAnsi="Open Sans" w:cs="Open Sans"/>
          <w:color w:val="000000"/>
        </w:rPr>
        <w:t xml:space="preserve"> Extremadura </w:t>
      </w:r>
      <w:r w:rsidR="00253855">
        <w:rPr>
          <w:rFonts w:ascii="Open Sans" w:hAnsi="Open Sans" w:cs="Open Sans"/>
          <w:color w:val="000000"/>
        </w:rPr>
        <w:t xml:space="preserve">con </w:t>
      </w:r>
      <w:r w:rsidR="00253855" w:rsidRPr="00253855">
        <w:rPr>
          <w:rFonts w:ascii="Open Sans" w:hAnsi="Open Sans" w:cs="Open Sans"/>
          <w:color w:val="000000"/>
        </w:rPr>
        <w:t>-0,7%</w:t>
      </w:r>
      <w:r w:rsidR="00253855">
        <w:rPr>
          <w:rFonts w:ascii="Open Sans" w:hAnsi="Open Sans" w:cs="Open Sans"/>
          <w:color w:val="000000"/>
        </w:rPr>
        <w:t>.</w:t>
      </w:r>
    </w:p>
    <w:p w14:paraId="2384334C" w14:textId="77777777" w:rsidR="00583F35" w:rsidRDefault="00583F35" w:rsidP="00DC4348">
      <w:pPr>
        <w:spacing w:line="276" w:lineRule="auto"/>
        <w:ind w:right="-433"/>
        <w:jc w:val="both"/>
        <w:rPr>
          <w:rFonts w:ascii="Open Sans" w:hAnsi="Open Sans" w:cs="Open Sans"/>
          <w:color w:val="000000"/>
        </w:rPr>
      </w:pPr>
    </w:p>
    <w:p w14:paraId="20D66CC4" w14:textId="35EEE094" w:rsidR="00604EAC" w:rsidRDefault="005C319D" w:rsidP="00DC4348">
      <w:pPr>
        <w:spacing w:line="276" w:lineRule="auto"/>
        <w:ind w:right="-433"/>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comunidades, </w:t>
      </w:r>
      <w:r w:rsidR="00604EAC">
        <w:rPr>
          <w:rFonts w:ascii="Open Sans" w:hAnsi="Open Sans" w:cs="Open Sans"/>
          <w:color w:val="000000"/>
        </w:rPr>
        <w:t xml:space="preserve">Baleares y </w:t>
      </w:r>
      <w:r>
        <w:rPr>
          <w:rFonts w:ascii="Open Sans" w:hAnsi="Open Sans" w:cs="Open Sans"/>
          <w:color w:val="000000"/>
        </w:rPr>
        <w:t>Madrid, ocupa</w:t>
      </w:r>
      <w:r w:rsidR="00604EAC">
        <w:rPr>
          <w:rFonts w:ascii="Open Sans" w:hAnsi="Open Sans" w:cs="Open Sans"/>
          <w:color w:val="000000"/>
        </w:rPr>
        <w:t>n los</w:t>
      </w:r>
      <w:r>
        <w:rPr>
          <w:rFonts w:ascii="Open Sans" w:hAnsi="Open Sans" w:cs="Open Sans"/>
          <w:color w:val="000000"/>
        </w:rPr>
        <w:t xml:space="preserve"> primer</w:t>
      </w:r>
      <w:r w:rsidR="00604EAC">
        <w:rPr>
          <w:rFonts w:ascii="Open Sans" w:hAnsi="Open Sans" w:cs="Open Sans"/>
          <w:color w:val="000000"/>
        </w:rPr>
        <w:t>os</w:t>
      </w:r>
      <w:r>
        <w:rPr>
          <w:rFonts w:ascii="Open Sans" w:hAnsi="Open Sans" w:cs="Open Sans"/>
          <w:color w:val="000000"/>
        </w:rPr>
        <w:t xml:space="preserve"> puesto</w:t>
      </w:r>
      <w:r w:rsidR="00604EAC">
        <w:rPr>
          <w:rFonts w:ascii="Open Sans" w:hAnsi="Open Sans" w:cs="Open Sans"/>
          <w:color w:val="000000"/>
        </w:rPr>
        <w:t>s</w:t>
      </w:r>
      <w:r>
        <w:rPr>
          <w:rFonts w:ascii="Open Sans" w:hAnsi="Open Sans" w:cs="Open Sans"/>
          <w:color w:val="000000"/>
        </w:rPr>
        <w:t xml:space="preserve">, </w:t>
      </w:r>
      <w:r w:rsidR="00604EAC">
        <w:rPr>
          <w:rFonts w:ascii="Open Sans" w:hAnsi="Open Sans" w:cs="Open Sans"/>
          <w:color w:val="000000"/>
        </w:rPr>
        <w:t>y</w:t>
      </w:r>
      <w:r>
        <w:rPr>
          <w:rFonts w:ascii="Open Sans" w:hAnsi="Open Sans" w:cs="Open Sans"/>
          <w:color w:val="000000"/>
        </w:rPr>
        <w:t xml:space="preserve"> supera</w:t>
      </w:r>
      <w:r w:rsidR="00604EAC">
        <w:rPr>
          <w:rFonts w:ascii="Open Sans" w:hAnsi="Open Sans" w:cs="Open Sans"/>
          <w:color w:val="000000"/>
        </w:rPr>
        <w:t>n</w:t>
      </w:r>
      <w:r>
        <w:rPr>
          <w:rFonts w:ascii="Open Sans" w:hAnsi="Open Sans" w:cs="Open Sans"/>
          <w:color w:val="000000"/>
        </w:rPr>
        <w:t xml:space="preserve"> la barrera de los 3.</w:t>
      </w:r>
      <w:r w:rsidR="00D96B1D">
        <w:rPr>
          <w:rFonts w:ascii="Open Sans" w:hAnsi="Open Sans" w:cs="Open Sans"/>
          <w:color w:val="000000"/>
        </w:rPr>
        <w:t>000</w:t>
      </w:r>
      <w:r>
        <w:rPr>
          <w:rFonts w:ascii="Open Sans" w:hAnsi="Open Sans" w:cs="Open Sans"/>
          <w:color w:val="000000"/>
        </w:rPr>
        <w:t xml:space="preserve"> euros, en concreto se paga por</w:t>
      </w:r>
      <w:r w:rsidR="00604EAC">
        <w:rPr>
          <w:rFonts w:ascii="Open Sans" w:hAnsi="Open Sans" w:cs="Open Sans"/>
          <w:color w:val="000000"/>
        </w:rPr>
        <w:t xml:space="preserve"> Baleares 3.</w:t>
      </w:r>
      <w:r w:rsidR="000B5ADB">
        <w:rPr>
          <w:rFonts w:ascii="Open Sans" w:hAnsi="Open Sans" w:cs="Open Sans"/>
          <w:color w:val="000000"/>
        </w:rPr>
        <w:t>806</w:t>
      </w:r>
      <w:r w:rsidR="00604EAC">
        <w:rPr>
          <w:rFonts w:ascii="Open Sans" w:hAnsi="Open Sans" w:cs="Open Sans"/>
          <w:color w:val="000000"/>
        </w:rPr>
        <w:t xml:space="preserve"> 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vertAlign w:val="superscript"/>
        </w:rPr>
        <w:t xml:space="preserve"> </w:t>
      </w:r>
      <w:r w:rsidR="00604EAC">
        <w:rPr>
          <w:rFonts w:ascii="Open Sans" w:hAnsi="Open Sans" w:cs="Open Sans"/>
          <w:color w:val="000000"/>
        </w:rPr>
        <w:t>y por Madrid 3.4</w:t>
      </w:r>
      <w:r w:rsidR="000B5ADB">
        <w:rPr>
          <w:rFonts w:ascii="Open Sans" w:hAnsi="Open Sans" w:cs="Open Sans"/>
          <w:color w:val="000000"/>
        </w:rPr>
        <w:t>7</w:t>
      </w:r>
      <w:r w:rsidR="00604EAC">
        <w:rPr>
          <w:rFonts w:ascii="Open Sans" w:hAnsi="Open Sans" w:cs="Open Sans"/>
          <w:color w:val="000000"/>
        </w:rPr>
        <w:t>7</w:t>
      </w:r>
      <w:r>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 xml:space="preserve">. </w:t>
      </w:r>
      <w:r>
        <w:rPr>
          <w:rFonts w:ascii="Open Sans" w:hAnsi="Open Sans" w:cs="Open Sans"/>
          <w:color w:val="000000"/>
        </w:rPr>
        <w:t xml:space="preserve">Le siguen las comunidades de </w:t>
      </w:r>
      <w:r w:rsidR="00604EAC" w:rsidRPr="00604EAC">
        <w:rPr>
          <w:rFonts w:ascii="Open Sans" w:hAnsi="Open Sans" w:cs="Open Sans"/>
          <w:color w:val="000000"/>
        </w:rPr>
        <w:t xml:space="preserve">País Vasco </w:t>
      </w:r>
      <w:r w:rsidR="00604EAC">
        <w:rPr>
          <w:rFonts w:ascii="Open Sans" w:hAnsi="Open Sans" w:cs="Open Sans"/>
          <w:color w:val="000000"/>
        </w:rPr>
        <w:t>(</w:t>
      </w:r>
      <w:r w:rsidR="00604EAC" w:rsidRPr="00604EAC">
        <w:rPr>
          <w:rFonts w:ascii="Open Sans" w:hAnsi="Open Sans" w:cs="Open Sans"/>
          <w:color w:val="000000"/>
        </w:rPr>
        <w:t>2.9</w:t>
      </w:r>
      <w:r w:rsidR="000B5ADB">
        <w:rPr>
          <w:rFonts w:ascii="Open Sans" w:hAnsi="Open Sans" w:cs="Open Sans"/>
          <w:color w:val="000000"/>
        </w:rPr>
        <w:t>88</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Cataluña </w:t>
      </w:r>
      <w:r w:rsidR="00604EAC">
        <w:rPr>
          <w:rFonts w:ascii="Open Sans" w:hAnsi="Open Sans" w:cs="Open Sans"/>
          <w:color w:val="000000"/>
        </w:rPr>
        <w:t>(</w:t>
      </w:r>
      <w:r w:rsidR="00604EAC" w:rsidRPr="00604EAC">
        <w:rPr>
          <w:rFonts w:ascii="Open Sans" w:hAnsi="Open Sans" w:cs="Open Sans"/>
          <w:color w:val="000000"/>
        </w:rPr>
        <w:t>2.7</w:t>
      </w:r>
      <w:r w:rsidR="000B5ADB">
        <w:rPr>
          <w:rFonts w:ascii="Open Sans" w:hAnsi="Open Sans" w:cs="Open Sans"/>
          <w:color w:val="000000"/>
        </w:rPr>
        <w:t>6</w:t>
      </w:r>
      <w:r w:rsidR="00604EAC" w:rsidRPr="00604EAC">
        <w:rPr>
          <w:rFonts w:ascii="Open Sans" w:hAnsi="Open Sans" w:cs="Open Sans"/>
          <w:color w:val="000000"/>
        </w:rPr>
        <w:t xml:space="preserve">9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Canarias </w:t>
      </w:r>
      <w:r w:rsidR="00604EAC">
        <w:rPr>
          <w:rFonts w:ascii="Open Sans" w:hAnsi="Open Sans" w:cs="Open Sans"/>
          <w:color w:val="000000"/>
        </w:rPr>
        <w:t>(</w:t>
      </w:r>
      <w:r w:rsidR="00604EAC" w:rsidRPr="00604EAC">
        <w:rPr>
          <w:rFonts w:ascii="Open Sans" w:hAnsi="Open Sans" w:cs="Open Sans"/>
          <w:color w:val="000000"/>
        </w:rPr>
        <w:t>2.</w:t>
      </w:r>
      <w:r w:rsidR="000B5ADB">
        <w:rPr>
          <w:rFonts w:ascii="Open Sans" w:hAnsi="Open Sans" w:cs="Open Sans"/>
          <w:color w:val="000000"/>
        </w:rPr>
        <w:t>190</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 xml:space="preserve">), </w:t>
      </w:r>
      <w:r w:rsidR="00604EAC" w:rsidRPr="00604EAC">
        <w:rPr>
          <w:rFonts w:ascii="Open Sans" w:hAnsi="Open Sans" w:cs="Open Sans"/>
          <w:color w:val="000000"/>
        </w:rPr>
        <w:t xml:space="preserve">Navarra </w:t>
      </w:r>
      <w:r w:rsidR="00604EAC">
        <w:rPr>
          <w:rFonts w:ascii="Open Sans" w:hAnsi="Open Sans" w:cs="Open Sans"/>
          <w:color w:val="000000"/>
        </w:rPr>
        <w:t>(</w:t>
      </w:r>
      <w:r w:rsidR="000B5ADB">
        <w:rPr>
          <w:rFonts w:ascii="Open Sans" w:hAnsi="Open Sans" w:cs="Open Sans"/>
          <w:color w:val="000000"/>
        </w:rPr>
        <w:t>2</w:t>
      </w:r>
      <w:r w:rsidR="00604EAC" w:rsidRPr="00604EAC">
        <w:rPr>
          <w:rFonts w:ascii="Open Sans" w:hAnsi="Open Sans" w:cs="Open Sans"/>
          <w:color w:val="000000"/>
        </w:rPr>
        <w:t>.</w:t>
      </w:r>
      <w:r w:rsidR="000B5ADB">
        <w:rPr>
          <w:rFonts w:ascii="Open Sans" w:hAnsi="Open Sans" w:cs="Open Sans"/>
          <w:color w:val="000000"/>
        </w:rPr>
        <w:t>044</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Andalucía </w:t>
      </w:r>
      <w:r w:rsidR="00604EAC">
        <w:rPr>
          <w:rFonts w:ascii="Open Sans" w:hAnsi="Open Sans" w:cs="Open Sans"/>
          <w:color w:val="000000"/>
        </w:rPr>
        <w:t>(</w:t>
      </w:r>
      <w:r w:rsidR="00604EAC" w:rsidRPr="00604EAC">
        <w:rPr>
          <w:rFonts w:ascii="Open Sans" w:hAnsi="Open Sans" w:cs="Open Sans"/>
          <w:color w:val="000000"/>
        </w:rPr>
        <w:t>1.8</w:t>
      </w:r>
      <w:r w:rsidR="000B5ADB">
        <w:rPr>
          <w:rFonts w:ascii="Open Sans" w:hAnsi="Open Sans" w:cs="Open Sans"/>
          <w:color w:val="000000"/>
        </w:rPr>
        <w:t>97</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 xml:space="preserve">), </w:t>
      </w:r>
      <w:r w:rsidR="00604EAC" w:rsidRPr="00604EAC">
        <w:rPr>
          <w:rFonts w:ascii="Open Sans" w:hAnsi="Open Sans" w:cs="Open Sans"/>
          <w:color w:val="000000"/>
        </w:rPr>
        <w:t xml:space="preserve">Cantabria </w:t>
      </w:r>
      <w:r w:rsidR="00604EAC">
        <w:rPr>
          <w:rFonts w:ascii="Open Sans" w:hAnsi="Open Sans" w:cs="Open Sans"/>
          <w:color w:val="000000"/>
        </w:rPr>
        <w:t>(</w:t>
      </w:r>
      <w:r w:rsidR="00604EAC" w:rsidRPr="00604EAC">
        <w:rPr>
          <w:rFonts w:ascii="Open Sans" w:hAnsi="Open Sans" w:cs="Open Sans"/>
          <w:color w:val="000000"/>
        </w:rPr>
        <w:t>1.8</w:t>
      </w:r>
      <w:r w:rsidR="000B5ADB">
        <w:rPr>
          <w:rFonts w:ascii="Open Sans" w:hAnsi="Open Sans" w:cs="Open Sans"/>
          <w:color w:val="000000"/>
        </w:rPr>
        <w:t>81</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 xml:space="preserve">), </w:t>
      </w:r>
      <w:r w:rsidR="000B5ADB" w:rsidRPr="00604EAC">
        <w:rPr>
          <w:rFonts w:ascii="Open Sans" w:hAnsi="Open Sans" w:cs="Open Sans"/>
          <w:color w:val="000000"/>
        </w:rPr>
        <w:t xml:space="preserve">Aragón </w:t>
      </w:r>
      <w:r w:rsidR="000B5ADB">
        <w:rPr>
          <w:rFonts w:ascii="Open Sans" w:hAnsi="Open Sans" w:cs="Open Sans"/>
          <w:color w:val="000000"/>
        </w:rPr>
        <w:t>(</w:t>
      </w:r>
      <w:r w:rsidR="000B5ADB" w:rsidRPr="00604EAC">
        <w:rPr>
          <w:rFonts w:ascii="Open Sans" w:hAnsi="Open Sans" w:cs="Open Sans"/>
          <w:color w:val="000000"/>
        </w:rPr>
        <w:t>1.</w:t>
      </w:r>
      <w:r w:rsidR="000B5ADB">
        <w:rPr>
          <w:rFonts w:ascii="Open Sans" w:hAnsi="Open Sans" w:cs="Open Sans"/>
          <w:color w:val="000000"/>
        </w:rPr>
        <w:t>701</w:t>
      </w:r>
      <w:r w:rsidR="000B5ADB" w:rsidRPr="00604EAC">
        <w:rPr>
          <w:rFonts w:ascii="Open Sans" w:hAnsi="Open Sans" w:cs="Open Sans"/>
          <w:color w:val="000000"/>
        </w:rPr>
        <w:t xml:space="preserve"> </w:t>
      </w:r>
      <w:r w:rsidR="000B5ADB">
        <w:rPr>
          <w:rFonts w:ascii="Open Sans" w:hAnsi="Open Sans" w:cs="Open Sans"/>
          <w:color w:val="000000"/>
        </w:rPr>
        <w:t>euros</w:t>
      </w:r>
      <w:r w:rsidR="000B5ADB" w:rsidRPr="003D3C30">
        <w:rPr>
          <w:rFonts w:ascii="Open Sans" w:hAnsi="Open Sans" w:cs="Open Sans"/>
          <w:color w:val="000000"/>
        </w:rPr>
        <w:t>/m</w:t>
      </w:r>
      <w:r w:rsidR="000B5ADB" w:rsidRPr="003D3C30">
        <w:rPr>
          <w:rFonts w:ascii="Open Sans" w:hAnsi="Open Sans" w:cs="Open Sans"/>
          <w:color w:val="000000"/>
          <w:vertAlign w:val="superscript"/>
        </w:rPr>
        <w:t>2</w:t>
      </w:r>
      <w:r w:rsidR="000B5ADB">
        <w:rPr>
          <w:rFonts w:ascii="Open Sans" w:hAnsi="Open Sans" w:cs="Open Sans"/>
          <w:color w:val="000000"/>
        </w:rPr>
        <w:t xml:space="preserve">), </w:t>
      </w:r>
      <w:r w:rsidR="00604EAC" w:rsidRPr="00604EAC">
        <w:rPr>
          <w:rFonts w:ascii="Open Sans" w:hAnsi="Open Sans" w:cs="Open Sans"/>
          <w:color w:val="000000"/>
        </w:rPr>
        <w:t xml:space="preserve">Galicia </w:t>
      </w:r>
      <w:r w:rsidR="00604EAC">
        <w:rPr>
          <w:rFonts w:ascii="Open Sans" w:hAnsi="Open Sans" w:cs="Open Sans"/>
          <w:color w:val="000000"/>
        </w:rPr>
        <w:t>(</w:t>
      </w:r>
      <w:r w:rsidR="00604EAC" w:rsidRPr="00604EAC">
        <w:rPr>
          <w:rFonts w:ascii="Open Sans" w:hAnsi="Open Sans" w:cs="Open Sans"/>
          <w:color w:val="000000"/>
        </w:rPr>
        <w:t>1.6</w:t>
      </w:r>
      <w:r w:rsidR="000B5ADB">
        <w:rPr>
          <w:rFonts w:ascii="Open Sans" w:hAnsi="Open Sans" w:cs="Open Sans"/>
          <w:color w:val="000000"/>
        </w:rPr>
        <w:t>90</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 xml:space="preserve">), </w:t>
      </w:r>
      <w:r w:rsidR="00604EAC" w:rsidRPr="00604EAC">
        <w:rPr>
          <w:rFonts w:ascii="Open Sans" w:hAnsi="Open Sans" w:cs="Open Sans"/>
          <w:color w:val="000000"/>
        </w:rPr>
        <w:t xml:space="preserve">Comunitat Valenciana </w:t>
      </w:r>
      <w:r w:rsidR="00604EAC">
        <w:rPr>
          <w:rFonts w:ascii="Open Sans" w:hAnsi="Open Sans" w:cs="Open Sans"/>
          <w:color w:val="000000"/>
        </w:rPr>
        <w:t>con</w:t>
      </w:r>
      <w:r w:rsidR="00604EAC" w:rsidRPr="00604EAC">
        <w:rPr>
          <w:rFonts w:ascii="Open Sans" w:hAnsi="Open Sans" w:cs="Open Sans"/>
          <w:color w:val="000000"/>
        </w:rPr>
        <w:t xml:space="preserve"> </w:t>
      </w:r>
      <w:r w:rsidR="00604EAC">
        <w:rPr>
          <w:rFonts w:ascii="Open Sans" w:hAnsi="Open Sans" w:cs="Open Sans"/>
          <w:color w:val="000000"/>
        </w:rPr>
        <w:t>(</w:t>
      </w:r>
      <w:r w:rsidR="00604EAC" w:rsidRPr="00604EAC">
        <w:rPr>
          <w:rFonts w:ascii="Open Sans" w:hAnsi="Open Sans" w:cs="Open Sans"/>
          <w:color w:val="000000"/>
        </w:rPr>
        <w:t>1.6</w:t>
      </w:r>
      <w:r w:rsidR="000B5ADB">
        <w:rPr>
          <w:rFonts w:ascii="Open Sans" w:hAnsi="Open Sans" w:cs="Open Sans"/>
          <w:color w:val="000000"/>
        </w:rPr>
        <w:t>77</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Asturias </w:t>
      </w:r>
      <w:r w:rsidR="00604EAC">
        <w:rPr>
          <w:rFonts w:ascii="Open Sans" w:hAnsi="Open Sans" w:cs="Open Sans"/>
          <w:color w:val="000000"/>
        </w:rPr>
        <w:t>(</w:t>
      </w:r>
      <w:r w:rsidR="00604EAC" w:rsidRPr="00604EAC">
        <w:rPr>
          <w:rFonts w:ascii="Open Sans" w:hAnsi="Open Sans" w:cs="Open Sans"/>
          <w:color w:val="000000"/>
        </w:rPr>
        <w:t>1.6</w:t>
      </w:r>
      <w:r w:rsidR="000B5ADB">
        <w:rPr>
          <w:rFonts w:ascii="Open Sans" w:hAnsi="Open Sans" w:cs="Open Sans"/>
          <w:color w:val="000000"/>
        </w:rPr>
        <w:t>24</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La Rioja </w:t>
      </w:r>
      <w:r w:rsidR="00604EAC">
        <w:rPr>
          <w:rFonts w:ascii="Open Sans" w:hAnsi="Open Sans" w:cs="Open Sans"/>
          <w:color w:val="000000"/>
        </w:rPr>
        <w:t>(</w:t>
      </w:r>
      <w:r w:rsidR="00604EAC" w:rsidRPr="00604EAC">
        <w:rPr>
          <w:rFonts w:ascii="Open Sans" w:hAnsi="Open Sans" w:cs="Open Sans"/>
          <w:color w:val="000000"/>
        </w:rPr>
        <w:t>1.</w:t>
      </w:r>
      <w:r w:rsidR="000B5ADB">
        <w:rPr>
          <w:rFonts w:ascii="Open Sans" w:hAnsi="Open Sans" w:cs="Open Sans"/>
          <w:color w:val="000000"/>
        </w:rPr>
        <w:t>606</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Castilla y León </w:t>
      </w:r>
      <w:r w:rsidR="00604EAC">
        <w:rPr>
          <w:rFonts w:ascii="Open Sans" w:hAnsi="Open Sans" w:cs="Open Sans"/>
          <w:color w:val="000000"/>
        </w:rPr>
        <w:t>(</w:t>
      </w:r>
      <w:r w:rsidR="00604EAC" w:rsidRPr="00604EAC">
        <w:rPr>
          <w:rFonts w:ascii="Open Sans" w:hAnsi="Open Sans" w:cs="Open Sans"/>
          <w:color w:val="000000"/>
        </w:rPr>
        <w:t>1.46</w:t>
      </w:r>
      <w:r w:rsidR="000B5ADB">
        <w:rPr>
          <w:rFonts w:ascii="Open Sans" w:hAnsi="Open Sans" w:cs="Open Sans"/>
          <w:color w:val="000000"/>
        </w:rPr>
        <w:t>2</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604EAC" w:rsidRPr="00604EAC">
        <w:rPr>
          <w:rFonts w:ascii="Open Sans" w:hAnsi="Open Sans" w:cs="Open Sans"/>
          <w:color w:val="000000"/>
        </w:rPr>
        <w:t xml:space="preserve"> Región de Murcia </w:t>
      </w:r>
      <w:r w:rsidR="00604EAC">
        <w:rPr>
          <w:rFonts w:ascii="Open Sans" w:hAnsi="Open Sans" w:cs="Open Sans"/>
          <w:color w:val="000000"/>
        </w:rPr>
        <w:t>(</w:t>
      </w:r>
      <w:r w:rsidR="00604EAC" w:rsidRPr="00604EAC">
        <w:rPr>
          <w:rFonts w:ascii="Open Sans" w:hAnsi="Open Sans" w:cs="Open Sans"/>
          <w:color w:val="000000"/>
        </w:rPr>
        <w:t>1.2</w:t>
      </w:r>
      <w:r w:rsidR="000B5ADB">
        <w:rPr>
          <w:rFonts w:ascii="Open Sans" w:hAnsi="Open Sans" w:cs="Open Sans"/>
          <w:color w:val="000000"/>
        </w:rPr>
        <w:t>64</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r w:rsidR="000B5ADB">
        <w:rPr>
          <w:rFonts w:ascii="Open Sans" w:hAnsi="Open Sans" w:cs="Open Sans"/>
          <w:color w:val="000000"/>
        </w:rPr>
        <w:t>,</w:t>
      </w:r>
      <w:r w:rsidR="00604EAC">
        <w:rPr>
          <w:rFonts w:ascii="Open Sans" w:hAnsi="Open Sans" w:cs="Open Sans"/>
          <w:color w:val="000000"/>
        </w:rPr>
        <w:t xml:space="preserve"> </w:t>
      </w:r>
      <w:r w:rsidR="000B5ADB" w:rsidRPr="00604EAC">
        <w:rPr>
          <w:rFonts w:ascii="Open Sans" w:hAnsi="Open Sans" w:cs="Open Sans"/>
          <w:color w:val="000000"/>
        </w:rPr>
        <w:t xml:space="preserve">Extremadura </w:t>
      </w:r>
      <w:r w:rsidR="000B5ADB">
        <w:rPr>
          <w:rFonts w:ascii="Open Sans" w:hAnsi="Open Sans" w:cs="Open Sans"/>
          <w:color w:val="000000"/>
        </w:rPr>
        <w:t>(</w:t>
      </w:r>
      <w:r w:rsidR="000B5ADB" w:rsidRPr="00604EAC">
        <w:rPr>
          <w:rFonts w:ascii="Open Sans" w:hAnsi="Open Sans" w:cs="Open Sans"/>
          <w:color w:val="000000"/>
        </w:rPr>
        <w:t>1.2</w:t>
      </w:r>
      <w:r w:rsidR="000B5ADB">
        <w:rPr>
          <w:rFonts w:ascii="Open Sans" w:hAnsi="Open Sans" w:cs="Open Sans"/>
          <w:color w:val="000000"/>
        </w:rPr>
        <w:t>22</w:t>
      </w:r>
      <w:r w:rsidR="000B5ADB" w:rsidRPr="00604EAC">
        <w:rPr>
          <w:rFonts w:ascii="Open Sans" w:hAnsi="Open Sans" w:cs="Open Sans"/>
          <w:color w:val="000000"/>
        </w:rPr>
        <w:t xml:space="preserve"> </w:t>
      </w:r>
      <w:r w:rsidR="000B5ADB">
        <w:rPr>
          <w:rFonts w:ascii="Open Sans" w:hAnsi="Open Sans" w:cs="Open Sans"/>
          <w:color w:val="000000"/>
        </w:rPr>
        <w:t>euros</w:t>
      </w:r>
      <w:r w:rsidR="000B5ADB" w:rsidRPr="003D3C30">
        <w:rPr>
          <w:rFonts w:ascii="Open Sans" w:hAnsi="Open Sans" w:cs="Open Sans"/>
          <w:color w:val="000000"/>
        </w:rPr>
        <w:t>/m</w:t>
      </w:r>
      <w:r w:rsidR="000B5ADB" w:rsidRPr="003D3C30">
        <w:rPr>
          <w:rFonts w:ascii="Open Sans" w:hAnsi="Open Sans" w:cs="Open Sans"/>
          <w:color w:val="000000"/>
          <w:vertAlign w:val="superscript"/>
        </w:rPr>
        <w:t>2</w:t>
      </w:r>
      <w:r w:rsidR="000B5ADB">
        <w:rPr>
          <w:rFonts w:ascii="Open Sans" w:hAnsi="Open Sans" w:cs="Open Sans"/>
          <w:color w:val="000000"/>
        </w:rPr>
        <w:t xml:space="preserve">) </w:t>
      </w:r>
      <w:r w:rsidR="00604EAC">
        <w:rPr>
          <w:rFonts w:ascii="Open Sans" w:hAnsi="Open Sans" w:cs="Open Sans"/>
          <w:color w:val="000000"/>
        </w:rPr>
        <w:t>y</w:t>
      </w:r>
      <w:r w:rsidR="00604EAC" w:rsidRPr="00604EAC">
        <w:rPr>
          <w:rFonts w:ascii="Open Sans" w:hAnsi="Open Sans" w:cs="Open Sans"/>
          <w:color w:val="000000"/>
        </w:rPr>
        <w:t xml:space="preserve"> Castilla-La Mancha </w:t>
      </w:r>
      <w:r w:rsidR="00604EAC">
        <w:rPr>
          <w:rFonts w:ascii="Open Sans" w:hAnsi="Open Sans" w:cs="Open Sans"/>
          <w:color w:val="000000"/>
        </w:rPr>
        <w:t>(</w:t>
      </w:r>
      <w:r w:rsidR="00604EAC" w:rsidRPr="00604EAC">
        <w:rPr>
          <w:rFonts w:ascii="Open Sans" w:hAnsi="Open Sans" w:cs="Open Sans"/>
          <w:color w:val="000000"/>
        </w:rPr>
        <w:t>1.1</w:t>
      </w:r>
      <w:r w:rsidR="000B5ADB">
        <w:rPr>
          <w:rFonts w:ascii="Open Sans" w:hAnsi="Open Sans" w:cs="Open Sans"/>
          <w:color w:val="000000"/>
        </w:rPr>
        <w:t>77</w:t>
      </w:r>
      <w:r w:rsidR="00604EAC" w:rsidRPr="00604EAC">
        <w:rPr>
          <w:rFonts w:ascii="Open Sans" w:hAnsi="Open Sans" w:cs="Open Sans"/>
          <w:color w:val="000000"/>
        </w:rPr>
        <w:t xml:space="preserve"> </w:t>
      </w:r>
      <w:r w:rsidR="00604EAC">
        <w:rPr>
          <w:rFonts w:ascii="Open Sans" w:hAnsi="Open Sans" w:cs="Open Sans"/>
          <w:color w:val="000000"/>
        </w:rPr>
        <w:t>euros</w:t>
      </w:r>
      <w:r w:rsidR="00604EAC" w:rsidRPr="003D3C30">
        <w:rPr>
          <w:rFonts w:ascii="Open Sans" w:hAnsi="Open Sans" w:cs="Open Sans"/>
          <w:color w:val="000000"/>
        </w:rPr>
        <w:t>/m</w:t>
      </w:r>
      <w:r w:rsidR="00604EAC" w:rsidRPr="003D3C30">
        <w:rPr>
          <w:rFonts w:ascii="Open Sans" w:hAnsi="Open Sans" w:cs="Open Sans"/>
          <w:color w:val="000000"/>
          <w:vertAlign w:val="superscript"/>
        </w:rPr>
        <w:t>2</w:t>
      </w:r>
      <w:r w:rsidR="00604EAC">
        <w:rPr>
          <w:rFonts w:ascii="Open Sans" w:hAnsi="Open Sans" w:cs="Open Sans"/>
          <w:color w:val="000000"/>
        </w:rPr>
        <w:t>).</w:t>
      </w:r>
    </w:p>
    <w:p w14:paraId="7F133D21" w14:textId="77777777" w:rsidR="00450F6F" w:rsidRDefault="00450F6F" w:rsidP="00DC4348">
      <w:pPr>
        <w:spacing w:line="276" w:lineRule="auto"/>
        <w:ind w:right="-433"/>
        <w:jc w:val="center"/>
        <w:rPr>
          <w:rFonts w:ascii="Open Sans Light" w:hAnsi="Open Sans Light" w:cs="Open Sans Light"/>
          <w:b/>
          <w:iCs/>
          <w:color w:val="303AB2"/>
          <w:sz w:val="28"/>
          <w:szCs w:val="22"/>
        </w:rPr>
      </w:pPr>
    </w:p>
    <w:p w14:paraId="48B3AA53" w14:textId="5788464B" w:rsidR="00B369FC" w:rsidRDefault="005A4900" w:rsidP="00DC4348">
      <w:pPr>
        <w:spacing w:line="276" w:lineRule="auto"/>
        <w:ind w:right="-433"/>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Variaci</w:t>
      </w:r>
      <w:r>
        <w:rPr>
          <w:rFonts w:ascii="Open Sans Light" w:hAnsi="Open Sans Light" w:cs="Open Sans Light"/>
          <w:b/>
          <w:iCs/>
          <w:color w:val="303AB2"/>
          <w:sz w:val="28"/>
          <w:szCs w:val="22"/>
        </w:rPr>
        <w:t xml:space="preserve">ón </w:t>
      </w:r>
      <w:r w:rsidR="002F4A4C">
        <w:rPr>
          <w:rFonts w:ascii="Open Sans Light" w:hAnsi="Open Sans Light" w:cs="Open Sans Light"/>
          <w:b/>
          <w:iCs/>
          <w:color w:val="303AB2"/>
          <w:sz w:val="28"/>
          <w:szCs w:val="22"/>
        </w:rPr>
        <w:t xml:space="preserve">trimestral en el </w:t>
      </w:r>
      <w:r w:rsidR="000518FE">
        <w:rPr>
          <w:rFonts w:ascii="Open Sans Light" w:hAnsi="Open Sans Light" w:cs="Open Sans Light"/>
          <w:b/>
          <w:iCs/>
          <w:color w:val="303AB2"/>
          <w:sz w:val="28"/>
          <w:szCs w:val="22"/>
        </w:rPr>
        <w:t>segundo</w:t>
      </w:r>
      <w:r w:rsidR="002F4A4C">
        <w:rPr>
          <w:rFonts w:ascii="Open Sans Light" w:hAnsi="Open Sans Light" w:cs="Open Sans Light"/>
          <w:b/>
          <w:iCs/>
          <w:color w:val="303AB2"/>
          <w:sz w:val="28"/>
          <w:szCs w:val="22"/>
        </w:rPr>
        <w:t xml:space="preserve"> trimestre </w:t>
      </w:r>
      <w:r w:rsidR="00B369FC">
        <w:rPr>
          <w:rFonts w:ascii="Open Sans Light" w:hAnsi="Open Sans Light" w:cs="Open Sans Light"/>
          <w:b/>
          <w:iCs/>
          <w:color w:val="303AB2"/>
          <w:sz w:val="28"/>
          <w:szCs w:val="22"/>
        </w:rPr>
        <w:t>por CCAA</w:t>
      </w:r>
    </w:p>
    <w:p w14:paraId="601BC547" w14:textId="77777777" w:rsidR="006E693E" w:rsidRDefault="006E693E" w:rsidP="00DC4348">
      <w:pPr>
        <w:spacing w:line="276" w:lineRule="auto"/>
        <w:ind w:right="-433"/>
        <w:jc w:val="center"/>
        <w:rPr>
          <w:rFonts w:ascii="Open Sans" w:hAnsi="Open Sans" w:cs="Open Sans"/>
          <w:color w:val="000000"/>
        </w:rPr>
      </w:pPr>
    </w:p>
    <w:p w14:paraId="7B5D96C1" w14:textId="63F1F953" w:rsidR="000518FE" w:rsidRDefault="000518FE" w:rsidP="00DC4348">
      <w:pPr>
        <w:spacing w:line="276" w:lineRule="auto"/>
        <w:ind w:right="-433"/>
        <w:jc w:val="center"/>
        <w:rPr>
          <w:rFonts w:ascii="Open Sans" w:hAnsi="Open Sans" w:cs="Open Sans"/>
          <w:color w:val="000000"/>
        </w:rPr>
      </w:pPr>
      <w:r w:rsidRPr="000518FE">
        <w:rPr>
          <w:rFonts w:ascii="Open Sans" w:hAnsi="Open Sans" w:cs="Open Sans"/>
          <w:noProof/>
          <w:color w:val="000000"/>
        </w:rPr>
        <w:drawing>
          <wp:inline distT="0" distB="0" distL="0" distR="0" wp14:anchorId="54F6DB03" wp14:editId="22591212">
            <wp:extent cx="5396230" cy="3514725"/>
            <wp:effectExtent l="0" t="0" r="0" b="9525"/>
            <wp:docPr id="1239834610" name="Imagen 1"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34610" name="Imagen 1" descr="Gráfico, Gráfico de burbujas&#10;&#10;Descripción generada automáticamente"/>
                    <pic:cNvPicPr/>
                  </pic:nvPicPr>
                  <pic:blipFill>
                    <a:blip r:embed="rId15"/>
                    <a:stretch>
                      <a:fillRect/>
                    </a:stretch>
                  </pic:blipFill>
                  <pic:spPr>
                    <a:xfrm>
                      <a:off x="0" y="0"/>
                      <a:ext cx="5396230" cy="3514725"/>
                    </a:xfrm>
                    <a:prstGeom prst="rect">
                      <a:avLst/>
                    </a:prstGeom>
                  </pic:spPr>
                </pic:pic>
              </a:graphicData>
            </a:graphic>
          </wp:inline>
        </w:drawing>
      </w:r>
    </w:p>
    <w:p w14:paraId="43C8E771" w14:textId="77777777" w:rsidR="007B68FC" w:rsidRDefault="007B68FC" w:rsidP="00DC4348">
      <w:pPr>
        <w:spacing w:line="276" w:lineRule="auto"/>
        <w:ind w:right="-433"/>
        <w:jc w:val="center"/>
        <w:rPr>
          <w:rFonts w:ascii="Open Sans Light" w:hAnsi="Open Sans Light" w:cs="Open Sans Light"/>
          <w:b/>
          <w:iCs/>
          <w:color w:val="303AB2"/>
          <w:sz w:val="28"/>
          <w:szCs w:val="22"/>
        </w:rPr>
      </w:pPr>
    </w:p>
    <w:p w14:paraId="28A85540" w14:textId="5C21F661" w:rsidR="005C319D" w:rsidRDefault="005C319D" w:rsidP="00DC4348">
      <w:pPr>
        <w:spacing w:line="276" w:lineRule="auto"/>
        <w:ind w:right="-433"/>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sidR="005A4900">
        <w:rPr>
          <w:rFonts w:ascii="Open Sans Light" w:hAnsi="Open Sans Light" w:cs="Open Sans Light"/>
          <w:b/>
          <w:iCs/>
          <w:color w:val="303AB2"/>
          <w:sz w:val="28"/>
          <w:szCs w:val="22"/>
        </w:rPr>
        <w:t xml:space="preserve">en </w:t>
      </w:r>
      <w:r w:rsidR="002F4A4C">
        <w:rPr>
          <w:rFonts w:ascii="Open Sans Light" w:hAnsi="Open Sans Light" w:cs="Open Sans Light"/>
          <w:b/>
          <w:iCs/>
          <w:color w:val="303AB2"/>
          <w:sz w:val="28"/>
          <w:szCs w:val="22"/>
        </w:rPr>
        <w:t xml:space="preserve">el </w:t>
      </w:r>
      <w:r w:rsidR="00765A19">
        <w:rPr>
          <w:rFonts w:ascii="Open Sans Light" w:hAnsi="Open Sans Light" w:cs="Open Sans Light"/>
          <w:b/>
          <w:iCs/>
          <w:color w:val="303AB2"/>
          <w:sz w:val="28"/>
          <w:szCs w:val="22"/>
        </w:rPr>
        <w:t>segundo</w:t>
      </w:r>
      <w:r w:rsidR="005A4900">
        <w:rPr>
          <w:rFonts w:ascii="Open Sans Light" w:hAnsi="Open Sans Light" w:cs="Open Sans Light"/>
          <w:b/>
          <w:iCs/>
          <w:color w:val="303AB2"/>
          <w:sz w:val="28"/>
          <w:szCs w:val="22"/>
        </w:rPr>
        <w:t xml:space="preserve"> </w:t>
      </w:r>
      <w:r w:rsidR="002F4A4C">
        <w:rPr>
          <w:rFonts w:ascii="Open Sans Light" w:hAnsi="Open Sans Light" w:cs="Open Sans Light"/>
          <w:b/>
          <w:iCs/>
          <w:color w:val="303AB2"/>
          <w:sz w:val="28"/>
          <w:szCs w:val="22"/>
        </w:rPr>
        <w:t xml:space="preserve">trimestre </w:t>
      </w:r>
      <w:r>
        <w:rPr>
          <w:rFonts w:ascii="Open Sans Light" w:hAnsi="Open Sans Light" w:cs="Open Sans Light"/>
          <w:b/>
          <w:iCs/>
          <w:color w:val="303AB2"/>
          <w:sz w:val="28"/>
          <w:szCs w:val="22"/>
        </w:rPr>
        <w:t>por CCAA</w:t>
      </w:r>
    </w:p>
    <w:p w14:paraId="7E915B6C" w14:textId="0B59CBD9" w:rsidR="001D4675" w:rsidRDefault="00765A19" w:rsidP="00DC4348">
      <w:pPr>
        <w:spacing w:line="276" w:lineRule="auto"/>
        <w:ind w:right="-433"/>
        <w:jc w:val="center"/>
        <w:rPr>
          <w:rFonts w:ascii="Open Sans Light" w:hAnsi="Open Sans Light" w:cs="Open Sans Light"/>
          <w:b/>
          <w:iCs/>
          <w:color w:val="303AB2"/>
          <w:sz w:val="28"/>
          <w:szCs w:val="22"/>
        </w:rPr>
      </w:pPr>
      <w:r w:rsidRPr="00765A19">
        <w:rPr>
          <w:rFonts w:ascii="Open Sans Light" w:hAnsi="Open Sans Light" w:cs="Open Sans Light"/>
          <w:b/>
          <w:iCs/>
          <w:noProof/>
          <w:color w:val="303AB2"/>
          <w:sz w:val="28"/>
          <w:szCs w:val="22"/>
        </w:rPr>
        <w:drawing>
          <wp:inline distT="0" distB="0" distL="0" distR="0" wp14:anchorId="61DDDC0E" wp14:editId="0EEDEE05">
            <wp:extent cx="5396230" cy="3653790"/>
            <wp:effectExtent l="0" t="0" r="0" b="3810"/>
            <wp:docPr id="895182274" name="Imagen 1"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82274" name="Imagen 1" descr="Gráfico, Gráfico de burbujas&#10;&#10;Descripción generada automáticamente"/>
                    <pic:cNvPicPr/>
                  </pic:nvPicPr>
                  <pic:blipFill>
                    <a:blip r:embed="rId16"/>
                    <a:stretch>
                      <a:fillRect/>
                    </a:stretch>
                  </pic:blipFill>
                  <pic:spPr>
                    <a:xfrm>
                      <a:off x="0" y="0"/>
                      <a:ext cx="5396230" cy="3653790"/>
                    </a:xfrm>
                    <a:prstGeom prst="rect">
                      <a:avLst/>
                    </a:prstGeom>
                  </pic:spPr>
                </pic:pic>
              </a:graphicData>
            </a:graphic>
          </wp:inline>
        </w:drawing>
      </w:r>
    </w:p>
    <w:p w14:paraId="61377C4C" w14:textId="77777777" w:rsidR="005C319D" w:rsidRDefault="005C319D" w:rsidP="00DC4348">
      <w:pPr>
        <w:spacing w:line="276" w:lineRule="auto"/>
        <w:ind w:right="-433"/>
        <w:jc w:val="both"/>
        <w:rPr>
          <w:rFonts w:ascii="Open Sans" w:hAnsi="Open Sans" w:cs="Open Sans"/>
          <w:color w:val="000000"/>
        </w:rPr>
      </w:pPr>
    </w:p>
    <w:p w14:paraId="590D2C5D" w14:textId="77777777" w:rsidR="00B20DCA" w:rsidRDefault="00B20DCA" w:rsidP="00DC4348">
      <w:pPr>
        <w:pStyle w:val="NormalWeb"/>
        <w:shd w:val="clear" w:color="auto" w:fill="FFFFFF"/>
        <w:spacing w:after="225" w:line="276" w:lineRule="auto"/>
        <w:ind w:right="-433"/>
        <w:jc w:val="both"/>
        <w:rPr>
          <w:rFonts w:ascii="Open Sans Light" w:hAnsi="Open Sans Light" w:cs="Open Sans Light"/>
          <w:b/>
          <w:iCs/>
          <w:color w:val="303AB2"/>
          <w:sz w:val="28"/>
          <w:szCs w:val="22"/>
        </w:rPr>
      </w:pPr>
    </w:p>
    <w:p w14:paraId="451761B1" w14:textId="5D491DE8" w:rsidR="00131384" w:rsidRDefault="000561F0" w:rsidP="00DC4348">
      <w:pPr>
        <w:pStyle w:val="NormalWeb"/>
        <w:shd w:val="clear" w:color="auto" w:fill="FFFFFF"/>
        <w:spacing w:after="225" w:line="276" w:lineRule="auto"/>
        <w:ind w:right="-433"/>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w:t>
      </w:r>
    </w:p>
    <w:p w14:paraId="265B79F7" w14:textId="502EC524" w:rsidR="00523000" w:rsidRDefault="00E639C6" w:rsidP="00523000">
      <w:pPr>
        <w:spacing w:line="276" w:lineRule="auto"/>
        <w:ind w:right="-433"/>
        <w:jc w:val="both"/>
        <w:rPr>
          <w:rFonts w:ascii="Open Sans" w:hAnsi="Open Sans" w:cs="Open Sans"/>
          <w:color w:val="000000" w:themeColor="text1"/>
        </w:rPr>
      </w:pPr>
      <w:r>
        <w:rPr>
          <w:rFonts w:ascii="Open Sans" w:hAnsi="Open Sans" w:cs="Open Sans"/>
          <w:color w:val="000000"/>
        </w:rPr>
        <w:t>En las provincias</w:t>
      </w:r>
      <w:r w:rsidR="003A44BD">
        <w:rPr>
          <w:rFonts w:ascii="Open Sans" w:hAnsi="Open Sans" w:cs="Open Sans"/>
          <w:color w:val="000000"/>
        </w:rPr>
        <w:t>,</w:t>
      </w:r>
      <w:r>
        <w:rPr>
          <w:rFonts w:ascii="Open Sans" w:hAnsi="Open Sans" w:cs="Open Sans"/>
          <w:color w:val="000000"/>
        </w:rPr>
        <w:t xml:space="preserve"> este </w:t>
      </w:r>
      <w:r w:rsidR="000B5ADB">
        <w:rPr>
          <w:rFonts w:ascii="Open Sans" w:hAnsi="Open Sans" w:cs="Open Sans"/>
          <w:color w:val="000000"/>
        </w:rPr>
        <w:t>segundo</w:t>
      </w:r>
      <w:r>
        <w:rPr>
          <w:rFonts w:ascii="Open Sans" w:hAnsi="Open Sans" w:cs="Open Sans"/>
          <w:color w:val="000000"/>
        </w:rPr>
        <w:t xml:space="preserve"> trimestre de 202</w:t>
      </w:r>
      <w:r w:rsidR="001F7462">
        <w:rPr>
          <w:rFonts w:ascii="Open Sans" w:hAnsi="Open Sans" w:cs="Open Sans"/>
          <w:color w:val="000000"/>
        </w:rPr>
        <w:t>3</w:t>
      </w:r>
      <w:r>
        <w:rPr>
          <w:rFonts w:ascii="Open Sans" w:hAnsi="Open Sans" w:cs="Open Sans"/>
          <w:color w:val="000000"/>
        </w:rPr>
        <w:t xml:space="preserve"> se presenta con</w:t>
      </w:r>
      <w:r w:rsidR="00843C6D">
        <w:rPr>
          <w:rFonts w:ascii="Open Sans" w:hAnsi="Open Sans" w:cs="Open Sans"/>
          <w:color w:val="000000"/>
        </w:rPr>
        <w:t xml:space="preserve"> </w:t>
      </w:r>
      <w:r w:rsidR="00183A56">
        <w:rPr>
          <w:rFonts w:ascii="Open Sans" w:hAnsi="Open Sans" w:cs="Open Sans"/>
          <w:color w:val="000000"/>
        </w:rPr>
        <w:t>dos</w:t>
      </w:r>
      <w:r>
        <w:rPr>
          <w:rFonts w:ascii="Open Sans" w:hAnsi="Open Sans" w:cs="Open Sans"/>
          <w:color w:val="000000"/>
        </w:rPr>
        <w:t xml:space="preserve"> </w:t>
      </w:r>
      <w:r w:rsidR="00604EAC">
        <w:rPr>
          <w:rFonts w:ascii="Open Sans" w:hAnsi="Open Sans" w:cs="Open Sans"/>
          <w:color w:val="000000"/>
        </w:rPr>
        <w:t>subidas</w:t>
      </w:r>
      <w:r w:rsidR="00F951F9">
        <w:rPr>
          <w:rFonts w:ascii="Open Sans" w:hAnsi="Open Sans" w:cs="Open Sans"/>
          <w:color w:val="000000"/>
        </w:rPr>
        <w:t xml:space="preserve"> </w:t>
      </w:r>
      <w:r>
        <w:rPr>
          <w:rFonts w:ascii="Open Sans" w:hAnsi="Open Sans" w:cs="Open Sans"/>
          <w:color w:val="000000"/>
        </w:rPr>
        <w:t xml:space="preserve">trimestrales </w:t>
      </w:r>
      <w:r w:rsidR="00650468">
        <w:rPr>
          <w:rFonts w:ascii="Open Sans" w:hAnsi="Open Sans" w:cs="Open Sans"/>
          <w:color w:val="000000"/>
        </w:rPr>
        <w:t xml:space="preserve">y </w:t>
      </w:r>
      <w:r w:rsidR="001F1DE2">
        <w:rPr>
          <w:rFonts w:ascii="Open Sans" w:hAnsi="Open Sans" w:cs="Open Sans"/>
          <w:color w:val="000000"/>
        </w:rPr>
        <w:t>dos</w:t>
      </w:r>
      <w:r>
        <w:rPr>
          <w:rFonts w:ascii="Open Sans" w:hAnsi="Open Sans" w:cs="Open Sans"/>
          <w:color w:val="000000"/>
        </w:rPr>
        <w:t xml:space="preserve"> interanuales. </w:t>
      </w:r>
      <w:r w:rsidR="00152FDA">
        <w:rPr>
          <w:rFonts w:ascii="Open Sans" w:hAnsi="Open Sans" w:cs="Open Sans"/>
          <w:color w:val="000000" w:themeColor="text1"/>
        </w:rPr>
        <w:t>L</w:t>
      </w:r>
      <w:r w:rsidR="00650468">
        <w:rPr>
          <w:rFonts w:ascii="Open Sans" w:hAnsi="Open Sans" w:cs="Open Sans"/>
          <w:color w:val="000000" w:themeColor="text1"/>
        </w:rPr>
        <w:t>os incrementos de las</w:t>
      </w:r>
      <w:r w:rsidR="00152FDA">
        <w:rPr>
          <w:rFonts w:ascii="Open Sans" w:hAnsi="Open Sans" w:cs="Open Sans"/>
          <w:color w:val="000000" w:themeColor="text1"/>
        </w:rPr>
        <w:t xml:space="preserve"> provincias trimestrales son</w:t>
      </w:r>
      <w:r w:rsidR="00604EAC">
        <w:rPr>
          <w:rFonts w:ascii="Open Sans" w:hAnsi="Open Sans" w:cs="Open Sans"/>
          <w:color w:val="000000" w:themeColor="text1"/>
        </w:rPr>
        <w:t xml:space="preserve"> </w:t>
      </w:r>
      <w:r w:rsidR="001F1DE2" w:rsidRPr="001F1DE2">
        <w:rPr>
          <w:rFonts w:ascii="Open Sans" w:hAnsi="Open Sans" w:cs="Open Sans"/>
          <w:color w:val="000000" w:themeColor="text1"/>
        </w:rPr>
        <w:t>Santa Cruz de Tenerife</w:t>
      </w:r>
      <w:r w:rsidR="001F1DE2">
        <w:rPr>
          <w:rFonts w:ascii="Open Sans" w:hAnsi="Open Sans" w:cs="Open Sans"/>
          <w:color w:val="000000" w:themeColor="text1"/>
        </w:rPr>
        <w:t xml:space="preserve"> </w:t>
      </w:r>
      <w:r w:rsidR="00523000" w:rsidRPr="00942EF7">
        <w:rPr>
          <w:rFonts w:ascii="Open Sans" w:hAnsi="Open Sans" w:cs="Open Sans"/>
          <w:color w:val="000000" w:themeColor="text1"/>
        </w:rPr>
        <w:t>con</w:t>
      </w:r>
      <w:r w:rsidR="001F1DE2">
        <w:rPr>
          <w:rFonts w:ascii="Open Sans" w:hAnsi="Open Sans" w:cs="Open Sans"/>
          <w:color w:val="000000" w:themeColor="text1"/>
        </w:rPr>
        <w:t xml:space="preserve"> 7,6</w:t>
      </w:r>
      <w:r w:rsidR="00523000" w:rsidRPr="00523000">
        <w:rPr>
          <w:rFonts w:ascii="Open Sans" w:hAnsi="Open Sans" w:cs="Open Sans"/>
          <w:color w:val="000000" w:themeColor="text1"/>
        </w:rPr>
        <w:t>%</w:t>
      </w:r>
      <w:r w:rsidR="00183A56">
        <w:rPr>
          <w:rFonts w:ascii="Open Sans" w:hAnsi="Open Sans" w:cs="Open Sans"/>
          <w:color w:val="000000" w:themeColor="text1"/>
        </w:rPr>
        <w:t xml:space="preserve"> y </w:t>
      </w:r>
      <w:r w:rsidR="001F1DE2" w:rsidRPr="001F1DE2">
        <w:rPr>
          <w:rFonts w:ascii="Open Sans" w:hAnsi="Open Sans" w:cs="Open Sans"/>
          <w:color w:val="000000" w:themeColor="text1"/>
        </w:rPr>
        <w:t>Las Palmas</w:t>
      </w:r>
      <w:r w:rsidR="001F1DE2">
        <w:rPr>
          <w:rFonts w:ascii="Open Sans" w:hAnsi="Open Sans" w:cs="Open Sans"/>
          <w:color w:val="000000" w:themeColor="text1"/>
        </w:rPr>
        <w:t xml:space="preserve"> </w:t>
      </w:r>
      <w:r w:rsidR="00523000" w:rsidRPr="00942EF7">
        <w:rPr>
          <w:rFonts w:ascii="Open Sans" w:hAnsi="Open Sans" w:cs="Open Sans"/>
          <w:color w:val="000000" w:themeColor="text1"/>
        </w:rPr>
        <w:t xml:space="preserve">con </w:t>
      </w:r>
      <w:r w:rsidR="001F1DE2">
        <w:rPr>
          <w:rFonts w:ascii="Open Sans" w:hAnsi="Open Sans" w:cs="Open Sans"/>
          <w:color w:val="000000" w:themeColor="text1"/>
        </w:rPr>
        <w:t>5,4</w:t>
      </w:r>
      <w:r w:rsidR="00523000" w:rsidRPr="00523000">
        <w:rPr>
          <w:rFonts w:ascii="Open Sans" w:hAnsi="Open Sans" w:cs="Open Sans"/>
          <w:color w:val="000000" w:themeColor="text1"/>
        </w:rPr>
        <w:t>%</w:t>
      </w:r>
      <w:r w:rsidR="00523000">
        <w:rPr>
          <w:rFonts w:ascii="Open Sans" w:hAnsi="Open Sans" w:cs="Open Sans"/>
          <w:color w:val="000000" w:themeColor="text1"/>
        </w:rPr>
        <w:t>.</w:t>
      </w:r>
    </w:p>
    <w:p w14:paraId="7D0B484A" w14:textId="77777777" w:rsidR="00843C6D" w:rsidRDefault="00843C6D" w:rsidP="00DC4348">
      <w:pPr>
        <w:spacing w:line="276" w:lineRule="auto"/>
        <w:ind w:right="-433"/>
        <w:jc w:val="both"/>
        <w:rPr>
          <w:rFonts w:ascii="Open Sans" w:hAnsi="Open Sans" w:cs="Open Sans"/>
          <w:color w:val="000000"/>
        </w:rPr>
      </w:pPr>
    </w:p>
    <w:p w14:paraId="5FCD2ADF" w14:textId="4D24F8FE" w:rsidR="00FB5BD1" w:rsidRDefault="009E0747" w:rsidP="00FB5BD1">
      <w:pPr>
        <w:spacing w:line="276" w:lineRule="auto"/>
        <w:ind w:right="-433"/>
        <w:jc w:val="both"/>
        <w:rPr>
          <w:rFonts w:ascii="Open Sans" w:hAnsi="Open Sans" w:cs="Open Sans"/>
          <w:color w:val="000000"/>
        </w:rPr>
      </w:pPr>
      <w:r>
        <w:rPr>
          <w:rFonts w:ascii="Open Sans" w:hAnsi="Open Sans" w:cs="Open Sans"/>
          <w:color w:val="000000"/>
        </w:rPr>
        <w:t xml:space="preserve">El orden de las provincias con el precio de la vivienda más elevado es </w:t>
      </w:r>
      <w:r w:rsidR="001F1DE2" w:rsidRPr="001F1DE2">
        <w:rPr>
          <w:rFonts w:ascii="Open Sans" w:hAnsi="Open Sans" w:cs="Open Sans"/>
          <w:color w:val="000000"/>
        </w:rPr>
        <w:t>Santa Cruz de Tenerife</w:t>
      </w:r>
      <w:r w:rsidR="001F1DE2">
        <w:rPr>
          <w:rFonts w:ascii="Open Sans" w:hAnsi="Open Sans" w:cs="Open Sans"/>
          <w:color w:val="000000"/>
        </w:rPr>
        <w:t xml:space="preserve"> </w:t>
      </w:r>
      <w:r w:rsidR="00361F83">
        <w:rPr>
          <w:rFonts w:ascii="Open Sans" w:hAnsi="Open Sans" w:cs="Open Sans"/>
          <w:color w:val="000000"/>
        </w:rPr>
        <w:t>con</w:t>
      </w:r>
      <w:r w:rsidR="00361F83" w:rsidRPr="00361F83">
        <w:rPr>
          <w:rFonts w:ascii="Open Sans" w:hAnsi="Open Sans" w:cs="Open Sans"/>
          <w:color w:val="000000"/>
        </w:rPr>
        <w:t xml:space="preserve"> </w:t>
      </w:r>
      <w:r w:rsidR="001F1DE2">
        <w:rPr>
          <w:rFonts w:ascii="Open Sans" w:hAnsi="Open Sans" w:cs="Open Sans"/>
          <w:color w:val="000000"/>
        </w:rPr>
        <w:t>2.358</w:t>
      </w:r>
      <w:r w:rsidR="00FB5BD1">
        <w:rPr>
          <w:rFonts w:ascii="Open Sans" w:hAnsi="Open Sans" w:cs="Open Sans"/>
          <w:color w:val="000000"/>
        </w:rPr>
        <w:t xml:space="preserve"> </w:t>
      </w:r>
      <w:r w:rsidR="00361F83">
        <w:rPr>
          <w:rFonts w:ascii="Open Sans" w:hAnsi="Open Sans" w:cs="Open Sans"/>
          <w:color w:val="000000"/>
        </w:rPr>
        <w:t>euros</w:t>
      </w:r>
      <w:r w:rsidR="00361F83" w:rsidRPr="003D3C30">
        <w:rPr>
          <w:rFonts w:ascii="Open Sans" w:hAnsi="Open Sans" w:cs="Open Sans"/>
          <w:color w:val="000000"/>
        </w:rPr>
        <w:t>/m</w:t>
      </w:r>
      <w:r w:rsidR="00361F83" w:rsidRPr="003D3C30">
        <w:rPr>
          <w:rFonts w:ascii="Open Sans" w:hAnsi="Open Sans" w:cs="Open Sans"/>
          <w:color w:val="000000"/>
          <w:vertAlign w:val="superscript"/>
        </w:rPr>
        <w:t>2</w:t>
      </w:r>
      <w:r w:rsidR="00361F83" w:rsidRPr="009E0747">
        <w:rPr>
          <w:rFonts w:ascii="Open Sans" w:hAnsi="Open Sans" w:cs="Open Sans"/>
          <w:color w:val="000000"/>
        </w:rPr>
        <w:t>,</w:t>
      </w:r>
      <w:r w:rsidR="00361F83">
        <w:rPr>
          <w:rFonts w:ascii="Open Sans" w:hAnsi="Open Sans" w:cs="Open Sans"/>
          <w:color w:val="000000"/>
        </w:rPr>
        <w:t xml:space="preserve"> </w:t>
      </w:r>
      <w:r w:rsidR="00A80D9C">
        <w:rPr>
          <w:rFonts w:ascii="Open Sans" w:hAnsi="Open Sans" w:cs="Open Sans"/>
          <w:color w:val="000000"/>
        </w:rPr>
        <w:t xml:space="preserve">seguido de </w:t>
      </w:r>
      <w:r w:rsidR="001F1DE2" w:rsidRPr="001F1DE2">
        <w:rPr>
          <w:rFonts w:ascii="Open Sans" w:hAnsi="Open Sans" w:cs="Open Sans"/>
          <w:color w:val="000000"/>
        </w:rPr>
        <w:t>Las Palmas</w:t>
      </w:r>
      <w:r w:rsidR="001F1DE2">
        <w:rPr>
          <w:rFonts w:ascii="Open Sans" w:hAnsi="Open Sans" w:cs="Open Sans"/>
          <w:color w:val="000000"/>
        </w:rPr>
        <w:t xml:space="preserve"> </w:t>
      </w:r>
      <w:r w:rsidR="00FB5BD1">
        <w:rPr>
          <w:rFonts w:ascii="Open Sans" w:hAnsi="Open Sans" w:cs="Open Sans"/>
          <w:color w:val="000000"/>
        </w:rPr>
        <w:t>con</w:t>
      </w:r>
      <w:r w:rsidR="00FB5BD1" w:rsidRPr="00FB5BD1">
        <w:rPr>
          <w:rFonts w:ascii="Open Sans" w:hAnsi="Open Sans" w:cs="Open Sans"/>
          <w:color w:val="000000"/>
        </w:rPr>
        <w:t xml:space="preserve"> </w:t>
      </w:r>
      <w:r w:rsidR="00183A56">
        <w:rPr>
          <w:rFonts w:ascii="Open Sans" w:hAnsi="Open Sans" w:cs="Open Sans"/>
          <w:color w:val="000000"/>
        </w:rPr>
        <w:t>2.</w:t>
      </w:r>
      <w:r w:rsidR="001F1DE2">
        <w:rPr>
          <w:rFonts w:ascii="Open Sans" w:hAnsi="Open Sans" w:cs="Open Sans"/>
          <w:color w:val="000000"/>
        </w:rPr>
        <w:t>003</w:t>
      </w:r>
      <w:r w:rsidR="00FB5BD1" w:rsidRPr="00FB5BD1">
        <w:rPr>
          <w:rFonts w:ascii="Open Sans" w:hAnsi="Open Sans" w:cs="Open Sans"/>
          <w:color w:val="000000"/>
        </w:rPr>
        <w:t xml:space="preserve"> </w:t>
      </w:r>
      <w:r w:rsidR="00FB5BD1">
        <w:rPr>
          <w:rFonts w:ascii="Open Sans" w:hAnsi="Open Sans" w:cs="Open Sans"/>
          <w:color w:val="000000"/>
        </w:rPr>
        <w:t>euros</w:t>
      </w:r>
      <w:r w:rsidR="00FB5BD1" w:rsidRPr="003D3C30">
        <w:rPr>
          <w:rFonts w:ascii="Open Sans" w:hAnsi="Open Sans" w:cs="Open Sans"/>
          <w:color w:val="000000"/>
        </w:rPr>
        <w:t>/m</w:t>
      </w:r>
      <w:r w:rsidR="00FB5BD1" w:rsidRPr="003D3C30">
        <w:rPr>
          <w:rFonts w:ascii="Open Sans" w:hAnsi="Open Sans" w:cs="Open Sans"/>
          <w:color w:val="000000"/>
          <w:vertAlign w:val="superscript"/>
        </w:rPr>
        <w:t>2</w:t>
      </w:r>
      <w:r w:rsidR="00FB5BD1">
        <w:rPr>
          <w:rFonts w:ascii="Open Sans" w:hAnsi="Open Sans" w:cs="Open Sans"/>
          <w:color w:val="000000"/>
        </w:rPr>
        <w:t>.</w:t>
      </w:r>
    </w:p>
    <w:p w14:paraId="696C1B8F" w14:textId="77777777" w:rsidR="00B20DCA" w:rsidRDefault="00B20DCA" w:rsidP="00FB5BD1">
      <w:pPr>
        <w:spacing w:line="276" w:lineRule="auto"/>
        <w:ind w:right="-433"/>
        <w:jc w:val="both"/>
        <w:rPr>
          <w:rFonts w:ascii="Open Sans" w:hAnsi="Open Sans" w:cs="Open Sans"/>
          <w:color w:val="000000"/>
        </w:rPr>
      </w:pPr>
    </w:p>
    <w:p w14:paraId="4A299BD6" w14:textId="77777777" w:rsidR="00B20DCA" w:rsidRDefault="00B20DCA" w:rsidP="00FB5BD1">
      <w:pPr>
        <w:spacing w:line="276" w:lineRule="auto"/>
        <w:ind w:right="-433"/>
        <w:jc w:val="both"/>
        <w:rPr>
          <w:rFonts w:ascii="Open Sans" w:hAnsi="Open Sans" w:cs="Open Sans"/>
          <w:color w:val="000000"/>
        </w:rPr>
      </w:pPr>
    </w:p>
    <w:p w14:paraId="3CAF74F5" w14:textId="77777777" w:rsidR="00B20DCA" w:rsidRDefault="00B20DCA" w:rsidP="00FB5BD1">
      <w:pPr>
        <w:spacing w:line="276" w:lineRule="auto"/>
        <w:ind w:right="-433"/>
        <w:jc w:val="both"/>
        <w:rPr>
          <w:rFonts w:ascii="Open Sans" w:hAnsi="Open Sans" w:cs="Open Sans"/>
          <w:color w:val="000000"/>
        </w:rPr>
      </w:pPr>
    </w:p>
    <w:p w14:paraId="0FCCACF9" w14:textId="77777777" w:rsidR="00B20DCA" w:rsidRDefault="00B20DCA" w:rsidP="00FB5BD1">
      <w:pPr>
        <w:spacing w:line="276" w:lineRule="auto"/>
        <w:ind w:right="-433"/>
        <w:jc w:val="both"/>
        <w:rPr>
          <w:rFonts w:ascii="Open Sans" w:hAnsi="Open Sans" w:cs="Open Sans"/>
          <w:color w:val="000000"/>
        </w:rPr>
      </w:pPr>
    </w:p>
    <w:p w14:paraId="43035CE3" w14:textId="77777777" w:rsidR="00B20DCA" w:rsidRDefault="00B20DCA" w:rsidP="00FB5BD1">
      <w:pPr>
        <w:spacing w:line="276" w:lineRule="auto"/>
        <w:ind w:right="-433"/>
        <w:jc w:val="both"/>
        <w:rPr>
          <w:rFonts w:ascii="Open Sans" w:hAnsi="Open Sans" w:cs="Open Sans"/>
          <w:color w:val="000000"/>
        </w:rPr>
      </w:pPr>
    </w:p>
    <w:p w14:paraId="2E1DD2F0" w14:textId="77777777" w:rsidR="00B20DCA" w:rsidRDefault="00B20DCA" w:rsidP="00FB5BD1">
      <w:pPr>
        <w:spacing w:line="276" w:lineRule="auto"/>
        <w:ind w:right="-433"/>
        <w:jc w:val="both"/>
        <w:rPr>
          <w:rFonts w:ascii="Open Sans" w:hAnsi="Open Sans" w:cs="Open Sans"/>
          <w:color w:val="000000"/>
        </w:rPr>
      </w:pPr>
    </w:p>
    <w:p w14:paraId="212FB9A2" w14:textId="77777777" w:rsidR="00B20DCA" w:rsidRDefault="00B20DCA" w:rsidP="00FB5BD1">
      <w:pPr>
        <w:spacing w:line="276" w:lineRule="auto"/>
        <w:ind w:right="-433"/>
        <w:jc w:val="both"/>
        <w:rPr>
          <w:rFonts w:ascii="Open Sans" w:hAnsi="Open Sans" w:cs="Open Sans"/>
          <w:color w:val="000000"/>
        </w:rPr>
      </w:pPr>
    </w:p>
    <w:p w14:paraId="476C2745" w14:textId="77777777" w:rsidR="00B20DCA" w:rsidRPr="00FB5BD1" w:rsidRDefault="00B20DCA" w:rsidP="00FB5BD1">
      <w:pPr>
        <w:spacing w:line="276" w:lineRule="auto"/>
        <w:ind w:right="-433"/>
        <w:jc w:val="both"/>
        <w:rPr>
          <w:rFonts w:ascii="Open Sans" w:hAnsi="Open Sans" w:cs="Open Sans"/>
          <w:color w:val="000000"/>
        </w:rPr>
      </w:pPr>
    </w:p>
    <w:p w14:paraId="694E6B18" w14:textId="1D85CD5A" w:rsidR="00A80D9C" w:rsidRDefault="00FB5BD1" w:rsidP="00216B33">
      <w:pPr>
        <w:spacing w:line="276" w:lineRule="auto"/>
        <w:ind w:right="-433"/>
        <w:jc w:val="both"/>
        <w:rPr>
          <w:rFonts w:ascii="Open Sans" w:hAnsi="Open Sans" w:cs="Open Sans"/>
          <w:color w:val="000000"/>
        </w:rPr>
      </w:pPr>
      <w:r w:rsidRPr="00FB5BD1">
        <w:rPr>
          <w:rFonts w:ascii="Open Sans" w:hAnsi="Open Sans" w:cs="Open Sans"/>
          <w:color w:val="000000"/>
        </w:rPr>
        <w:tab/>
        <w:t xml:space="preserve"> </w:t>
      </w:r>
    </w:p>
    <w:p w14:paraId="6DD05F0A" w14:textId="1B2B6CFE" w:rsidR="00B369FC" w:rsidRPr="00B20DCA" w:rsidRDefault="00836C8C" w:rsidP="00B20DCA">
      <w:pPr>
        <w:spacing w:line="276" w:lineRule="auto"/>
        <w:ind w:right="-433"/>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Variaci</w:t>
      </w:r>
      <w:r>
        <w:rPr>
          <w:rFonts w:ascii="Open Sans Light" w:hAnsi="Open Sans Light" w:cs="Open Sans Light"/>
          <w:b/>
          <w:iCs/>
          <w:color w:val="303AB2"/>
          <w:sz w:val="28"/>
          <w:szCs w:val="22"/>
        </w:rPr>
        <w:t xml:space="preserve">ón </w:t>
      </w:r>
      <w:r w:rsidR="004E52F2">
        <w:rPr>
          <w:rFonts w:ascii="Open Sans Light" w:hAnsi="Open Sans Light" w:cs="Open Sans Light"/>
          <w:b/>
          <w:iCs/>
          <w:color w:val="303AB2"/>
          <w:sz w:val="28"/>
          <w:szCs w:val="22"/>
        </w:rPr>
        <w:t>trimestral</w:t>
      </w:r>
      <w:r>
        <w:rPr>
          <w:rFonts w:ascii="Open Sans Light" w:hAnsi="Open Sans Light" w:cs="Open Sans Light"/>
          <w:b/>
          <w:iCs/>
          <w:color w:val="303AB2"/>
          <w:sz w:val="28"/>
          <w:szCs w:val="22"/>
        </w:rPr>
        <w:t xml:space="preserve"> en el </w:t>
      </w:r>
      <w:r w:rsidR="00765A19">
        <w:rPr>
          <w:rFonts w:ascii="Open Sans Light" w:hAnsi="Open Sans Light" w:cs="Open Sans Light"/>
          <w:b/>
          <w:iCs/>
          <w:color w:val="303AB2"/>
          <w:sz w:val="28"/>
          <w:szCs w:val="22"/>
        </w:rPr>
        <w:t>segundo</w:t>
      </w:r>
      <w:r>
        <w:rPr>
          <w:rFonts w:ascii="Open Sans Light" w:hAnsi="Open Sans Light" w:cs="Open Sans Light"/>
          <w:b/>
          <w:iCs/>
          <w:color w:val="303AB2"/>
          <w:sz w:val="28"/>
          <w:szCs w:val="22"/>
        </w:rPr>
        <w:t xml:space="preserve"> </w:t>
      </w:r>
      <w:r w:rsidR="002B40F5">
        <w:rPr>
          <w:rFonts w:ascii="Open Sans Light" w:hAnsi="Open Sans Light" w:cs="Open Sans Light"/>
          <w:b/>
          <w:iCs/>
          <w:color w:val="303AB2"/>
          <w:sz w:val="28"/>
          <w:szCs w:val="22"/>
        </w:rPr>
        <w:t>trimestre</w:t>
      </w:r>
      <w:r>
        <w:rPr>
          <w:rFonts w:ascii="Open Sans Light" w:hAnsi="Open Sans Light" w:cs="Open Sans Light"/>
          <w:b/>
          <w:iCs/>
          <w:color w:val="303AB2"/>
          <w:sz w:val="28"/>
          <w:szCs w:val="22"/>
        </w:rPr>
        <w:t xml:space="preserve"> por </w:t>
      </w:r>
      <w:r w:rsidR="00B369FC">
        <w:rPr>
          <w:rFonts w:ascii="Open Sans Light" w:hAnsi="Open Sans Light" w:cs="Open Sans Light"/>
          <w:b/>
          <w:iCs/>
          <w:color w:val="303AB2"/>
          <w:sz w:val="28"/>
          <w:szCs w:val="22"/>
        </w:rPr>
        <w:t>provincias</w:t>
      </w:r>
    </w:p>
    <w:p w14:paraId="7AFB3AB1" w14:textId="6C010777" w:rsidR="005C319D" w:rsidRDefault="00765A19" w:rsidP="00B20DCA">
      <w:pPr>
        <w:spacing w:line="276" w:lineRule="auto"/>
        <w:ind w:right="-433"/>
        <w:jc w:val="center"/>
        <w:rPr>
          <w:rFonts w:ascii="Open Sans" w:hAnsi="Open Sans" w:cs="Open Sans"/>
          <w:color w:val="000000"/>
        </w:rPr>
      </w:pPr>
      <w:r w:rsidRPr="00765A19">
        <w:rPr>
          <w:rFonts w:ascii="Open Sans" w:hAnsi="Open Sans" w:cs="Open Sans"/>
          <w:noProof/>
          <w:color w:val="000000"/>
        </w:rPr>
        <w:drawing>
          <wp:inline distT="0" distB="0" distL="0" distR="0" wp14:anchorId="4151A5C0" wp14:editId="6BA548F1">
            <wp:extent cx="5396230" cy="4016375"/>
            <wp:effectExtent l="0" t="0" r="0" b="3175"/>
            <wp:docPr id="2100757518"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57518" name="Imagen 1" descr="Gráfico&#10;&#10;Descripción generada automáticamente con confianza media"/>
                    <pic:cNvPicPr/>
                  </pic:nvPicPr>
                  <pic:blipFill>
                    <a:blip r:embed="rId17"/>
                    <a:stretch>
                      <a:fillRect/>
                    </a:stretch>
                  </pic:blipFill>
                  <pic:spPr>
                    <a:xfrm>
                      <a:off x="0" y="0"/>
                      <a:ext cx="5396230" cy="4016375"/>
                    </a:xfrm>
                    <a:prstGeom prst="rect">
                      <a:avLst/>
                    </a:prstGeom>
                  </pic:spPr>
                </pic:pic>
              </a:graphicData>
            </a:graphic>
          </wp:inline>
        </w:drawing>
      </w:r>
    </w:p>
    <w:p w14:paraId="7B33A0F2" w14:textId="7E884D19" w:rsidR="005C319D" w:rsidRPr="00B20DCA" w:rsidRDefault="00836C8C" w:rsidP="00B20DCA">
      <w:pPr>
        <w:spacing w:line="276" w:lineRule="auto"/>
        <w:ind w:right="-433"/>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en el </w:t>
      </w:r>
      <w:r w:rsidR="00F50B55">
        <w:rPr>
          <w:rFonts w:ascii="Open Sans Light" w:hAnsi="Open Sans Light" w:cs="Open Sans Light"/>
          <w:b/>
          <w:iCs/>
          <w:color w:val="303AB2"/>
          <w:sz w:val="28"/>
          <w:szCs w:val="22"/>
        </w:rPr>
        <w:t>segundo</w:t>
      </w:r>
      <w:r>
        <w:rPr>
          <w:rFonts w:ascii="Open Sans Light" w:hAnsi="Open Sans Light" w:cs="Open Sans Light"/>
          <w:b/>
          <w:iCs/>
          <w:color w:val="303AB2"/>
          <w:sz w:val="28"/>
          <w:szCs w:val="22"/>
        </w:rPr>
        <w:t xml:space="preserve"> </w:t>
      </w:r>
      <w:r w:rsidR="002B40F5">
        <w:rPr>
          <w:rFonts w:ascii="Open Sans Light" w:hAnsi="Open Sans Light" w:cs="Open Sans Light"/>
          <w:b/>
          <w:iCs/>
          <w:color w:val="303AB2"/>
          <w:sz w:val="28"/>
          <w:szCs w:val="22"/>
        </w:rPr>
        <w:t>trimestre</w:t>
      </w:r>
      <w:r>
        <w:rPr>
          <w:rFonts w:ascii="Open Sans Light" w:hAnsi="Open Sans Light" w:cs="Open Sans Light"/>
          <w:b/>
          <w:iCs/>
          <w:color w:val="303AB2"/>
          <w:sz w:val="28"/>
          <w:szCs w:val="22"/>
        </w:rPr>
        <w:t xml:space="preserve"> </w:t>
      </w:r>
      <w:bookmarkStart w:id="0" w:name="_Hlk68445714"/>
      <w:r w:rsidR="000C3F40">
        <w:rPr>
          <w:rFonts w:ascii="Open Sans Light" w:hAnsi="Open Sans Light" w:cs="Open Sans Light"/>
          <w:b/>
          <w:iCs/>
          <w:color w:val="303AB2"/>
          <w:sz w:val="28"/>
          <w:szCs w:val="22"/>
        </w:rPr>
        <w:t xml:space="preserve">por </w:t>
      </w:r>
      <w:bookmarkEnd w:id="0"/>
      <w:r w:rsidR="005C319D">
        <w:rPr>
          <w:rFonts w:ascii="Open Sans Light" w:hAnsi="Open Sans Light" w:cs="Open Sans Light"/>
          <w:b/>
          <w:iCs/>
          <w:color w:val="303AB2"/>
          <w:sz w:val="28"/>
          <w:szCs w:val="22"/>
        </w:rPr>
        <w:t>provincia</w:t>
      </w:r>
    </w:p>
    <w:p w14:paraId="2AD6FD3E" w14:textId="07A9FECC" w:rsidR="00422A2D" w:rsidRPr="009E0905" w:rsidRDefault="00F50B55" w:rsidP="00DC4348">
      <w:pPr>
        <w:spacing w:line="276" w:lineRule="auto"/>
        <w:ind w:right="-433"/>
        <w:jc w:val="center"/>
        <w:rPr>
          <w:rFonts w:ascii="Open Sans" w:hAnsi="Open Sans" w:cs="Open Sans"/>
          <w:color w:val="000000"/>
        </w:rPr>
      </w:pPr>
      <w:r w:rsidRPr="00F50B55">
        <w:rPr>
          <w:rFonts w:ascii="Open Sans" w:hAnsi="Open Sans" w:cs="Open Sans"/>
          <w:noProof/>
          <w:color w:val="000000"/>
        </w:rPr>
        <w:drawing>
          <wp:inline distT="0" distB="0" distL="0" distR="0" wp14:anchorId="5DC61105" wp14:editId="1FA09D92">
            <wp:extent cx="5396230" cy="4206240"/>
            <wp:effectExtent l="0" t="0" r="0" b="3810"/>
            <wp:docPr id="331881903" name="Imagen 1"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81903" name="Imagen 1" descr="Gráfico, Gráfico de burbujas&#10;&#10;Descripción generada automáticamente"/>
                    <pic:cNvPicPr/>
                  </pic:nvPicPr>
                  <pic:blipFill>
                    <a:blip r:embed="rId18"/>
                    <a:stretch>
                      <a:fillRect/>
                    </a:stretch>
                  </pic:blipFill>
                  <pic:spPr>
                    <a:xfrm>
                      <a:off x="0" y="0"/>
                      <a:ext cx="5396230" cy="4206240"/>
                    </a:xfrm>
                    <a:prstGeom prst="rect">
                      <a:avLst/>
                    </a:prstGeom>
                  </pic:spPr>
                </pic:pic>
              </a:graphicData>
            </a:graphic>
          </wp:inline>
        </w:drawing>
      </w:r>
    </w:p>
    <w:p w14:paraId="2FA50BFB" w14:textId="3B0726CF" w:rsidR="005C319D" w:rsidRDefault="000C3F40" w:rsidP="00DC4348">
      <w:pPr>
        <w:spacing w:line="276" w:lineRule="auto"/>
        <w:ind w:right="-433"/>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Variaci</w:t>
      </w:r>
      <w:r>
        <w:rPr>
          <w:rFonts w:ascii="Open Sans Light" w:hAnsi="Open Sans Light" w:cs="Open Sans Light"/>
          <w:b/>
          <w:iCs/>
          <w:color w:val="303AB2"/>
          <w:sz w:val="28"/>
          <w:szCs w:val="22"/>
        </w:rPr>
        <w:t xml:space="preserve">ón </w:t>
      </w:r>
      <w:r w:rsidR="004E52F2">
        <w:rPr>
          <w:rFonts w:ascii="Open Sans Light" w:hAnsi="Open Sans Light" w:cs="Open Sans Light"/>
          <w:b/>
          <w:iCs/>
          <w:color w:val="303AB2"/>
          <w:sz w:val="28"/>
          <w:szCs w:val="22"/>
        </w:rPr>
        <w:t>trimestral</w:t>
      </w:r>
      <w:r>
        <w:rPr>
          <w:rFonts w:ascii="Open Sans Light" w:hAnsi="Open Sans Light" w:cs="Open Sans Light"/>
          <w:b/>
          <w:iCs/>
          <w:color w:val="303AB2"/>
          <w:sz w:val="28"/>
          <w:szCs w:val="22"/>
        </w:rPr>
        <w:t xml:space="preserve"> en el </w:t>
      </w:r>
      <w:r w:rsidR="00FA73A6">
        <w:rPr>
          <w:rFonts w:ascii="Open Sans Light" w:hAnsi="Open Sans Light" w:cs="Open Sans Light"/>
          <w:b/>
          <w:iCs/>
          <w:color w:val="303AB2"/>
          <w:sz w:val="28"/>
          <w:szCs w:val="22"/>
        </w:rPr>
        <w:t>segundo</w:t>
      </w:r>
      <w:r>
        <w:rPr>
          <w:rFonts w:ascii="Open Sans Light" w:hAnsi="Open Sans Light" w:cs="Open Sans Light"/>
          <w:b/>
          <w:iCs/>
          <w:color w:val="303AB2"/>
          <w:sz w:val="28"/>
          <w:szCs w:val="22"/>
        </w:rPr>
        <w:t xml:space="preserve"> </w:t>
      </w:r>
      <w:r w:rsidR="00D8013F">
        <w:rPr>
          <w:rFonts w:ascii="Open Sans Light" w:hAnsi="Open Sans Light" w:cs="Open Sans Light"/>
          <w:b/>
          <w:iCs/>
          <w:color w:val="303AB2"/>
          <w:sz w:val="28"/>
          <w:szCs w:val="22"/>
        </w:rPr>
        <w:t xml:space="preserve">trimestre </w:t>
      </w:r>
      <w:r>
        <w:rPr>
          <w:rFonts w:ascii="Open Sans Light" w:hAnsi="Open Sans Light" w:cs="Open Sans Light"/>
          <w:b/>
          <w:iCs/>
          <w:color w:val="303AB2"/>
          <w:sz w:val="28"/>
          <w:szCs w:val="22"/>
        </w:rPr>
        <w:t xml:space="preserve">por </w:t>
      </w:r>
      <w:r w:rsidR="005C319D">
        <w:rPr>
          <w:rFonts w:ascii="Open Sans Light" w:hAnsi="Open Sans Light" w:cs="Open Sans Light"/>
          <w:b/>
          <w:iCs/>
          <w:color w:val="303AB2"/>
          <w:sz w:val="28"/>
          <w:szCs w:val="22"/>
        </w:rPr>
        <w:t>capitales</w:t>
      </w:r>
    </w:p>
    <w:p w14:paraId="118CB9B3" w14:textId="2330404E" w:rsidR="005C319D" w:rsidRPr="00355CEF" w:rsidRDefault="00FA73A6" w:rsidP="00DC4348">
      <w:pPr>
        <w:spacing w:line="276" w:lineRule="auto"/>
        <w:ind w:right="-433"/>
        <w:jc w:val="both"/>
        <w:rPr>
          <w:rFonts w:ascii="Open Sans" w:hAnsi="Open Sans" w:cs="Open Sans"/>
          <w:color w:val="000000"/>
        </w:rPr>
      </w:pPr>
      <w:r w:rsidRPr="00FA73A6">
        <w:rPr>
          <w:rFonts w:ascii="Open Sans" w:hAnsi="Open Sans" w:cs="Open Sans"/>
          <w:noProof/>
          <w:color w:val="000000"/>
        </w:rPr>
        <w:drawing>
          <wp:inline distT="0" distB="0" distL="0" distR="0" wp14:anchorId="0D1FA563" wp14:editId="7F436641">
            <wp:extent cx="5396230" cy="4042410"/>
            <wp:effectExtent l="0" t="0" r="0" b="0"/>
            <wp:docPr id="2131128378"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8378" name="Imagen 1" descr="Gráfico&#10;&#10;Descripción generada automáticamente con confianza media"/>
                    <pic:cNvPicPr/>
                  </pic:nvPicPr>
                  <pic:blipFill>
                    <a:blip r:embed="rId19"/>
                    <a:stretch>
                      <a:fillRect/>
                    </a:stretch>
                  </pic:blipFill>
                  <pic:spPr>
                    <a:xfrm>
                      <a:off x="0" y="0"/>
                      <a:ext cx="5396230" cy="4042410"/>
                    </a:xfrm>
                    <a:prstGeom prst="rect">
                      <a:avLst/>
                    </a:prstGeom>
                  </pic:spPr>
                </pic:pic>
              </a:graphicData>
            </a:graphic>
          </wp:inline>
        </w:drawing>
      </w:r>
    </w:p>
    <w:p w14:paraId="3F22D0D5" w14:textId="374018DD" w:rsidR="00355CEF" w:rsidRDefault="00355CEF" w:rsidP="00DC4348">
      <w:pPr>
        <w:spacing w:line="276" w:lineRule="auto"/>
        <w:ind w:right="-433"/>
        <w:jc w:val="center"/>
        <w:rPr>
          <w:rFonts w:ascii="Open Sans" w:hAnsi="Open Sans" w:cs="Open Sans"/>
          <w:color w:val="000000"/>
        </w:rPr>
      </w:pPr>
    </w:p>
    <w:p w14:paraId="3411B50D" w14:textId="211CD930" w:rsidR="00144279" w:rsidRDefault="000C3F40" w:rsidP="00DC4348">
      <w:pPr>
        <w:spacing w:line="276" w:lineRule="auto"/>
        <w:ind w:right="-433"/>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en el </w:t>
      </w:r>
      <w:r w:rsidR="00187872">
        <w:rPr>
          <w:rFonts w:ascii="Open Sans Light" w:hAnsi="Open Sans Light" w:cs="Open Sans Light"/>
          <w:b/>
          <w:iCs/>
          <w:color w:val="303AB2"/>
          <w:sz w:val="28"/>
          <w:szCs w:val="22"/>
        </w:rPr>
        <w:t>segundo trimestre</w:t>
      </w:r>
      <w:r>
        <w:rPr>
          <w:rFonts w:ascii="Open Sans Light" w:hAnsi="Open Sans Light" w:cs="Open Sans Light"/>
          <w:b/>
          <w:iCs/>
          <w:color w:val="303AB2"/>
          <w:sz w:val="28"/>
          <w:szCs w:val="22"/>
        </w:rPr>
        <w:t xml:space="preserve"> por </w:t>
      </w:r>
      <w:r w:rsidR="005C319D">
        <w:rPr>
          <w:rFonts w:ascii="Open Sans Light" w:hAnsi="Open Sans Light" w:cs="Open Sans Light"/>
          <w:b/>
          <w:iCs/>
          <w:color w:val="303AB2"/>
          <w:sz w:val="28"/>
          <w:szCs w:val="22"/>
        </w:rPr>
        <w:t>capitales</w:t>
      </w:r>
    </w:p>
    <w:p w14:paraId="74DCA186" w14:textId="6C3D6A02" w:rsidR="00460C69" w:rsidRDefault="00187872" w:rsidP="00DC4348">
      <w:pPr>
        <w:spacing w:line="276" w:lineRule="auto"/>
        <w:ind w:right="-433"/>
        <w:jc w:val="center"/>
        <w:rPr>
          <w:rFonts w:ascii="Open Sans Light" w:hAnsi="Open Sans Light" w:cs="Open Sans Light"/>
          <w:b/>
          <w:iCs/>
          <w:color w:val="303AB2"/>
          <w:sz w:val="28"/>
          <w:szCs w:val="22"/>
        </w:rPr>
      </w:pPr>
      <w:r w:rsidRPr="00187872">
        <w:rPr>
          <w:rFonts w:ascii="Open Sans Light" w:hAnsi="Open Sans Light" w:cs="Open Sans Light"/>
          <w:b/>
          <w:iCs/>
          <w:noProof/>
          <w:color w:val="303AB2"/>
          <w:sz w:val="28"/>
          <w:szCs w:val="22"/>
        </w:rPr>
        <w:drawing>
          <wp:inline distT="0" distB="0" distL="0" distR="0" wp14:anchorId="420A09B0" wp14:editId="0B18D1A1">
            <wp:extent cx="5396230" cy="4006215"/>
            <wp:effectExtent l="0" t="0" r="0" b="0"/>
            <wp:docPr id="1431230900" name="Imagen 1" descr="Gráfic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30900" name="Imagen 1" descr="Gráfico, Icono&#10;&#10;Descripción generada automáticamente"/>
                    <pic:cNvPicPr/>
                  </pic:nvPicPr>
                  <pic:blipFill>
                    <a:blip r:embed="rId20"/>
                    <a:stretch>
                      <a:fillRect/>
                    </a:stretch>
                  </pic:blipFill>
                  <pic:spPr>
                    <a:xfrm>
                      <a:off x="0" y="0"/>
                      <a:ext cx="5396230" cy="4006215"/>
                    </a:xfrm>
                    <a:prstGeom prst="rect">
                      <a:avLst/>
                    </a:prstGeom>
                  </pic:spPr>
                </pic:pic>
              </a:graphicData>
            </a:graphic>
          </wp:inline>
        </w:drawing>
      </w:r>
    </w:p>
    <w:p w14:paraId="64EECF33" w14:textId="3B1605C7" w:rsidR="00C15353" w:rsidRDefault="005C6DD9" w:rsidP="00DC4348">
      <w:pPr>
        <w:spacing w:line="276" w:lineRule="auto"/>
        <w:ind w:right="-433"/>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Municipios </w:t>
      </w:r>
      <w:r w:rsidR="009624C3">
        <w:rPr>
          <w:rFonts w:ascii="Open Sans Light" w:hAnsi="Open Sans Light" w:cs="Open Sans Light"/>
          <w:b/>
          <w:iCs/>
          <w:color w:val="303AB2"/>
          <w:sz w:val="28"/>
          <w:szCs w:val="22"/>
        </w:rPr>
        <w:t xml:space="preserve"> </w:t>
      </w:r>
    </w:p>
    <w:p w14:paraId="0081C5BF" w14:textId="77777777" w:rsidR="00EC014E" w:rsidRPr="00144279" w:rsidRDefault="00EC014E" w:rsidP="00DC4348">
      <w:pPr>
        <w:spacing w:line="276" w:lineRule="auto"/>
        <w:ind w:right="-433"/>
        <w:jc w:val="both"/>
        <w:rPr>
          <w:rFonts w:ascii="Open Sans" w:hAnsi="Open Sans" w:cs="Open Sans"/>
          <w:color w:val="000000"/>
        </w:rPr>
      </w:pPr>
    </w:p>
    <w:p w14:paraId="1EC62BA5" w14:textId="68C1DC70" w:rsidR="009B08AE" w:rsidRDefault="008E42F0" w:rsidP="00DC4348">
      <w:pPr>
        <w:spacing w:line="276" w:lineRule="auto"/>
        <w:ind w:right="-433"/>
        <w:jc w:val="both"/>
        <w:rPr>
          <w:rFonts w:ascii="Open Sans" w:hAnsi="Open Sans" w:cs="Open Sans"/>
          <w:color w:val="000000"/>
        </w:rPr>
      </w:pPr>
      <w:r>
        <w:rPr>
          <w:rFonts w:ascii="Open Sans" w:hAnsi="Open Sans" w:cs="Open Sans"/>
          <w:color w:val="000000"/>
        </w:rPr>
        <w:t>De</w:t>
      </w:r>
      <w:r w:rsidR="00EC014E">
        <w:rPr>
          <w:rFonts w:ascii="Open Sans" w:hAnsi="Open Sans" w:cs="Open Sans"/>
          <w:color w:val="000000"/>
        </w:rPr>
        <w:t xml:space="preserve"> l</w:t>
      </w:r>
      <w:r w:rsidR="009E06D1">
        <w:rPr>
          <w:rFonts w:ascii="Open Sans" w:hAnsi="Open Sans" w:cs="Open Sans"/>
          <w:color w:val="000000"/>
        </w:rPr>
        <w:t>as</w:t>
      </w:r>
      <w:r w:rsidR="00EC014E">
        <w:rPr>
          <w:rFonts w:ascii="Open Sans" w:hAnsi="Open Sans" w:cs="Open Sans"/>
          <w:color w:val="000000"/>
        </w:rPr>
        <w:t xml:space="preserve"> </w:t>
      </w:r>
      <w:r w:rsidR="00195F4F">
        <w:rPr>
          <w:rFonts w:ascii="Open Sans" w:hAnsi="Open Sans" w:cs="Open Sans"/>
          <w:color w:val="000000"/>
        </w:rPr>
        <w:t>20</w:t>
      </w:r>
      <w:r w:rsidR="00B0315D">
        <w:rPr>
          <w:rFonts w:ascii="Open Sans" w:hAnsi="Open Sans" w:cs="Open Sans"/>
          <w:color w:val="000000"/>
        </w:rPr>
        <w:t xml:space="preserve"> </w:t>
      </w:r>
      <w:r w:rsidR="009E06D1">
        <w:rPr>
          <w:rFonts w:ascii="Open Sans" w:hAnsi="Open Sans" w:cs="Open Sans"/>
          <w:color w:val="000000"/>
        </w:rPr>
        <w:t>ciudades</w:t>
      </w:r>
      <w:r w:rsidR="00EC014E">
        <w:rPr>
          <w:rFonts w:ascii="Open Sans" w:hAnsi="Open Sans" w:cs="Open Sans"/>
          <w:color w:val="000000"/>
        </w:rPr>
        <w:t xml:space="preserve"> </w:t>
      </w:r>
      <w:r w:rsidR="00EC014E" w:rsidRPr="00753088">
        <w:rPr>
          <w:rFonts w:ascii="Open Sans" w:hAnsi="Open Sans" w:cs="Open Sans"/>
          <w:color w:val="000000"/>
        </w:rPr>
        <w:t>analizad</w:t>
      </w:r>
      <w:r w:rsidR="003A44BD">
        <w:rPr>
          <w:rFonts w:ascii="Open Sans" w:hAnsi="Open Sans" w:cs="Open Sans"/>
          <w:color w:val="000000"/>
        </w:rPr>
        <w:t>a</w:t>
      </w:r>
      <w:r w:rsidR="00EC014E" w:rsidRPr="00753088">
        <w:rPr>
          <w:rFonts w:ascii="Open Sans" w:hAnsi="Open Sans" w:cs="Open Sans"/>
          <w:color w:val="000000"/>
        </w:rPr>
        <w:t xml:space="preserve">s por </w:t>
      </w:r>
      <w:hyperlink r:id="rId21" w:history="1">
        <w:r w:rsidR="00EC014E" w:rsidRPr="00261F74">
          <w:rPr>
            <w:rStyle w:val="Hipervnculo"/>
            <w:rFonts w:ascii="Open Sans" w:hAnsi="Open Sans" w:cs="Open Sans"/>
          </w:rPr>
          <w:t>Fotocasa</w:t>
        </w:r>
      </w:hyperlink>
      <w:r w:rsidRPr="008E42F0">
        <w:rPr>
          <w:rStyle w:val="Hipervnculo"/>
          <w:rFonts w:ascii="Open Sans" w:hAnsi="Open Sans" w:cs="Open Sans"/>
          <w:b/>
          <w:bCs/>
          <w:u w:val="none"/>
        </w:rPr>
        <w:t xml:space="preserve"> </w:t>
      </w:r>
      <w:r w:rsidRPr="008E42F0">
        <w:rPr>
          <w:rFonts w:ascii="Open Sans" w:hAnsi="Open Sans" w:cs="Open Sans"/>
          <w:color w:val="000000"/>
        </w:rPr>
        <w:t xml:space="preserve">con variación </w:t>
      </w:r>
      <w:r w:rsidR="00C0068B">
        <w:rPr>
          <w:rFonts w:ascii="Open Sans" w:hAnsi="Open Sans" w:cs="Open Sans"/>
          <w:color w:val="000000"/>
        </w:rPr>
        <w:t>trimestral</w:t>
      </w:r>
      <w:r w:rsidR="009B08AE">
        <w:rPr>
          <w:rFonts w:ascii="Open Sans" w:hAnsi="Open Sans" w:cs="Open Sans"/>
          <w:color w:val="000000"/>
        </w:rPr>
        <w:t xml:space="preserve"> en </w:t>
      </w:r>
      <w:r w:rsidR="00BE620D">
        <w:rPr>
          <w:rFonts w:ascii="Open Sans" w:hAnsi="Open Sans" w:cs="Open Sans"/>
          <w:color w:val="000000"/>
        </w:rPr>
        <w:t>junio</w:t>
      </w:r>
      <w:r w:rsidR="009B08AE">
        <w:rPr>
          <w:rFonts w:ascii="Open Sans" w:hAnsi="Open Sans" w:cs="Open Sans"/>
          <w:color w:val="000000"/>
        </w:rPr>
        <w:t xml:space="preserve"> de 202</w:t>
      </w:r>
      <w:r w:rsidR="00B0529A">
        <w:rPr>
          <w:rFonts w:ascii="Open Sans" w:hAnsi="Open Sans" w:cs="Open Sans"/>
          <w:color w:val="000000"/>
        </w:rPr>
        <w:t>3</w:t>
      </w:r>
      <w:r w:rsidRPr="008E42F0">
        <w:rPr>
          <w:rFonts w:ascii="Open Sans" w:hAnsi="Open Sans" w:cs="Open Sans"/>
          <w:color w:val="000000"/>
        </w:rPr>
        <w:t>,</w:t>
      </w:r>
      <w:r>
        <w:rPr>
          <w:rFonts w:ascii="Open Sans" w:hAnsi="Open Sans" w:cs="Open Sans"/>
          <w:color w:val="000000"/>
        </w:rPr>
        <w:t xml:space="preserve"> </w:t>
      </w:r>
      <w:r w:rsidR="00EC014E">
        <w:rPr>
          <w:rFonts w:ascii="Open Sans" w:hAnsi="Open Sans" w:cs="Open Sans"/>
          <w:color w:val="000000"/>
        </w:rPr>
        <w:t>e</w:t>
      </w:r>
      <w:r w:rsidR="009B08AE">
        <w:rPr>
          <w:rFonts w:ascii="Open Sans" w:hAnsi="Open Sans" w:cs="Open Sans"/>
          <w:color w:val="000000"/>
        </w:rPr>
        <w:t xml:space="preserve">n el </w:t>
      </w:r>
      <w:r w:rsidR="00195F4F">
        <w:rPr>
          <w:rFonts w:ascii="Open Sans" w:hAnsi="Open Sans" w:cs="Open Sans"/>
          <w:color w:val="000000"/>
        </w:rPr>
        <w:t>90</w:t>
      </w:r>
      <w:r w:rsidR="009B08AE">
        <w:rPr>
          <w:rFonts w:ascii="Open Sans" w:hAnsi="Open Sans" w:cs="Open Sans"/>
          <w:color w:val="000000"/>
        </w:rPr>
        <w:t xml:space="preserve">% de ellas </w:t>
      </w:r>
      <w:r w:rsidR="00B0529A">
        <w:rPr>
          <w:rFonts w:ascii="Open Sans" w:hAnsi="Open Sans" w:cs="Open Sans"/>
          <w:color w:val="000000"/>
        </w:rPr>
        <w:t xml:space="preserve">se producen incrementos en </w:t>
      </w:r>
      <w:r w:rsidR="009B08AE">
        <w:rPr>
          <w:rFonts w:ascii="Open Sans" w:hAnsi="Open Sans" w:cs="Open Sans"/>
          <w:color w:val="000000"/>
        </w:rPr>
        <w:t xml:space="preserve">el </w:t>
      </w:r>
      <w:r w:rsidR="00EC014E">
        <w:rPr>
          <w:rFonts w:ascii="Open Sans" w:hAnsi="Open Sans" w:cs="Open Sans"/>
          <w:color w:val="000000"/>
        </w:rPr>
        <w:t>precio de la vivienda</w:t>
      </w:r>
      <w:r w:rsidR="009B08AE">
        <w:rPr>
          <w:rFonts w:ascii="Open Sans" w:hAnsi="Open Sans" w:cs="Open Sans"/>
          <w:color w:val="000000"/>
        </w:rPr>
        <w:t xml:space="preserve"> por metro cuadrado. </w:t>
      </w:r>
    </w:p>
    <w:p w14:paraId="4D18B321" w14:textId="77777777" w:rsidR="00ED5014" w:rsidRDefault="00ED5014" w:rsidP="00DC4348">
      <w:pPr>
        <w:spacing w:line="276" w:lineRule="auto"/>
        <w:ind w:right="-433"/>
        <w:jc w:val="both"/>
        <w:rPr>
          <w:rFonts w:ascii="Open Sans" w:hAnsi="Open Sans" w:cs="Open Sans"/>
          <w:color w:val="000000"/>
        </w:rPr>
      </w:pPr>
    </w:p>
    <w:p w14:paraId="6A714FB0" w14:textId="1D0FD3BD" w:rsidR="00240463" w:rsidRDefault="00703722" w:rsidP="00DC4348">
      <w:pPr>
        <w:spacing w:line="276" w:lineRule="auto"/>
        <w:ind w:right="-433"/>
        <w:jc w:val="both"/>
        <w:rPr>
          <w:rFonts w:ascii="Open Sans" w:hAnsi="Open Sans" w:cs="Open Sans"/>
          <w:color w:val="000000"/>
        </w:rPr>
      </w:pPr>
      <w:r>
        <w:rPr>
          <w:rFonts w:ascii="Open Sans" w:hAnsi="Open Sans" w:cs="Open Sans"/>
          <w:color w:val="000000"/>
        </w:rPr>
        <w:t>La ciudad de</w:t>
      </w:r>
      <w:r w:rsidR="00ED5014">
        <w:rPr>
          <w:rFonts w:ascii="Open Sans" w:hAnsi="Open Sans" w:cs="Open Sans"/>
          <w:color w:val="000000"/>
        </w:rPr>
        <w:t xml:space="preserve"> </w:t>
      </w:r>
      <w:r w:rsidR="00195F4F" w:rsidRPr="00195F4F">
        <w:rPr>
          <w:rFonts w:ascii="Open Sans" w:hAnsi="Open Sans" w:cs="Open Sans"/>
          <w:color w:val="000000"/>
        </w:rPr>
        <w:t xml:space="preserve">Puerto de la Cruz </w:t>
      </w:r>
      <w:r w:rsidR="007C146A">
        <w:rPr>
          <w:rFonts w:ascii="Open Sans" w:hAnsi="Open Sans" w:cs="Open Sans"/>
          <w:color w:val="000000"/>
        </w:rPr>
        <w:t>(</w:t>
      </w:r>
      <w:r w:rsidR="00195F4F" w:rsidRPr="00195F4F">
        <w:rPr>
          <w:rFonts w:ascii="Open Sans" w:hAnsi="Open Sans" w:cs="Open Sans"/>
          <w:color w:val="000000"/>
        </w:rPr>
        <w:t>Santa Cruz de Tenerife</w:t>
      </w:r>
      <w:r w:rsidR="007C146A">
        <w:rPr>
          <w:rFonts w:ascii="Open Sans" w:hAnsi="Open Sans" w:cs="Open Sans"/>
          <w:color w:val="000000"/>
        </w:rPr>
        <w:t>)</w:t>
      </w:r>
      <w:r w:rsidR="009E06D1">
        <w:rPr>
          <w:rFonts w:ascii="Open Sans" w:hAnsi="Open Sans" w:cs="Open Sans"/>
          <w:color w:val="000000"/>
        </w:rPr>
        <w:t xml:space="preserve"> </w:t>
      </w:r>
      <w:r w:rsidR="00ED5014">
        <w:rPr>
          <w:rFonts w:ascii="Open Sans" w:hAnsi="Open Sans" w:cs="Open Sans"/>
          <w:color w:val="000000"/>
        </w:rPr>
        <w:t xml:space="preserve">ha visto disparar los precios del metro cuadrado de vivienda un </w:t>
      </w:r>
      <w:r w:rsidR="00195F4F">
        <w:rPr>
          <w:rFonts w:ascii="Open Sans" w:hAnsi="Open Sans" w:cs="Open Sans"/>
          <w:color w:val="000000"/>
        </w:rPr>
        <w:t>20</w:t>
      </w:r>
      <w:r w:rsidR="009E06D1" w:rsidRPr="009E06D1">
        <w:rPr>
          <w:rFonts w:ascii="Open Sans" w:hAnsi="Open Sans" w:cs="Open Sans"/>
          <w:color w:val="000000"/>
        </w:rPr>
        <w:t>%</w:t>
      </w:r>
      <w:r w:rsidR="00B0315D">
        <w:rPr>
          <w:rFonts w:ascii="Open Sans" w:hAnsi="Open Sans" w:cs="Open Sans"/>
          <w:color w:val="000000"/>
        </w:rPr>
        <w:t xml:space="preserve">, seguida de </w:t>
      </w:r>
      <w:r w:rsidR="00195F4F" w:rsidRPr="00195F4F">
        <w:rPr>
          <w:rFonts w:ascii="Open Sans" w:hAnsi="Open Sans" w:cs="Open Sans"/>
          <w:color w:val="000000"/>
        </w:rPr>
        <w:t>Puerto del Rosario</w:t>
      </w:r>
      <w:r w:rsidR="00195F4F">
        <w:rPr>
          <w:rFonts w:ascii="Open Sans" w:hAnsi="Open Sans" w:cs="Open Sans"/>
          <w:color w:val="000000"/>
        </w:rPr>
        <w:t xml:space="preserve"> </w:t>
      </w:r>
      <w:r w:rsidR="00B0315D">
        <w:rPr>
          <w:rFonts w:ascii="Open Sans" w:hAnsi="Open Sans" w:cs="Open Sans"/>
          <w:color w:val="000000"/>
        </w:rPr>
        <w:t xml:space="preserve">con </w:t>
      </w:r>
      <w:r w:rsidR="00195F4F">
        <w:rPr>
          <w:rFonts w:ascii="Open Sans" w:hAnsi="Open Sans" w:cs="Open Sans"/>
          <w:color w:val="000000"/>
        </w:rPr>
        <w:t>13,8</w:t>
      </w:r>
      <w:r w:rsidR="00B0315D">
        <w:rPr>
          <w:rFonts w:ascii="Open Sans" w:hAnsi="Open Sans" w:cs="Open Sans"/>
          <w:color w:val="000000"/>
        </w:rPr>
        <w:t>%.</w:t>
      </w:r>
      <w:r w:rsidR="00265E6C">
        <w:rPr>
          <w:rFonts w:ascii="Open Sans" w:hAnsi="Open Sans" w:cs="Open Sans"/>
          <w:color w:val="000000"/>
        </w:rPr>
        <w:t xml:space="preserve"> </w:t>
      </w:r>
      <w:r w:rsidR="00ED5014">
        <w:rPr>
          <w:rFonts w:ascii="Open Sans" w:hAnsi="Open Sans" w:cs="Open Sans"/>
          <w:color w:val="000000"/>
        </w:rPr>
        <w:t xml:space="preserve">En el análisis de este </w:t>
      </w:r>
      <w:r w:rsidR="00D241BC">
        <w:rPr>
          <w:rFonts w:ascii="Open Sans" w:hAnsi="Open Sans" w:cs="Open Sans"/>
          <w:color w:val="000000"/>
        </w:rPr>
        <w:t>trimestre</w:t>
      </w:r>
      <w:r w:rsidR="00ED5014">
        <w:rPr>
          <w:rFonts w:ascii="Open Sans" w:hAnsi="Open Sans" w:cs="Open Sans"/>
          <w:color w:val="000000"/>
        </w:rPr>
        <w:t xml:space="preserve">, también nos encontramos con acusadas caídas en el precio de la vivienda respecto al </w:t>
      </w:r>
      <w:r w:rsidR="00175288">
        <w:rPr>
          <w:rFonts w:ascii="Open Sans" w:hAnsi="Open Sans" w:cs="Open Sans"/>
          <w:color w:val="000000"/>
        </w:rPr>
        <w:t>trimestre</w:t>
      </w:r>
      <w:r w:rsidR="00ED5014">
        <w:rPr>
          <w:rFonts w:ascii="Open Sans" w:hAnsi="Open Sans" w:cs="Open Sans"/>
          <w:color w:val="000000"/>
        </w:rPr>
        <w:t xml:space="preserve"> anterior</w:t>
      </w:r>
      <w:r w:rsidR="00A60BA1">
        <w:rPr>
          <w:rFonts w:ascii="Open Sans" w:hAnsi="Open Sans" w:cs="Open Sans"/>
          <w:color w:val="000000"/>
        </w:rPr>
        <w:t>,</w:t>
      </w:r>
      <w:r w:rsidR="009E772D">
        <w:rPr>
          <w:rFonts w:ascii="Open Sans" w:hAnsi="Open Sans" w:cs="Open Sans"/>
          <w:color w:val="000000"/>
        </w:rPr>
        <w:t xml:space="preserve"> como la ciudad </w:t>
      </w:r>
      <w:r w:rsidR="00175288">
        <w:rPr>
          <w:rFonts w:ascii="Open Sans" w:hAnsi="Open Sans" w:cs="Open Sans"/>
          <w:color w:val="000000"/>
        </w:rPr>
        <w:t xml:space="preserve">de </w:t>
      </w:r>
      <w:r w:rsidR="00195F4F" w:rsidRPr="00195F4F">
        <w:rPr>
          <w:rFonts w:ascii="Open Sans" w:hAnsi="Open Sans" w:cs="Open Sans"/>
          <w:color w:val="000000"/>
        </w:rPr>
        <w:t>Agüimes</w:t>
      </w:r>
      <w:r w:rsidR="00195F4F">
        <w:rPr>
          <w:rFonts w:ascii="Open Sans" w:hAnsi="Open Sans" w:cs="Open Sans"/>
          <w:color w:val="000000"/>
        </w:rPr>
        <w:t xml:space="preserve"> </w:t>
      </w:r>
      <w:r w:rsidR="00175288">
        <w:rPr>
          <w:rFonts w:ascii="Open Sans" w:hAnsi="Open Sans" w:cs="Open Sans"/>
          <w:color w:val="000000"/>
        </w:rPr>
        <w:t xml:space="preserve">con </w:t>
      </w:r>
      <w:r w:rsidR="00175288" w:rsidRPr="00175288">
        <w:rPr>
          <w:rFonts w:ascii="Open Sans" w:hAnsi="Open Sans" w:cs="Open Sans"/>
          <w:color w:val="000000"/>
        </w:rPr>
        <w:t>-</w:t>
      </w:r>
      <w:r w:rsidR="00195F4F">
        <w:rPr>
          <w:rFonts w:ascii="Open Sans" w:hAnsi="Open Sans" w:cs="Open Sans"/>
          <w:color w:val="000000"/>
        </w:rPr>
        <w:t>3,2</w:t>
      </w:r>
      <w:r w:rsidR="00175288" w:rsidRPr="00175288">
        <w:rPr>
          <w:rFonts w:ascii="Open Sans" w:hAnsi="Open Sans" w:cs="Open Sans"/>
          <w:color w:val="000000"/>
        </w:rPr>
        <w:t>%</w:t>
      </w:r>
      <w:r w:rsidR="00D241BC">
        <w:rPr>
          <w:rFonts w:ascii="Open Sans" w:hAnsi="Open Sans" w:cs="Open Sans"/>
          <w:color w:val="000000"/>
        </w:rPr>
        <w:t xml:space="preserve"> y </w:t>
      </w:r>
      <w:r w:rsidR="00195F4F" w:rsidRPr="00195F4F">
        <w:rPr>
          <w:rFonts w:ascii="Open Sans" w:hAnsi="Open Sans" w:cs="Open Sans"/>
          <w:color w:val="000000"/>
        </w:rPr>
        <w:t>Icod de los Vinos</w:t>
      </w:r>
      <w:r w:rsidR="00195F4F">
        <w:rPr>
          <w:rFonts w:ascii="Open Sans" w:hAnsi="Open Sans" w:cs="Open Sans"/>
          <w:color w:val="000000"/>
        </w:rPr>
        <w:t xml:space="preserve"> </w:t>
      </w:r>
      <w:r w:rsidR="006A4C92">
        <w:rPr>
          <w:rFonts w:ascii="Open Sans" w:hAnsi="Open Sans" w:cs="Open Sans"/>
          <w:color w:val="000000"/>
        </w:rPr>
        <w:t xml:space="preserve">con </w:t>
      </w:r>
      <w:r w:rsidR="00175288" w:rsidRPr="00175288">
        <w:rPr>
          <w:rFonts w:ascii="Open Sans" w:hAnsi="Open Sans" w:cs="Open Sans"/>
          <w:color w:val="000000"/>
        </w:rPr>
        <w:t>-</w:t>
      </w:r>
      <w:r w:rsidR="00195F4F">
        <w:rPr>
          <w:rFonts w:ascii="Open Sans" w:hAnsi="Open Sans" w:cs="Open Sans"/>
          <w:color w:val="000000"/>
        </w:rPr>
        <w:t>1,2</w:t>
      </w:r>
      <w:r w:rsidR="00175288" w:rsidRPr="00175288">
        <w:rPr>
          <w:rFonts w:ascii="Open Sans" w:hAnsi="Open Sans" w:cs="Open Sans"/>
          <w:color w:val="000000"/>
        </w:rPr>
        <w:t>%</w:t>
      </w:r>
      <w:r w:rsidR="00D241BC">
        <w:rPr>
          <w:rFonts w:ascii="Open Sans" w:hAnsi="Open Sans" w:cs="Open Sans"/>
          <w:color w:val="000000"/>
        </w:rPr>
        <w:t xml:space="preserve">. </w:t>
      </w:r>
    </w:p>
    <w:p w14:paraId="79D9358B" w14:textId="77777777" w:rsidR="00240463" w:rsidRDefault="00240463" w:rsidP="00DC4348">
      <w:pPr>
        <w:spacing w:line="276" w:lineRule="auto"/>
        <w:ind w:right="-433"/>
        <w:jc w:val="both"/>
        <w:rPr>
          <w:rFonts w:ascii="Open Sans" w:hAnsi="Open Sans" w:cs="Open Sans"/>
          <w:color w:val="000000"/>
        </w:rPr>
      </w:pPr>
    </w:p>
    <w:p w14:paraId="61A56C4A" w14:textId="7E9522F2" w:rsidR="00740296" w:rsidRDefault="0001727C" w:rsidP="00740296">
      <w:pPr>
        <w:spacing w:line="276" w:lineRule="auto"/>
        <w:ind w:right="-433"/>
        <w:jc w:val="both"/>
        <w:rPr>
          <w:rFonts w:ascii="Open Sans" w:hAnsi="Open Sans" w:cs="Open Sans"/>
          <w:color w:val="000000"/>
        </w:rPr>
      </w:pPr>
      <w:r>
        <w:rPr>
          <w:rFonts w:ascii="Open Sans" w:hAnsi="Open Sans" w:cs="Open Sans"/>
          <w:color w:val="000000"/>
        </w:rPr>
        <w:t>El orden de los municipios con los mayores precios es</w:t>
      </w:r>
      <w:r w:rsidR="007B1BC2">
        <w:rPr>
          <w:rFonts w:ascii="Open Sans" w:hAnsi="Open Sans" w:cs="Open Sans"/>
          <w:color w:val="000000"/>
        </w:rPr>
        <w:t xml:space="preserve"> </w:t>
      </w:r>
      <w:r w:rsidR="008B21D9" w:rsidRPr="008B21D9">
        <w:rPr>
          <w:rFonts w:ascii="Open Sans" w:hAnsi="Open Sans" w:cs="Open Sans"/>
          <w:color w:val="000000"/>
        </w:rPr>
        <w:t xml:space="preserve">A </w:t>
      </w:r>
      <w:r w:rsidR="00F04B8F" w:rsidRPr="00F04B8F">
        <w:rPr>
          <w:rFonts w:ascii="Open Sans" w:hAnsi="Open Sans" w:cs="Open Sans"/>
          <w:color w:val="000000"/>
        </w:rPr>
        <w:t>Adeje</w:t>
      </w:r>
      <w:r w:rsidR="00F04B8F">
        <w:rPr>
          <w:rFonts w:ascii="Open Sans" w:hAnsi="Open Sans" w:cs="Open Sans"/>
          <w:color w:val="000000"/>
        </w:rPr>
        <w:t xml:space="preserve"> </w:t>
      </w:r>
      <w:r w:rsidR="003F38AC" w:rsidRPr="007B5F84">
        <w:rPr>
          <w:rFonts w:ascii="Open Sans" w:hAnsi="Open Sans" w:cs="Open Sans"/>
          <w:color w:val="000000"/>
        </w:rPr>
        <w:t>con</w:t>
      </w:r>
      <w:r w:rsidR="003F38AC" w:rsidRPr="007B1BC2">
        <w:rPr>
          <w:rFonts w:ascii="Open Sans" w:hAnsi="Open Sans" w:cs="Open Sans"/>
          <w:color w:val="000000"/>
        </w:rPr>
        <w:t xml:space="preserve"> </w:t>
      </w:r>
      <w:r w:rsidR="00F04B8F">
        <w:rPr>
          <w:rFonts w:ascii="Open Sans" w:hAnsi="Open Sans" w:cs="Open Sans"/>
          <w:color w:val="000000"/>
        </w:rPr>
        <w:t>3.892</w:t>
      </w:r>
      <w:r w:rsidR="003F38AC" w:rsidRPr="003F38AC">
        <w:rPr>
          <w:rFonts w:ascii="Open Sans" w:hAnsi="Open Sans" w:cs="Open Sans"/>
          <w:color w:val="000000"/>
        </w:rPr>
        <w:t xml:space="preserve"> </w:t>
      </w:r>
      <w:r w:rsidR="003F38AC">
        <w:rPr>
          <w:rFonts w:ascii="Open Sans" w:hAnsi="Open Sans" w:cs="Open Sans"/>
          <w:color w:val="000000"/>
        </w:rPr>
        <w:t>euros</w:t>
      </w:r>
      <w:r w:rsidR="003F38AC" w:rsidRPr="006D0120">
        <w:rPr>
          <w:rFonts w:ascii="Open Sans" w:hAnsi="Open Sans" w:cs="Open Sans"/>
          <w:color w:val="000000"/>
        </w:rPr>
        <w:t>/m</w:t>
      </w:r>
      <w:r w:rsidR="003F38AC" w:rsidRPr="006D0120">
        <w:rPr>
          <w:rFonts w:ascii="Open Sans" w:hAnsi="Open Sans" w:cs="Open Sans"/>
          <w:color w:val="000000"/>
          <w:vertAlign w:val="superscript"/>
        </w:rPr>
        <w:t>2</w:t>
      </w:r>
      <w:r w:rsidR="003F38AC">
        <w:rPr>
          <w:rFonts w:ascii="Open Sans" w:hAnsi="Open Sans" w:cs="Open Sans"/>
          <w:color w:val="000000"/>
        </w:rPr>
        <w:t xml:space="preserve">, </w:t>
      </w:r>
      <w:r w:rsidR="00F04B8F" w:rsidRPr="00F04B8F">
        <w:rPr>
          <w:rFonts w:ascii="Open Sans" w:hAnsi="Open Sans" w:cs="Open Sans"/>
          <w:color w:val="000000"/>
        </w:rPr>
        <w:t>Mogán</w:t>
      </w:r>
      <w:r w:rsidR="00F04B8F">
        <w:rPr>
          <w:rFonts w:ascii="Open Sans" w:hAnsi="Open Sans" w:cs="Open Sans"/>
          <w:color w:val="000000"/>
        </w:rPr>
        <w:t xml:space="preserve"> </w:t>
      </w:r>
      <w:r w:rsidR="00740296" w:rsidRPr="007B5F84">
        <w:rPr>
          <w:rFonts w:ascii="Open Sans" w:hAnsi="Open Sans" w:cs="Open Sans"/>
          <w:color w:val="000000"/>
        </w:rPr>
        <w:t>con</w:t>
      </w:r>
      <w:r w:rsidR="00740296" w:rsidRPr="00740296">
        <w:rPr>
          <w:rFonts w:ascii="Open Sans" w:hAnsi="Open Sans" w:cs="Open Sans"/>
          <w:color w:val="000000"/>
        </w:rPr>
        <w:t xml:space="preserve"> </w:t>
      </w:r>
      <w:r>
        <w:rPr>
          <w:rFonts w:ascii="Open Sans" w:hAnsi="Open Sans" w:cs="Open Sans"/>
          <w:color w:val="000000"/>
        </w:rPr>
        <w:t>3.</w:t>
      </w:r>
      <w:r w:rsidR="00F04B8F">
        <w:rPr>
          <w:rFonts w:ascii="Open Sans" w:hAnsi="Open Sans" w:cs="Open Sans"/>
          <w:color w:val="000000"/>
        </w:rPr>
        <w:t>406</w:t>
      </w:r>
      <w:r w:rsidR="00740296" w:rsidRPr="00740296">
        <w:rPr>
          <w:rFonts w:ascii="Open Sans" w:hAnsi="Open Sans" w:cs="Open Sans"/>
          <w:color w:val="000000"/>
        </w:rPr>
        <w:t xml:space="preserve"> </w:t>
      </w:r>
      <w:r w:rsidR="00740296">
        <w:rPr>
          <w:rFonts w:ascii="Open Sans" w:hAnsi="Open Sans" w:cs="Open Sans"/>
          <w:color w:val="000000"/>
        </w:rPr>
        <w:t>euros</w:t>
      </w:r>
      <w:r w:rsidR="00740296" w:rsidRPr="006D0120">
        <w:rPr>
          <w:rFonts w:ascii="Open Sans" w:hAnsi="Open Sans" w:cs="Open Sans"/>
          <w:color w:val="000000"/>
        </w:rPr>
        <w:t>/m</w:t>
      </w:r>
      <w:r w:rsidR="00740296" w:rsidRPr="006D0120">
        <w:rPr>
          <w:rFonts w:ascii="Open Sans" w:hAnsi="Open Sans" w:cs="Open Sans"/>
          <w:color w:val="000000"/>
          <w:vertAlign w:val="superscript"/>
        </w:rPr>
        <w:t>2</w:t>
      </w:r>
      <w:r w:rsidR="00740296">
        <w:rPr>
          <w:rFonts w:ascii="Open Sans" w:hAnsi="Open Sans" w:cs="Open Sans"/>
          <w:color w:val="000000"/>
        </w:rPr>
        <w:t xml:space="preserve">, </w:t>
      </w:r>
      <w:r w:rsidR="00F04B8F" w:rsidRPr="00F04B8F">
        <w:rPr>
          <w:rFonts w:ascii="Open Sans" w:hAnsi="Open Sans" w:cs="Open Sans"/>
          <w:color w:val="000000"/>
        </w:rPr>
        <w:t>Santiago del Teide</w:t>
      </w:r>
      <w:r w:rsidR="00F04B8F">
        <w:rPr>
          <w:rFonts w:ascii="Open Sans" w:hAnsi="Open Sans" w:cs="Open Sans"/>
          <w:color w:val="000000"/>
        </w:rPr>
        <w:t xml:space="preserve"> </w:t>
      </w:r>
      <w:r w:rsidR="00740296" w:rsidRPr="007B5F84">
        <w:rPr>
          <w:rFonts w:ascii="Open Sans" w:hAnsi="Open Sans" w:cs="Open Sans"/>
          <w:color w:val="000000"/>
        </w:rPr>
        <w:t>con</w:t>
      </w:r>
      <w:r w:rsidR="00740296" w:rsidRPr="00740296">
        <w:rPr>
          <w:rFonts w:ascii="Open Sans" w:hAnsi="Open Sans" w:cs="Open Sans"/>
          <w:color w:val="000000"/>
        </w:rPr>
        <w:t xml:space="preserve"> </w:t>
      </w:r>
      <w:r>
        <w:rPr>
          <w:rFonts w:ascii="Open Sans" w:hAnsi="Open Sans" w:cs="Open Sans"/>
          <w:color w:val="000000"/>
        </w:rPr>
        <w:t>3.</w:t>
      </w:r>
      <w:r w:rsidR="00F04B8F">
        <w:rPr>
          <w:rFonts w:ascii="Open Sans" w:hAnsi="Open Sans" w:cs="Open Sans"/>
          <w:color w:val="000000"/>
        </w:rPr>
        <w:t>154</w:t>
      </w:r>
      <w:r w:rsidR="00740296" w:rsidRPr="00740296">
        <w:rPr>
          <w:rFonts w:ascii="Open Sans" w:hAnsi="Open Sans" w:cs="Open Sans"/>
          <w:color w:val="000000"/>
        </w:rPr>
        <w:t xml:space="preserve"> </w:t>
      </w:r>
      <w:r w:rsidR="00740296">
        <w:rPr>
          <w:rFonts w:ascii="Open Sans" w:hAnsi="Open Sans" w:cs="Open Sans"/>
          <w:color w:val="000000"/>
        </w:rPr>
        <w:t>euros</w:t>
      </w:r>
      <w:r w:rsidR="00740296" w:rsidRPr="006D0120">
        <w:rPr>
          <w:rFonts w:ascii="Open Sans" w:hAnsi="Open Sans" w:cs="Open Sans"/>
          <w:color w:val="000000"/>
        </w:rPr>
        <w:t>/m</w:t>
      </w:r>
      <w:r w:rsidR="00740296" w:rsidRPr="006D0120">
        <w:rPr>
          <w:rFonts w:ascii="Open Sans" w:hAnsi="Open Sans" w:cs="Open Sans"/>
          <w:color w:val="000000"/>
          <w:vertAlign w:val="superscript"/>
        </w:rPr>
        <w:t>2</w:t>
      </w:r>
      <w:r w:rsidR="00740296">
        <w:rPr>
          <w:rFonts w:ascii="Open Sans" w:hAnsi="Open Sans" w:cs="Open Sans"/>
          <w:color w:val="000000"/>
        </w:rPr>
        <w:t xml:space="preserve"> y </w:t>
      </w:r>
      <w:r w:rsidR="00F04B8F" w:rsidRPr="00F04B8F">
        <w:rPr>
          <w:rFonts w:ascii="Open Sans" w:hAnsi="Open Sans" w:cs="Open Sans"/>
          <w:color w:val="000000"/>
        </w:rPr>
        <w:t>Guía de Isora</w:t>
      </w:r>
      <w:r w:rsidR="00F04B8F">
        <w:rPr>
          <w:rFonts w:ascii="Open Sans" w:hAnsi="Open Sans" w:cs="Open Sans"/>
          <w:color w:val="000000"/>
        </w:rPr>
        <w:t xml:space="preserve"> </w:t>
      </w:r>
      <w:r w:rsidR="00740296" w:rsidRPr="007B5F84">
        <w:rPr>
          <w:rFonts w:ascii="Open Sans" w:hAnsi="Open Sans" w:cs="Open Sans"/>
          <w:color w:val="000000"/>
        </w:rPr>
        <w:t>con</w:t>
      </w:r>
      <w:r w:rsidR="00740296" w:rsidRPr="00740296">
        <w:rPr>
          <w:rFonts w:ascii="Open Sans" w:hAnsi="Open Sans" w:cs="Open Sans"/>
          <w:color w:val="000000"/>
        </w:rPr>
        <w:t xml:space="preserve"> </w:t>
      </w:r>
      <w:r w:rsidR="00F04B8F">
        <w:rPr>
          <w:rFonts w:ascii="Open Sans" w:hAnsi="Open Sans" w:cs="Open Sans"/>
          <w:color w:val="000000"/>
        </w:rPr>
        <w:t>2.968</w:t>
      </w:r>
      <w:r w:rsidR="00265E6C">
        <w:rPr>
          <w:rFonts w:ascii="Open Sans" w:hAnsi="Open Sans" w:cs="Open Sans"/>
          <w:color w:val="000000"/>
        </w:rPr>
        <w:t xml:space="preserve"> </w:t>
      </w:r>
      <w:r w:rsidR="00740296">
        <w:rPr>
          <w:rFonts w:ascii="Open Sans" w:hAnsi="Open Sans" w:cs="Open Sans"/>
          <w:color w:val="000000"/>
        </w:rPr>
        <w:t>euros</w:t>
      </w:r>
      <w:r w:rsidR="00740296" w:rsidRPr="006D0120">
        <w:rPr>
          <w:rFonts w:ascii="Open Sans" w:hAnsi="Open Sans" w:cs="Open Sans"/>
          <w:color w:val="000000"/>
        </w:rPr>
        <w:t>/m</w:t>
      </w:r>
      <w:r w:rsidR="00740296" w:rsidRPr="006D0120">
        <w:rPr>
          <w:rFonts w:ascii="Open Sans" w:hAnsi="Open Sans" w:cs="Open Sans"/>
          <w:color w:val="000000"/>
          <w:vertAlign w:val="superscript"/>
        </w:rPr>
        <w:t>2</w:t>
      </w:r>
      <w:r w:rsidR="00740296">
        <w:rPr>
          <w:rFonts w:ascii="Open Sans" w:hAnsi="Open Sans" w:cs="Open Sans"/>
          <w:color w:val="000000"/>
        </w:rPr>
        <w:t>.</w:t>
      </w:r>
    </w:p>
    <w:p w14:paraId="6517AD54" w14:textId="77777777" w:rsidR="00740296" w:rsidRDefault="00740296" w:rsidP="00DC4348">
      <w:pPr>
        <w:spacing w:line="276" w:lineRule="auto"/>
        <w:ind w:right="-433"/>
        <w:jc w:val="both"/>
        <w:rPr>
          <w:rFonts w:ascii="Open Sans" w:hAnsi="Open Sans" w:cs="Open Sans"/>
          <w:color w:val="000000"/>
        </w:rPr>
      </w:pPr>
    </w:p>
    <w:p w14:paraId="1D03FEDA" w14:textId="5C4B9280" w:rsidR="00125207" w:rsidRPr="00125207" w:rsidRDefault="00125207" w:rsidP="00DC4348">
      <w:pPr>
        <w:spacing w:line="276" w:lineRule="auto"/>
        <w:ind w:right="-433"/>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t>TABLAS DE PRECIOS Y DE EVOLUCIONES</w:t>
      </w:r>
      <w:r>
        <w:rPr>
          <w:rFonts w:ascii="Open Sans Light" w:eastAsia="Times New Roman" w:hAnsi="Open Sans Light" w:cs="Open Sans Light"/>
          <w:b/>
          <w:iCs/>
          <w:color w:val="303AB2"/>
          <w:lang w:val="es-ES" w:eastAsia="es-ES_tradnl"/>
        </w:rPr>
        <w:t xml:space="preserve"> (</w:t>
      </w:r>
      <w:r w:rsidR="00D16124">
        <w:rPr>
          <w:rFonts w:ascii="Open Sans Light" w:eastAsia="Times New Roman" w:hAnsi="Open Sans Light" w:cs="Open Sans Light"/>
          <w:b/>
          <w:iCs/>
          <w:color w:val="303AB2"/>
          <w:lang w:val="es-ES" w:eastAsia="es-ES_tradnl"/>
        </w:rPr>
        <w:t>4</w:t>
      </w:r>
      <w:r>
        <w:rPr>
          <w:rFonts w:ascii="Open Sans Light" w:eastAsia="Times New Roman" w:hAnsi="Open Sans Light" w:cs="Open Sans Light"/>
          <w:b/>
          <w:iCs/>
          <w:color w:val="303AB2"/>
          <w:lang w:val="es-ES" w:eastAsia="es-ES_tradnl"/>
        </w:rPr>
        <w:t>)</w:t>
      </w:r>
    </w:p>
    <w:p w14:paraId="5A394904" w14:textId="00D62D8C" w:rsidR="00C5673A" w:rsidRPr="00C5673A" w:rsidRDefault="00C5673A" w:rsidP="00DC4348">
      <w:pPr>
        <w:pStyle w:val="NormalWeb"/>
        <w:shd w:val="clear" w:color="auto" w:fill="FFFFFF"/>
        <w:spacing w:line="276" w:lineRule="auto"/>
        <w:ind w:right="-433"/>
        <w:rPr>
          <w:rFonts w:ascii="Open Sans Light" w:hAnsi="Open Sans Light" w:cs="Open Sans Light"/>
          <w:b/>
          <w:iCs/>
          <w:color w:val="303AB2"/>
        </w:rPr>
      </w:pPr>
      <w:r w:rsidRPr="00C5673A">
        <w:rPr>
          <w:rFonts w:ascii="Open Sans Light" w:hAnsi="Open Sans Light" w:cs="Open Sans Light"/>
          <w:b/>
          <w:iCs/>
          <w:color w:val="303AB2"/>
        </w:rPr>
        <w:t xml:space="preserve">Tabla 1: CCAA de </w:t>
      </w:r>
      <w:r w:rsidR="008E7619">
        <w:rPr>
          <w:rFonts w:ascii="Open Sans Light" w:hAnsi="Open Sans Light" w:cs="Open Sans Light"/>
          <w:b/>
          <w:iCs/>
          <w:color w:val="303AB2"/>
          <w:szCs w:val="18"/>
        </w:rPr>
        <w:t>mayor</w:t>
      </w:r>
      <w:r w:rsidR="008E7619" w:rsidRPr="00125207">
        <w:rPr>
          <w:rFonts w:ascii="Open Sans Light" w:hAnsi="Open Sans Light" w:cs="Open Sans Light"/>
          <w:b/>
          <w:iCs/>
          <w:color w:val="303AB2"/>
          <w:szCs w:val="18"/>
        </w:rPr>
        <w:t xml:space="preserve"> </w:t>
      </w:r>
      <w:r w:rsidR="008E7619">
        <w:rPr>
          <w:rFonts w:ascii="Open Sans Light" w:hAnsi="Open Sans Light" w:cs="Open Sans Light"/>
          <w:b/>
          <w:iCs/>
          <w:color w:val="303AB2"/>
          <w:szCs w:val="18"/>
        </w:rPr>
        <w:t>a</w:t>
      </w:r>
      <w:r w:rsidR="008E7619" w:rsidRPr="00C5673A">
        <w:rPr>
          <w:rFonts w:ascii="Open Sans Light" w:hAnsi="Open Sans Light" w:cs="Open Sans Light"/>
          <w:b/>
          <w:iCs/>
          <w:color w:val="303AB2"/>
        </w:rPr>
        <w:t xml:space="preserve"> </w:t>
      </w:r>
      <w:r w:rsidR="008E7619">
        <w:rPr>
          <w:rFonts w:ascii="Open Sans Light" w:hAnsi="Open Sans Light" w:cs="Open Sans Light"/>
          <w:b/>
          <w:iCs/>
          <w:color w:val="303AB2"/>
          <w:szCs w:val="18"/>
        </w:rPr>
        <w:t>menor</w:t>
      </w:r>
      <w:r w:rsidR="008E7619" w:rsidRPr="00125207">
        <w:rPr>
          <w:rFonts w:ascii="Open Sans Light" w:hAnsi="Open Sans Light" w:cs="Open Sans Light"/>
          <w:b/>
          <w:iCs/>
          <w:color w:val="303AB2"/>
          <w:szCs w:val="18"/>
        </w:rPr>
        <w:t xml:space="preserve"> </w:t>
      </w:r>
      <w:r w:rsidR="008E7619" w:rsidRPr="00C5673A">
        <w:rPr>
          <w:rFonts w:ascii="Open Sans Light" w:hAnsi="Open Sans Light" w:cs="Open Sans Light"/>
          <w:b/>
          <w:iCs/>
          <w:color w:val="303AB2"/>
        </w:rPr>
        <w:t xml:space="preserve">incremento </w:t>
      </w:r>
      <w:r w:rsidR="00672079">
        <w:rPr>
          <w:rFonts w:ascii="Open Sans Light" w:hAnsi="Open Sans Light" w:cs="Open Sans Light"/>
          <w:b/>
          <w:iCs/>
          <w:color w:val="303AB2"/>
        </w:rPr>
        <w:t>trimestral</w:t>
      </w:r>
      <w:r w:rsidR="005379BC" w:rsidRPr="008B228B">
        <w:rPr>
          <w:rFonts w:ascii="Open Sans Light" w:hAnsi="Open Sans Light" w:cs="Open Sans Light"/>
          <w:b/>
          <w:iCs/>
          <w:color w:val="303AB2"/>
          <w:szCs w:val="18"/>
        </w:rPr>
        <w:t xml:space="preserve"> </w:t>
      </w:r>
      <w:r w:rsidR="0094649A">
        <w:rPr>
          <w:rFonts w:ascii="Open Sans Light" w:hAnsi="Open Sans Light" w:cs="Open Sans Light"/>
          <w:b/>
          <w:iCs/>
          <w:color w:val="303AB2"/>
          <w:szCs w:val="18"/>
        </w:rPr>
        <w:t>(</w:t>
      </w:r>
      <w:r w:rsidR="00BA3A6F">
        <w:rPr>
          <w:rFonts w:ascii="Open Sans Light" w:hAnsi="Open Sans Light" w:cs="Open Sans Light"/>
          <w:b/>
          <w:iCs/>
          <w:color w:val="303AB2"/>
        </w:rPr>
        <w:t>jun</w:t>
      </w:r>
      <w:r w:rsidR="0094649A">
        <w:rPr>
          <w:rFonts w:ascii="Open Sans Light" w:hAnsi="Open Sans Light" w:cs="Open Sans Light"/>
          <w:b/>
          <w:iCs/>
          <w:color w:val="303AB2"/>
        </w:rPr>
        <w:t>. 202</w:t>
      </w:r>
      <w:r w:rsidR="00711672">
        <w:rPr>
          <w:rFonts w:ascii="Open Sans Light" w:hAnsi="Open Sans Light" w:cs="Open Sans Light"/>
          <w:b/>
          <w:iCs/>
          <w:color w:val="303AB2"/>
        </w:rPr>
        <w:t>3</w:t>
      </w:r>
      <w:r w:rsidR="0094649A">
        <w:rPr>
          <w:rFonts w:ascii="Open Sans Light" w:hAnsi="Open Sans Light" w:cs="Open Sans Light"/>
          <w:b/>
          <w:iCs/>
          <w:color w:val="303AB2"/>
        </w:rPr>
        <w:t>)</w:t>
      </w:r>
    </w:p>
    <w:tbl>
      <w:tblPr>
        <w:tblStyle w:val="Tablaconcuadrcula5oscura-nfasis3"/>
        <w:tblW w:w="8954" w:type="dxa"/>
        <w:tblInd w:w="-113" w:type="dxa"/>
        <w:tblLook w:val="04A0" w:firstRow="1" w:lastRow="0" w:firstColumn="1" w:lastColumn="0" w:noHBand="0" w:noVBand="1"/>
      </w:tblPr>
      <w:tblGrid>
        <w:gridCol w:w="2660"/>
        <w:gridCol w:w="2268"/>
        <w:gridCol w:w="1984"/>
        <w:gridCol w:w="2042"/>
      </w:tblGrid>
      <w:tr w:rsidR="00BA3A6F" w:rsidRPr="00711672" w14:paraId="6CB2AAE2" w14:textId="38BBECA7" w:rsidTr="00F7080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center"/>
          </w:tcPr>
          <w:p w14:paraId="62B302EE" w14:textId="111D0EA1" w:rsidR="00BA3A6F" w:rsidRPr="00711672" w:rsidRDefault="00BA3A6F" w:rsidP="00DC4348">
            <w:pPr>
              <w:ind w:right="-433"/>
              <w:rPr>
                <w:rFonts w:ascii="Open Sans" w:hAnsi="Open Sans" w:cs="Open Sans"/>
                <w:b w:val="0"/>
                <w:sz w:val="22"/>
                <w:szCs w:val="22"/>
                <w:lang w:val="es-ES"/>
              </w:rPr>
            </w:pPr>
            <w:r w:rsidRPr="00711672">
              <w:rPr>
                <w:rFonts w:ascii="Open Sans" w:hAnsi="Open Sans" w:cs="Open Sans"/>
                <w:b w:val="0"/>
                <w:sz w:val="22"/>
                <w:szCs w:val="22"/>
                <w:lang w:val="es-ES"/>
              </w:rPr>
              <w:t xml:space="preserve">Comunidades </w:t>
            </w:r>
          </w:p>
        </w:tc>
        <w:tc>
          <w:tcPr>
            <w:tcW w:w="2268" w:type="dxa"/>
            <w:shd w:val="clear" w:color="auto" w:fill="1DBDC5"/>
          </w:tcPr>
          <w:p w14:paraId="4E1E864C" w14:textId="28F75B5B" w:rsidR="00BA3A6F" w:rsidRPr="00711672"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Jun</w:t>
            </w:r>
            <w:r w:rsidRPr="00711672">
              <w:rPr>
                <w:rFonts w:ascii="Open Sans" w:hAnsi="Open Sans" w:cs="Open Sans"/>
                <w:b w:val="0"/>
                <w:sz w:val="22"/>
                <w:szCs w:val="22"/>
                <w:lang w:val="es-ES"/>
              </w:rPr>
              <w:t>. 202</w:t>
            </w:r>
            <w:r>
              <w:rPr>
                <w:rFonts w:ascii="Open Sans" w:hAnsi="Open Sans" w:cs="Open Sans"/>
                <w:b w:val="0"/>
                <w:sz w:val="22"/>
                <w:szCs w:val="22"/>
                <w:lang w:val="es-ES"/>
              </w:rPr>
              <w:t>3</w:t>
            </w:r>
          </w:p>
          <w:p w14:paraId="57AC9B3C" w14:textId="0412E6CF" w:rsidR="00BA3A6F" w:rsidRPr="00711672"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(euros/m²)</w:t>
            </w:r>
          </w:p>
        </w:tc>
        <w:tc>
          <w:tcPr>
            <w:tcW w:w="1984" w:type="dxa"/>
            <w:shd w:val="clear" w:color="auto" w:fill="1DBDC5"/>
          </w:tcPr>
          <w:p w14:paraId="70308C14" w14:textId="77777777" w:rsidR="00BA3A6F" w:rsidRPr="00711672" w:rsidRDefault="00BA3A6F" w:rsidP="00CD3D75">
            <w:pPr>
              <w:ind w:right="31"/>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Variación</w:t>
            </w:r>
          </w:p>
          <w:p w14:paraId="22160328" w14:textId="117AC3DE" w:rsidR="00BA3A6F" w:rsidRPr="00711672" w:rsidRDefault="00BA3A6F" w:rsidP="00CD3D75">
            <w:pPr>
              <w:ind w:right="31"/>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trimestral (%)</w:t>
            </w:r>
          </w:p>
        </w:tc>
        <w:tc>
          <w:tcPr>
            <w:tcW w:w="2042" w:type="dxa"/>
            <w:shd w:val="clear" w:color="auto" w:fill="1DBDC5"/>
          </w:tcPr>
          <w:p w14:paraId="6C1609F4" w14:textId="2488D7B8" w:rsidR="00DC4348" w:rsidRDefault="00BA3A6F" w:rsidP="00CD3D75">
            <w:pPr>
              <w:ind w:right="31"/>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11672">
              <w:rPr>
                <w:rFonts w:ascii="Open Sans" w:hAnsi="Open Sans" w:cs="Open Sans"/>
                <w:b w:val="0"/>
                <w:sz w:val="22"/>
                <w:szCs w:val="22"/>
                <w:lang w:val="es-ES"/>
              </w:rPr>
              <w:t>Variación</w:t>
            </w:r>
          </w:p>
          <w:p w14:paraId="786F9BA3" w14:textId="68A70FCD" w:rsidR="00BA3A6F" w:rsidRPr="00711672" w:rsidRDefault="00BA3A6F" w:rsidP="00CD3D75">
            <w:pPr>
              <w:ind w:right="31"/>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interanual (%)</w:t>
            </w:r>
          </w:p>
        </w:tc>
      </w:tr>
      <w:tr w:rsidR="00BA3A6F" w:rsidRPr="00711672" w14:paraId="7B774D32" w14:textId="73C2BAB5"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1D5284E2" w14:textId="740308F8"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Navarra </w:t>
            </w:r>
          </w:p>
        </w:tc>
        <w:tc>
          <w:tcPr>
            <w:tcW w:w="2268" w:type="dxa"/>
            <w:vAlign w:val="bottom"/>
          </w:tcPr>
          <w:p w14:paraId="01C0916C" w14:textId="361652E4"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2.044 €</w:t>
            </w:r>
          </w:p>
        </w:tc>
        <w:tc>
          <w:tcPr>
            <w:tcW w:w="1984" w:type="dxa"/>
            <w:vAlign w:val="bottom"/>
          </w:tcPr>
          <w:p w14:paraId="757D0CCD" w14:textId="6F456B3A"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7,5%</w:t>
            </w:r>
          </w:p>
        </w:tc>
        <w:tc>
          <w:tcPr>
            <w:tcW w:w="2042" w:type="dxa"/>
            <w:vAlign w:val="bottom"/>
          </w:tcPr>
          <w:p w14:paraId="59610E88" w14:textId="194F06C1"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21,5%</w:t>
            </w:r>
          </w:p>
        </w:tc>
      </w:tr>
      <w:tr w:rsidR="00BA3A6F" w:rsidRPr="00711672" w14:paraId="7C6472D6" w14:textId="57A97760"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2AD9768B" w14:textId="35EE6C5D"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Canarias </w:t>
            </w:r>
          </w:p>
        </w:tc>
        <w:tc>
          <w:tcPr>
            <w:tcW w:w="2268" w:type="dxa"/>
            <w:vAlign w:val="bottom"/>
          </w:tcPr>
          <w:p w14:paraId="73A5843D" w14:textId="120F13E5"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2.190 €</w:t>
            </w:r>
          </w:p>
        </w:tc>
        <w:tc>
          <w:tcPr>
            <w:tcW w:w="1984" w:type="dxa"/>
            <w:vAlign w:val="bottom"/>
          </w:tcPr>
          <w:p w14:paraId="37E08E5B" w14:textId="7A50CBCE"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6,9%</w:t>
            </w:r>
          </w:p>
        </w:tc>
        <w:tc>
          <w:tcPr>
            <w:tcW w:w="2042" w:type="dxa"/>
            <w:vAlign w:val="bottom"/>
          </w:tcPr>
          <w:p w14:paraId="3CC2131F" w14:textId="1FB4AAD6"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21,7%</w:t>
            </w:r>
          </w:p>
        </w:tc>
      </w:tr>
      <w:tr w:rsidR="00BA3A6F" w:rsidRPr="00711672" w14:paraId="63DFBB0A" w14:textId="3971128F"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34966F22" w14:textId="5D125A69"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Baleares </w:t>
            </w:r>
          </w:p>
        </w:tc>
        <w:tc>
          <w:tcPr>
            <w:tcW w:w="2268" w:type="dxa"/>
            <w:vAlign w:val="bottom"/>
          </w:tcPr>
          <w:p w14:paraId="0A323AB4" w14:textId="753F07CB"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3.806 €</w:t>
            </w:r>
          </w:p>
        </w:tc>
        <w:tc>
          <w:tcPr>
            <w:tcW w:w="1984" w:type="dxa"/>
            <w:vAlign w:val="bottom"/>
          </w:tcPr>
          <w:p w14:paraId="3A6F24A8" w14:textId="39160543"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5,3%</w:t>
            </w:r>
          </w:p>
        </w:tc>
        <w:tc>
          <w:tcPr>
            <w:tcW w:w="2042" w:type="dxa"/>
            <w:vAlign w:val="bottom"/>
          </w:tcPr>
          <w:p w14:paraId="54DE012B" w14:textId="25828B0B"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24,0%</w:t>
            </w:r>
          </w:p>
        </w:tc>
      </w:tr>
      <w:tr w:rsidR="00BA3A6F" w:rsidRPr="00711672" w14:paraId="6EF28239" w14:textId="0C688485"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19176878" w14:textId="7BEE994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Región de Murcia </w:t>
            </w:r>
          </w:p>
        </w:tc>
        <w:tc>
          <w:tcPr>
            <w:tcW w:w="2268" w:type="dxa"/>
            <w:vAlign w:val="bottom"/>
          </w:tcPr>
          <w:p w14:paraId="320F8468" w14:textId="3B21BE5E"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1.264 €</w:t>
            </w:r>
          </w:p>
        </w:tc>
        <w:tc>
          <w:tcPr>
            <w:tcW w:w="1984" w:type="dxa"/>
            <w:vAlign w:val="bottom"/>
          </w:tcPr>
          <w:p w14:paraId="6C44F48B" w14:textId="19E1BED0"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4,7%</w:t>
            </w:r>
          </w:p>
        </w:tc>
        <w:tc>
          <w:tcPr>
            <w:tcW w:w="2042" w:type="dxa"/>
            <w:vAlign w:val="bottom"/>
          </w:tcPr>
          <w:p w14:paraId="2C66630C" w14:textId="3EFD8FDE"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10,5%</w:t>
            </w:r>
          </w:p>
        </w:tc>
      </w:tr>
      <w:tr w:rsidR="00BA3A6F" w:rsidRPr="00711672" w14:paraId="68D0495B" w14:textId="312781A7"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687AADC1" w14:textId="2088D0B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Comunitat Valenciana </w:t>
            </w:r>
          </w:p>
        </w:tc>
        <w:tc>
          <w:tcPr>
            <w:tcW w:w="2268" w:type="dxa"/>
            <w:vAlign w:val="bottom"/>
          </w:tcPr>
          <w:p w14:paraId="4568B86E" w14:textId="0BA16371"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1.677 €</w:t>
            </w:r>
          </w:p>
        </w:tc>
        <w:tc>
          <w:tcPr>
            <w:tcW w:w="1984" w:type="dxa"/>
            <w:vAlign w:val="bottom"/>
          </w:tcPr>
          <w:p w14:paraId="63E42147" w14:textId="52C644C6"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4,3%</w:t>
            </w:r>
          </w:p>
        </w:tc>
        <w:tc>
          <w:tcPr>
            <w:tcW w:w="2042" w:type="dxa"/>
            <w:vAlign w:val="bottom"/>
          </w:tcPr>
          <w:p w14:paraId="41DD7B4E" w14:textId="64877D3C"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13,9%</w:t>
            </w:r>
          </w:p>
        </w:tc>
      </w:tr>
      <w:tr w:rsidR="00BA3A6F" w:rsidRPr="00711672" w14:paraId="00804F02" w14:textId="1683EB80"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199B2916" w14:textId="20F427EC"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Aragón </w:t>
            </w:r>
          </w:p>
        </w:tc>
        <w:tc>
          <w:tcPr>
            <w:tcW w:w="2268" w:type="dxa"/>
            <w:vAlign w:val="bottom"/>
          </w:tcPr>
          <w:p w14:paraId="70840296" w14:textId="7DEA16CB"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1.701 €</w:t>
            </w:r>
          </w:p>
        </w:tc>
        <w:tc>
          <w:tcPr>
            <w:tcW w:w="1984" w:type="dxa"/>
            <w:vAlign w:val="bottom"/>
          </w:tcPr>
          <w:p w14:paraId="0529CF25" w14:textId="7DCF6D9A"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3,1%</w:t>
            </w:r>
          </w:p>
        </w:tc>
        <w:tc>
          <w:tcPr>
            <w:tcW w:w="2042" w:type="dxa"/>
            <w:vAlign w:val="bottom"/>
          </w:tcPr>
          <w:p w14:paraId="2FFC6375" w14:textId="10A95A7C"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5,6%</w:t>
            </w:r>
          </w:p>
        </w:tc>
      </w:tr>
      <w:tr w:rsidR="00BA3A6F" w:rsidRPr="00711672" w14:paraId="195E0571" w14:textId="17D52D48"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5563A87D" w14:textId="5CBBD9AB"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La Rioja </w:t>
            </w:r>
          </w:p>
        </w:tc>
        <w:tc>
          <w:tcPr>
            <w:tcW w:w="2268" w:type="dxa"/>
            <w:vAlign w:val="bottom"/>
          </w:tcPr>
          <w:p w14:paraId="6B43960E" w14:textId="01FFA257"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1.606 €</w:t>
            </w:r>
          </w:p>
        </w:tc>
        <w:tc>
          <w:tcPr>
            <w:tcW w:w="1984" w:type="dxa"/>
            <w:vAlign w:val="bottom"/>
          </w:tcPr>
          <w:p w14:paraId="33135AE9" w14:textId="54392F0E"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2,5%</w:t>
            </w:r>
          </w:p>
        </w:tc>
        <w:tc>
          <w:tcPr>
            <w:tcW w:w="2042" w:type="dxa"/>
            <w:vAlign w:val="bottom"/>
          </w:tcPr>
          <w:p w14:paraId="08936388" w14:textId="1398AA73"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11,8%</w:t>
            </w:r>
          </w:p>
        </w:tc>
      </w:tr>
      <w:tr w:rsidR="00BA3A6F" w:rsidRPr="00711672" w14:paraId="57A817D0" w14:textId="1A9E38FC"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470379E5" w14:textId="1683062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Cantabria </w:t>
            </w:r>
          </w:p>
        </w:tc>
        <w:tc>
          <w:tcPr>
            <w:tcW w:w="2268" w:type="dxa"/>
            <w:vAlign w:val="bottom"/>
          </w:tcPr>
          <w:p w14:paraId="6B6828B8" w14:textId="6F8B7504"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1.881 €</w:t>
            </w:r>
          </w:p>
        </w:tc>
        <w:tc>
          <w:tcPr>
            <w:tcW w:w="1984" w:type="dxa"/>
            <w:vAlign w:val="bottom"/>
          </w:tcPr>
          <w:p w14:paraId="101B96A0" w14:textId="38EFB9ED"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2,3%</w:t>
            </w:r>
          </w:p>
        </w:tc>
        <w:tc>
          <w:tcPr>
            <w:tcW w:w="2042" w:type="dxa"/>
            <w:vAlign w:val="bottom"/>
          </w:tcPr>
          <w:p w14:paraId="0D6E3306" w14:textId="5FA8BB01"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6,8%</w:t>
            </w:r>
          </w:p>
        </w:tc>
      </w:tr>
      <w:tr w:rsidR="00BA3A6F" w:rsidRPr="00711672" w14:paraId="717E266C" w14:textId="77CA08E9"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66A66DF6" w14:textId="78E1D6DD"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Cataluña </w:t>
            </w:r>
          </w:p>
        </w:tc>
        <w:tc>
          <w:tcPr>
            <w:tcW w:w="2268" w:type="dxa"/>
            <w:vAlign w:val="bottom"/>
          </w:tcPr>
          <w:p w14:paraId="19D569AF" w14:textId="47C67B20"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2.769 €</w:t>
            </w:r>
          </w:p>
        </w:tc>
        <w:tc>
          <w:tcPr>
            <w:tcW w:w="1984" w:type="dxa"/>
            <w:vAlign w:val="bottom"/>
          </w:tcPr>
          <w:p w14:paraId="70974A4F" w14:textId="78CDC615"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2,2%</w:t>
            </w:r>
          </w:p>
        </w:tc>
        <w:tc>
          <w:tcPr>
            <w:tcW w:w="2042" w:type="dxa"/>
            <w:vAlign w:val="bottom"/>
          </w:tcPr>
          <w:p w14:paraId="770AB993" w14:textId="54E4BD16"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6,9%</w:t>
            </w:r>
          </w:p>
        </w:tc>
      </w:tr>
      <w:tr w:rsidR="00BA3A6F" w:rsidRPr="00711672" w14:paraId="51F4E6F1" w14:textId="4244A9C2"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0F94FE57" w14:textId="1FE02D8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Castilla-La Mancha </w:t>
            </w:r>
          </w:p>
        </w:tc>
        <w:tc>
          <w:tcPr>
            <w:tcW w:w="2268" w:type="dxa"/>
            <w:vAlign w:val="bottom"/>
          </w:tcPr>
          <w:p w14:paraId="61EE01E1" w14:textId="364F5A8D"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1.177 €</w:t>
            </w:r>
          </w:p>
        </w:tc>
        <w:tc>
          <w:tcPr>
            <w:tcW w:w="1984" w:type="dxa"/>
            <w:vAlign w:val="bottom"/>
          </w:tcPr>
          <w:p w14:paraId="433FDB1D" w14:textId="090FCBCB"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2,1%</w:t>
            </w:r>
          </w:p>
        </w:tc>
        <w:tc>
          <w:tcPr>
            <w:tcW w:w="2042" w:type="dxa"/>
            <w:vAlign w:val="bottom"/>
          </w:tcPr>
          <w:p w14:paraId="03C5AFC6" w14:textId="1A712FF6"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5,1%</w:t>
            </w:r>
          </w:p>
        </w:tc>
      </w:tr>
      <w:tr w:rsidR="00BA3A6F" w:rsidRPr="00711672" w14:paraId="740D81F3" w14:textId="0381F129"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3B4C853E" w14:textId="0725D5FE"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Asturias </w:t>
            </w:r>
          </w:p>
        </w:tc>
        <w:tc>
          <w:tcPr>
            <w:tcW w:w="2268" w:type="dxa"/>
            <w:vAlign w:val="bottom"/>
          </w:tcPr>
          <w:p w14:paraId="01A05F43" w14:textId="6154F163"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1.624 €</w:t>
            </w:r>
          </w:p>
        </w:tc>
        <w:tc>
          <w:tcPr>
            <w:tcW w:w="1984" w:type="dxa"/>
            <w:vAlign w:val="bottom"/>
          </w:tcPr>
          <w:p w14:paraId="61B55626" w14:textId="5D7D3199"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1,3%</w:t>
            </w:r>
          </w:p>
        </w:tc>
        <w:tc>
          <w:tcPr>
            <w:tcW w:w="2042" w:type="dxa"/>
            <w:vAlign w:val="bottom"/>
          </w:tcPr>
          <w:p w14:paraId="04B6CE1B" w14:textId="2ED60E97"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2,4%</w:t>
            </w:r>
          </w:p>
        </w:tc>
      </w:tr>
      <w:tr w:rsidR="00BA3A6F" w:rsidRPr="00711672" w14:paraId="3A754486" w14:textId="3B7B24BF"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453F448F" w14:textId="7BE3670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Galicia </w:t>
            </w:r>
          </w:p>
        </w:tc>
        <w:tc>
          <w:tcPr>
            <w:tcW w:w="2268" w:type="dxa"/>
            <w:vAlign w:val="bottom"/>
          </w:tcPr>
          <w:p w14:paraId="2735F067" w14:textId="0513EB7F"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1.690 €</w:t>
            </w:r>
          </w:p>
        </w:tc>
        <w:tc>
          <w:tcPr>
            <w:tcW w:w="1984" w:type="dxa"/>
            <w:vAlign w:val="bottom"/>
          </w:tcPr>
          <w:p w14:paraId="4E028118" w14:textId="512671C5"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1,1%</w:t>
            </w:r>
          </w:p>
        </w:tc>
        <w:tc>
          <w:tcPr>
            <w:tcW w:w="2042" w:type="dxa"/>
            <w:vAlign w:val="bottom"/>
          </w:tcPr>
          <w:p w14:paraId="511F57B9" w14:textId="2A7BCBDC"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w:t>
            </w:r>
          </w:p>
        </w:tc>
      </w:tr>
      <w:tr w:rsidR="00BA3A6F" w:rsidRPr="00711672" w14:paraId="4F3B75C1" w14:textId="181DF5BD"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3FD2AD3C" w14:textId="7D119A51"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País Vasco </w:t>
            </w:r>
          </w:p>
        </w:tc>
        <w:tc>
          <w:tcPr>
            <w:tcW w:w="2268" w:type="dxa"/>
            <w:vAlign w:val="bottom"/>
          </w:tcPr>
          <w:p w14:paraId="104CA77F" w14:textId="33251879"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2.988 €</w:t>
            </w:r>
          </w:p>
        </w:tc>
        <w:tc>
          <w:tcPr>
            <w:tcW w:w="1984" w:type="dxa"/>
            <w:vAlign w:val="bottom"/>
          </w:tcPr>
          <w:p w14:paraId="2B821D32" w14:textId="5DF0B484"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1,0%</w:t>
            </w:r>
          </w:p>
        </w:tc>
        <w:tc>
          <w:tcPr>
            <w:tcW w:w="2042" w:type="dxa"/>
            <w:vAlign w:val="bottom"/>
          </w:tcPr>
          <w:p w14:paraId="39A6CE0C" w14:textId="12F215B8"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3,3%</w:t>
            </w:r>
          </w:p>
        </w:tc>
      </w:tr>
      <w:tr w:rsidR="00BA3A6F" w:rsidRPr="00711672" w14:paraId="0F122306" w14:textId="6B9C34D8"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37214D52" w14:textId="4439479D"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Madrid </w:t>
            </w:r>
          </w:p>
        </w:tc>
        <w:tc>
          <w:tcPr>
            <w:tcW w:w="2268" w:type="dxa"/>
            <w:vAlign w:val="bottom"/>
          </w:tcPr>
          <w:p w14:paraId="13A02553" w14:textId="009D9543"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3.477 €</w:t>
            </w:r>
          </w:p>
        </w:tc>
        <w:tc>
          <w:tcPr>
            <w:tcW w:w="1984" w:type="dxa"/>
            <w:vAlign w:val="bottom"/>
          </w:tcPr>
          <w:p w14:paraId="6CB4DF99" w14:textId="3EB6A146"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0,9%</w:t>
            </w:r>
          </w:p>
        </w:tc>
        <w:tc>
          <w:tcPr>
            <w:tcW w:w="2042" w:type="dxa"/>
            <w:vAlign w:val="bottom"/>
          </w:tcPr>
          <w:p w14:paraId="71F2EA44" w14:textId="1764AA48"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w:t>
            </w:r>
          </w:p>
        </w:tc>
      </w:tr>
      <w:tr w:rsidR="00BA3A6F" w:rsidRPr="00711672" w14:paraId="1BB5A311" w14:textId="527C13C8"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45D65B72" w14:textId="324813B1"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Andalucía </w:t>
            </w:r>
          </w:p>
        </w:tc>
        <w:tc>
          <w:tcPr>
            <w:tcW w:w="2268" w:type="dxa"/>
            <w:vAlign w:val="bottom"/>
          </w:tcPr>
          <w:p w14:paraId="4B7EFC14" w14:textId="4E6EBE29"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1.897 €</w:t>
            </w:r>
          </w:p>
        </w:tc>
        <w:tc>
          <w:tcPr>
            <w:tcW w:w="1984" w:type="dxa"/>
            <w:vAlign w:val="bottom"/>
          </w:tcPr>
          <w:p w14:paraId="57C52C14" w14:textId="42BED953"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0,7%</w:t>
            </w:r>
          </w:p>
        </w:tc>
        <w:tc>
          <w:tcPr>
            <w:tcW w:w="2042" w:type="dxa"/>
            <w:vAlign w:val="bottom"/>
          </w:tcPr>
          <w:p w14:paraId="4238E4FD" w14:textId="684E9311"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9,8%</w:t>
            </w:r>
          </w:p>
        </w:tc>
      </w:tr>
      <w:tr w:rsidR="00BA3A6F" w:rsidRPr="00711672" w14:paraId="5BD83151" w14:textId="61EF906A"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223D7EE5" w14:textId="2E9CDD7C"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Castilla y León </w:t>
            </w:r>
          </w:p>
        </w:tc>
        <w:tc>
          <w:tcPr>
            <w:tcW w:w="2268" w:type="dxa"/>
            <w:vAlign w:val="bottom"/>
          </w:tcPr>
          <w:p w14:paraId="2C39E81E" w14:textId="5E18D9A7" w:rsidR="00BA3A6F" w:rsidRPr="00711672"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1.462 €</w:t>
            </w:r>
          </w:p>
        </w:tc>
        <w:tc>
          <w:tcPr>
            <w:tcW w:w="1984" w:type="dxa"/>
            <w:vAlign w:val="bottom"/>
          </w:tcPr>
          <w:p w14:paraId="10827B2B" w14:textId="4E58B433"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9C0006"/>
                <w:sz w:val="22"/>
                <w:szCs w:val="22"/>
              </w:rPr>
              <w:t>-0,1%</w:t>
            </w:r>
          </w:p>
        </w:tc>
        <w:tc>
          <w:tcPr>
            <w:tcW w:w="2042" w:type="dxa"/>
            <w:vAlign w:val="bottom"/>
          </w:tcPr>
          <w:p w14:paraId="78BBE8A0" w14:textId="48B302DB" w:rsidR="00BA3A6F" w:rsidRPr="00711672"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3,7%</w:t>
            </w:r>
          </w:p>
        </w:tc>
      </w:tr>
      <w:tr w:rsidR="00BA3A6F" w:rsidRPr="00711672" w14:paraId="0A59C948" w14:textId="6F249299" w:rsidTr="00F7080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0FE8DF8C" w14:textId="680D15FE"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 xml:space="preserve"> Extremadura </w:t>
            </w:r>
          </w:p>
        </w:tc>
        <w:tc>
          <w:tcPr>
            <w:tcW w:w="2268" w:type="dxa"/>
            <w:vAlign w:val="bottom"/>
          </w:tcPr>
          <w:p w14:paraId="73D4BFA5" w14:textId="3C691965" w:rsidR="00BA3A6F" w:rsidRPr="00711672"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1.222 €</w:t>
            </w:r>
          </w:p>
        </w:tc>
        <w:tc>
          <w:tcPr>
            <w:tcW w:w="1984" w:type="dxa"/>
            <w:vAlign w:val="bottom"/>
          </w:tcPr>
          <w:p w14:paraId="12734898" w14:textId="37BD76DA" w:rsidR="00BA3A6F" w:rsidRPr="00BA3A6F"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9C0006"/>
                <w:sz w:val="22"/>
                <w:szCs w:val="22"/>
              </w:rPr>
              <w:t>-0,7%</w:t>
            </w:r>
          </w:p>
        </w:tc>
        <w:tc>
          <w:tcPr>
            <w:tcW w:w="2042" w:type="dxa"/>
            <w:vAlign w:val="bottom"/>
          </w:tcPr>
          <w:p w14:paraId="6BB498E0" w14:textId="6A0FC39F" w:rsidR="00BA3A6F" w:rsidRPr="00711672" w:rsidRDefault="00BA3A6F" w:rsidP="00CD3D75">
            <w:pPr>
              <w:ind w:right="31"/>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6,4%</w:t>
            </w:r>
          </w:p>
        </w:tc>
      </w:tr>
      <w:tr w:rsidR="00BA3A6F" w:rsidRPr="00711672" w14:paraId="28573A10" w14:textId="7DA1AEDE" w:rsidTr="00F7080E">
        <w:trPr>
          <w:trHeight w:val="258"/>
        </w:trPr>
        <w:tc>
          <w:tcPr>
            <w:cnfStyle w:val="001000000000" w:firstRow="0" w:lastRow="0" w:firstColumn="1" w:lastColumn="0" w:oddVBand="0" w:evenVBand="0" w:oddHBand="0" w:evenHBand="0" w:firstRowFirstColumn="0" w:firstRowLastColumn="0" w:lastRowFirstColumn="0" w:lastRowLastColumn="0"/>
            <w:tcW w:w="2660" w:type="dxa"/>
            <w:shd w:val="clear" w:color="auto" w:fill="1DBDC5"/>
            <w:vAlign w:val="bottom"/>
          </w:tcPr>
          <w:p w14:paraId="318B8508" w14:textId="148AE140" w:rsidR="00BA3A6F" w:rsidRPr="00BA3A6F" w:rsidRDefault="00BA3A6F" w:rsidP="00DC4348">
            <w:pPr>
              <w:ind w:right="-433"/>
              <w:rPr>
                <w:rFonts w:ascii="Open Sans" w:hAnsi="Open Sans" w:cs="Open Sans"/>
                <w:sz w:val="22"/>
                <w:szCs w:val="22"/>
              </w:rPr>
            </w:pPr>
            <w:r w:rsidRPr="00BA3A6F">
              <w:rPr>
                <w:rFonts w:ascii="Open Sans" w:hAnsi="Open Sans" w:cs="Open Sans"/>
                <w:sz w:val="22"/>
                <w:szCs w:val="22"/>
              </w:rPr>
              <w:t xml:space="preserve"> España </w:t>
            </w:r>
          </w:p>
        </w:tc>
        <w:tc>
          <w:tcPr>
            <w:tcW w:w="2268" w:type="dxa"/>
            <w:vAlign w:val="bottom"/>
          </w:tcPr>
          <w:p w14:paraId="507B4E62" w14:textId="4515897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2.146 €</w:t>
            </w:r>
          </w:p>
        </w:tc>
        <w:tc>
          <w:tcPr>
            <w:tcW w:w="1984" w:type="dxa"/>
            <w:vAlign w:val="bottom"/>
          </w:tcPr>
          <w:p w14:paraId="79055F40" w14:textId="2ECC2AC2"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2,1%</w:t>
            </w:r>
          </w:p>
        </w:tc>
        <w:tc>
          <w:tcPr>
            <w:tcW w:w="2042" w:type="dxa"/>
            <w:vAlign w:val="bottom"/>
          </w:tcPr>
          <w:p w14:paraId="5E240EC3" w14:textId="7E8B8F0C" w:rsidR="00BA3A6F" w:rsidRPr="00BA3A6F" w:rsidRDefault="00BA3A6F" w:rsidP="00CD3D75">
            <w:pPr>
              <w:ind w:right="31"/>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BA3A6F">
              <w:rPr>
                <w:rFonts w:ascii="Open Sans" w:hAnsi="Open Sans" w:cs="Open Sans"/>
                <w:b/>
                <w:bCs/>
                <w:color w:val="000000"/>
                <w:sz w:val="22"/>
                <w:szCs w:val="22"/>
              </w:rPr>
              <w:t>10,8%</w:t>
            </w:r>
          </w:p>
        </w:tc>
      </w:tr>
    </w:tbl>
    <w:p w14:paraId="490A2B3C" w14:textId="73D63A4A" w:rsidR="008B228B" w:rsidRPr="008B228B" w:rsidRDefault="008B228B" w:rsidP="00DC4348">
      <w:pPr>
        <w:pStyle w:val="NormalWeb"/>
        <w:shd w:val="clear" w:color="auto" w:fill="FFFFFF"/>
        <w:spacing w:line="276" w:lineRule="auto"/>
        <w:ind w:right="-433"/>
        <w:rPr>
          <w:rFonts w:ascii="Open Sans Light" w:hAnsi="Open Sans Light" w:cs="Open Sans Light"/>
          <w:b/>
          <w:iCs/>
          <w:color w:val="303AB2"/>
          <w:szCs w:val="18"/>
        </w:rPr>
      </w:pPr>
      <w:r w:rsidRPr="008B228B">
        <w:rPr>
          <w:rFonts w:ascii="Open Sans Light" w:hAnsi="Open Sans Light" w:cs="Open Sans Light"/>
          <w:b/>
          <w:iCs/>
          <w:color w:val="303AB2"/>
          <w:szCs w:val="18"/>
        </w:rPr>
        <w:lastRenderedPageBreak/>
        <w:t xml:space="preserve">Tabla </w:t>
      </w:r>
      <w:r w:rsidR="00C5673A">
        <w:rPr>
          <w:rFonts w:ascii="Open Sans Light" w:hAnsi="Open Sans Light" w:cs="Open Sans Light"/>
          <w:b/>
          <w:iCs/>
          <w:color w:val="303AB2"/>
          <w:szCs w:val="18"/>
        </w:rPr>
        <w:t>2</w:t>
      </w:r>
      <w:r w:rsidRPr="008B228B">
        <w:rPr>
          <w:rFonts w:ascii="Open Sans Light" w:hAnsi="Open Sans Light" w:cs="Open Sans Light"/>
          <w:b/>
          <w:iCs/>
          <w:color w:val="303AB2"/>
          <w:szCs w:val="18"/>
        </w:rPr>
        <w:t>: Provincias de</w:t>
      </w:r>
      <w:r w:rsidR="008E7619">
        <w:rPr>
          <w:rFonts w:ascii="Open Sans Light" w:hAnsi="Open Sans Light" w:cs="Open Sans Light"/>
          <w:b/>
          <w:iCs/>
          <w:color w:val="303AB2"/>
          <w:szCs w:val="18"/>
        </w:rPr>
        <w:t xml:space="preserve"> </w:t>
      </w:r>
      <w:r w:rsidR="0094649A">
        <w:rPr>
          <w:rFonts w:ascii="Open Sans Light" w:hAnsi="Open Sans Light" w:cs="Open Sans Light"/>
          <w:b/>
          <w:iCs/>
          <w:color w:val="303AB2"/>
          <w:szCs w:val="18"/>
        </w:rPr>
        <w:t>mayor a menor descenso trimestral (</w:t>
      </w:r>
      <w:r w:rsidR="00BA3A6F">
        <w:rPr>
          <w:rFonts w:ascii="Open Sans Light" w:hAnsi="Open Sans Light" w:cs="Open Sans Light"/>
          <w:b/>
          <w:iCs/>
          <w:color w:val="303AB2"/>
        </w:rPr>
        <w:t>jun</w:t>
      </w:r>
      <w:r w:rsidR="0094649A">
        <w:rPr>
          <w:rFonts w:ascii="Open Sans Light" w:hAnsi="Open Sans Light" w:cs="Open Sans Light"/>
          <w:b/>
          <w:iCs/>
          <w:color w:val="303AB2"/>
        </w:rPr>
        <w:t>. 202</w:t>
      </w:r>
      <w:r w:rsidR="00F56BC6">
        <w:rPr>
          <w:rFonts w:ascii="Open Sans Light" w:hAnsi="Open Sans Light" w:cs="Open Sans Light"/>
          <w:b/>
          <w:iCs/>
          <w:color w:val="303AB2"/>
        </w:rPr>
        <w:t>3</w:t>
      </w:r>
      <w:r w:rsidR="0094649A">
        <w:rPr>
          <w:rFonts w:ascii="Open Sans Light" w:hAnsi="Open Sans Light" w:cs="Open Sans Light"/>
          <w:b/>
          <w:iCs/>
          <w:color w:val="303AB2"/>
        </w:rPr>
        <w:t>)</w:t>
      </w:r>
    </w:p>
    <w:tbl>
      <w:tblPr>
        <w:tblStyle w:val="Tablaconcuadrcula5oscura-nfasis3"/>
        <w:tblW w:w="9024" w:type="dxa"/>
        <w:tblInd w:w="-113" w:type="dxa"/>
        <w:tblLook w:val="04A0" w:firstRow="1" w:lastRow="0" w:firstColumn="1" w:lastColumn="0" w:noHBand="0" w:noVBand="1"/>
      </w:tblPr>
      <w:tblGrid>
        <w:gridCol w:w="2689"/>
        <w:gridCol w:w="2097"/>
        <w:gridCol w:w="2126"/>
        <w:gridCol w:w="2112"/>
      </w:tblGrid>
      <w:tr w:rsidR="00BA3A6F" w:rsidRPr="00BA3A6F" w14:paraId="719248E5" w14:textId="24E44509" w:rsidTr="00F7080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26297B0F" w14:textId="0E9A0A4F" w:rsidR="00BA3A6F" w:rsidRPr="00BA3A6F" w:rsidRDefault="00BA3A6F" w:rsidP="00DC4348">
            <w:pPr>
              <w:ind w:right="-433"/>
              <w:rPr>
                <w:rFonts w:ascii="Open Sans" w:hAnsi="Open Sans" w:cs="Open Sans"/>
                <w:b w:val="0"/>
                <w:sz w:val="22"/>
                <w:szCs w:val="22"/>
                <w:lang w:val="es-ES"/>
              </w:rPr>
            </w:pPr>
            <w:r w:rsidRPr="00BA3A6F">
              <w:rPr>
                <w:rFonts w:ascii="Open Sans" w:hAnsi="Open Sans" w:cs="Open Sans"/>
                <w:b w:val="0"/>
                <w:sz w:val="22"/>
                <w:szCs w:val="22"/>
                <w:lang w:val="es-ES"/>
              </w:rPr>
              <w:t>Provincia</w:t>
            </w:r>
          </w:p>
        </w:tc>
        <w:tc>
          <w:tcPr>
            <w:tcW w:w="2097" w:type="dxa"/>
            <w:shd w:val="clear" w:color="auto" w:fill="1DBDC5"/>
          </w:tcPr>
          <w:p w14:paraId="75C53A40" w14:textId="77777777" w:rsidR="00BA3A6F" w:rsidRPr="00711672"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Jun</w:t>
            </w:r>
            <w:r w:rsidRPr="00711672">
              <w:rPr>
                <w:rFonts w:ascii="Open Sans" w:hAnsi="Open Sans" w:cs="Open Sans"/>
                <w:b w:val="0"/>
                <w:sz w:val="22"/>
                <w:szCs w:val="22"/>
                <w:lang w:val="es-ES"/>
              </w:rPr>
              <w:t>. 202</w:t>
            </w:r>
            <w:r>
              <w:rPr>
                <w:rFonts w:ascii="Open Sans" w:hAnsi="Open Sans" w:cs="Open Sans"/>
                <w:b w:val="0"/>
                <w:sz w:val="22"/>
                <w:szCs w:val="22"/>
                <w:lang w:val="es-ES"/>
              </w:rPr>
              <w:t>3</w:t>
            </w:r>
          </w:p>
          <w:p w14:paraId="6BDB618A" w14:textId="2A58A8EE" w:rsidR="00BA3A6F" w:rsidRPr="00BA3A6F"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(euros/m²)</w:t>
            </w:r>
          </w:p>
        </w:tc>
        <w:tc>
          <w:tcPr>
            <w:tcW w:w="2126" w:type="dxa"/>
            <w:shd w:val="clear" w:color="auto" w:fill="1DBDC5"/>
          </w:tcPr>
          <w:p w14:paraId="382B57B8" w14:textId="77777777" w:rsidR="00BA3A6F" w:rsidRPr="00711672"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Variación</w:t>
            </w:r>
          </w:p>
          <w:p w14:paraId="5A39E963" w14:textId="71D0F972" w:rsidR="00BA3A6F" w:rsidRPr="00BA3A6F" w:rsidRDefault="00BA3A6F" w:rsidP="00DC4348">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trimestral (%)</w:t>
            </w:r>
          </w:p>
        </w:tc>
        <w:tc>
          <w:tcPr>
            <w:tcW w:w="2112" w:type="dxa"/>
            <w:shd w:val="clear" w:color="auto" w:fill="1DBDC5"/>
          </w:tcPr>
          <w:p w14:paraId="1164F210" w14:textId="30C86DE9" w:rsidR="00DC4348" w:rsidRDefault="00BA3A6F" w:rsidP="00CD3D75">
            <w:pPr>
              <w:ind w:right="162"/>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11672">
              <w:rPr>
                <w:rFonts w:ascii="Open Sans" w:hAnsi="Open Sans" w:cs="Open Sans"/>
                <w:b w:val="0"/>
                <w:sz w:val="22"/>
                <w:szCs w:val="22"/>
                <w:lang w:val="es-ES"/>
              </w:rPr>
              <w:t>Variación</w:t>
            </w:r>
          </w:p>
          <w:p w14:paraId="0012F01D" w14:textId="29A7473F" w:rsidR="00BA3A6F" w:rsidRPr="00BA3A6F" w:rsidRDefault="00BA3A6F" w:rsidP="00CD3D75">
            <w:pPr>
              <w:ind w:right="162"/>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interanual (%)</w:t>
            </w:r>
          </w:p>
        </w:tc>
      </w:tr>
      <w:tr w:rsidR="00BA3A6F" w:rsidRPr="00BA3A6F" w14:paraId="024ADABE" w14:textId="7FACA93E"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03C2739" w14:textId="369297B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Soria</w:t>
            </w:r>
          </w:p>
        </w:tc>
        <w:tc>
          <w:tcPr>
            <w:tcW w:w="2097" w:type="dxa"/>
            <w:vAlign w:val="bottom"/>
          </w:tcPr>
          <w:p w14:paraId="7BCE0D2E" w14:textId="4F8AA36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1.411 €</w:t>
            </w:r>
          </w:p>
        </w:tc>
        <w:tc>
          <w:tcPr>
            <w:tcW w:w="2126" w:type="dxa"/>
            <w:vAlign w:val="bottom"/>
          </w:tcPr>
          <w:p w14:paraId="2ADC9A65" w14:textId="05034D8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9,4%</w:t>
            </w:r>
          </w:p>
        </w:tc>
        <w:tc>
          <w:tcPr>
            <w:tcW w:w="2112" w:type="dxa"/>
            <w:vAlign w:val="bottom"/>
          </w:tcPr>
          <w:p w14:paraId="6C1BD1C1" w14:textId="35A07A7A"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8,2%</w:t>
            </w:r>
          </w:p>
        </w:tc>
      </w:tr>
      <w:tr w:rsidR="00BA3A6F" w:rsidRPr="00BA3A6F" w14:paraId="56E0166B" w14:textId="0FB5C2C5"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CB667CB" w14:textId="4086CB17"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Lleida</w:t>
            </w:r>
          </w:p>
        </w:tc>
        <w:tc>
          <w:tcPr>
            <w:tcW w:w="2097" w:type="dxa"/>
            <w:vAlign w:val="bottom"/>
          </w:tcPr>
          <w:p w14:paraId="6064A0CF" w14:textId="0F2E1AA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1.304 €</w:t>
            </w:r>
          </w:p>
        </w:tc>
        <w:tc>
          <w:tcPr>
            <w:tcW w:w="2126" w:type="dxa"/>
            <w:vAlign w:val="bottom"/>
          </w:tcPr>
          <w:p w14:paraId="0F7A0988" w14:textId="45D257BD"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7,7%</w:t>
            </w:r>
          </w:p>
        </w:tc>
        <w:tc>
          <w:tcPr>
            <w:tcW w:w="2112" w:type="dxa"/>
            <w:vAlign w:val="bottom"/>
          </w:tcPr>
          <w:p w14:paraId="57CC6233" w14:textId="190FE16B"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11,1%</w:t>
            </w:r>
          </w:p>
        </w:tc>
      </w:tr>
      <w:tr w:rsidR="00BA3A6F" w:rsidRPr="00BA3A6F" w14:paraId="4F88959D" w14:textId="011B2690"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DC8E32E" w14:textId="004C7433"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Santa Cruz de Tenerife</w:t>
            </w:r>
          </w:p>
        </w:tc>
        <w:tc>
          <w:tcPr>
            <w:tcW w:w="2097" w:type="dxa"/>
            <w:vAlign w:val="bottom"/>
          </w:tcPr>
          <w:p w14:paraId="4351003D" w14:textId="58DEB2E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2.358 €</w:t>
            </w:r>
          </w:p>
        </w:tc>
        <w:tc>
          <w:tcPr>
            <w:tcW w:w="2126" w:type="dxa"/>
            <w:vAlign w:val="bottom"/>
          </w:tcPr>
          <w:p w14:paraId="158305B8" w14:textId="44ADB29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7,6%</w:t>
            </w:r>
          </w:p>
        </w:tc>
        <w:tc>
          <w:tcPr>
            <w:tcW w:w="2112" w:type="dxa"/>
            <w:vAlign w:val="bottom"/>
          </w:tcPr>
          <w:p w14:paraId="5E7F2A5A" w14:textId="3DEF8837"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27,9%</w:t>
            </w:r>
          </w:p>
        </w:tc>
      </w:tr>
      <w:tr w:rsidR="00BA3A6F" w:rsidRPr="00BA3A6F" w14:paraId="171CF79A" w14:textId="4DE43672"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5E0767C" w14:textId="2F5D0D59"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Navarra</w:t>
            </w:r>
          </w:p>
        </w:tc>
        <w:tc>
          <w:tcPr>
            <w:tcW w:w="2097" w:type="dxa"/>
            <w:vAlign w:val="bottom"/>
          </w:tcPr>
          <w:p w14:paraId="3F4E065E" w14:textId="7EF52A9A"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2.044 €</w:t>
            </w:r>
          </w:p>
        </w:tc>
        <w:tc>
          <w:tcPr>
            <w:tcW w:w="2126" w:type="dxa"/>
            <w:vAlign w:val="bottom"/>
          </w:tcPr>
          <w:p w14:paraId="2F572628" w14:textId="7C80C5D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7,5%</w:t>
            </w:r>
          </w:p>
        </w:tc>
        <w:tc>
          <w:tcPr>
            <w:tcW w:w="2112" w:type="dxa"/>
            <w:vAlign w:val="bottom"/>
          </w:tcPr>
          <w:p w14:paraId="3D5F967C" w14:textId="288887F5"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21,5%</w:t>
            </w:r>
          </w:p>
        </w:tc>
      </w:tr>
      <w:tr w:rsidR="00BA3A6F" w:rsidRPr="00BA3A6F" w14:paraId="24A4F081" w14:textId="578C1501"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D539FA5" w14:textId="6CEE103D"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Alicante</w:t>
            </w:r>
          </w:p>
        </w:tc>
        <w:tc>
          <w:tcPr>
            <w:tcW w:w="2097" w:type="dxa"/>
            <w:vAlign w:val="bottom"/>
          </w:tcPr>
          <w:p w14:paraId="1D890108" w14:textId="56B1410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1.929 €</w:t>
            </w:r>
          </w:p>
        </w:tc>
        <w:tc>
          <w:tcPr>
            <w:tcW w:w="2126" w:type="dxa"/>
            <w:vAlign w:val="bottom"/>
          </w:tcPr>
          <w:p w14:paraId="2BF956CA" w14:textId="67669D7D"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6,2%</w:t>
            </w:r>
          </w:p>
        </w:tc>
        <w:tc>
          <w:tcPr>
            <w:tcW w:w="2112" w:type="dxa"/>
            <w:vAlign w:val="bottom"/>
          </w:tcPr>
          <w:p w14:paraId="178356C8" w14:textId="3F189605"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18,3%</w:t>
            </w:r>
          </w:p>
        </w:tc>
      </w:tr>
      <w:tr w:rsidR="00BA3A6F" w:rsidRPr="00BA3A6F" w14:paraId="57B752B2" w14:textId="33E2F02E"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6AB4107" w14:textId="726F5A04"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Teruel</w:t>
            </w:r>
          </w:p>
        </w:tc>
        <w:tc>
          <w:tcPr>
            <w:tcW w:w="2097" w:type="dxa"/>
            <w:vAlign w:val="bottom"/>
          </w:tcPr>
          <w:p w14:paraId="0EACFF81" w14:textId="7676450B"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1.198 €</w:t>
            </w:r>
          </w:p>
        </w:tc>
        <w:tc>
          <w:tcPr>
            <w:tcW w:w="2126" w:type="dxa"/>
            <w:vAlign w:val="bottom"/>
          </w:tcPr>
          <w:p w14:paraId="1DD2A4D3" w14:textId="560C751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BA3A6F">
              <w:rPr>
                <w:rFonts w:ascii="Open Sans" w:hAnsi="Open Sans" w:cs="Open Sans"/>
                <w:b/>
                <w:color w:val="000000"/>
                <w:sz w:val="22"/>
                <w:szCs w:val="22"/>
              </w:rPr>
              <w:t>5,7%</w:t>
            </w:r>
          </w:p>
        </w:tc>
        <w:tc>
          <w:tcPr>
            <w:tcW w:w="2112" w:type="dxa"/>
            <w:vAlign w:val="bottom"/>
          </w:tcPr>
          <w:p w14:paraId="3509E588" w14:textId="668DDE90"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BA3A6F">
              <w:rPr>
                <w:rFonts w:ascii="Open Sans" w:hAnsi="Open Sans" w:cs="Open Sans"/>
                <w:bCs/>
                <w:color w:val="000000"/>
                <w:sz w:val="22"/>
                <w:szCs w:val="22"/>
              </w:rPr>
              <w:t>10,1%</w:t>
            </w:r>
          </w:p>
        </w:tc>
      </w:tr>
      <w:tr w:rsidR="00BA3A6F" w:rsidRPr="00BA3A6F" w14:paraId="7B30266F" w14:textId="35A74281"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0580305" w14:textId="2910D954"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Las Palmas</w:t>
            </w:r>
          </w:p>
        </w:tc>
        <w:tc>
          <w:tcPr>
            <w:tcW w:w="2097" w:type="dxa"/>
            <w:vAlign w:val="bottom"/>
          </w:tcPr>
          <w:p w14:paraId="67CBEE88" w14:textId="66AD812D"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2.003 €</w:t>
            </w:r>
          </w:p>
        </w:tc>
        <w:tc>
          <w:tcPr>
            <w:tcW w:w="2126" w:type="dxa"/>
            <w:vAlign w:val="bottom"/>
          </w:tcPr>
          <w:p w14:paraId="158AD630" w14:textId="2B8EBC17"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5,4%</w:t>
            </w:r>
          </w:p>
        </w:tc>
        <w:tc>
          <w:tcPr>
            <w:tcW w:w="2112" w:type="dxa"/>
            <w:vAlign w:val="bottom"/>
          </w:tcPr>
          <w:p w14:paraId="0A47AFCE" w14:textId="2E545F51"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14,4%</w:t>
            </w:r>
          </w:p>
        </w:tc>
      </w:tr>
      <w:tr w:rsidR="00BA3A6F" w:rsidRPr="00BA3A6F" w14:paraId="079B79E9" w14:textId="12750436"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13F5DCC" w14:textId="4D0EC0C2"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Illes Balears</w:t>
            </w:r>
          </w:p>
        </w:tc>
        <w:tc>
          <w:tcPr>
            <w:tcW w:w="2097" w:type="dxa"/>
            <w:vAlign w:val="bottom"/>
          </w:tcPr>
          <w:p w14:paraId="0DB00914" w14:textId="54106C5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3.806 €</w:t>
            </w:r>
          </w:p>
        </w:tc>
        <w:tc>
          <w:tcPr>
            <w:tcW w:w="2126" w:type="dxa"/>
            <w:vAlign w:val="bottom"/>
          </w:tcPr>
          <w:p w14:paraId="355908FA" w14:textId="71B8544C"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5,3%</w:t>
            </w:r>
          </w:p>
        </w:tc>
        <w:tc>
          <w:tcPr>
            <w:tcW w:w="2112" w:type="dxa"/>
            <w:vAlign w:val="bottom"/>
          </w:tcPr>
          <w:p w14:paraId="33BA27F4" w14:textId="1E359FC7"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24,0%</w:t>
            </w:r>
          </w:p>
        </w:tc>
      </w:tr>
      <w:tr w:rsidR="00BA3A6F" w:rsidRPr="00BA3A6F" w14:paraId="15D7A89F" w14:textId="648059CE"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2A090F2" w14:textId="59373400"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Málaga</w:t>
            </w:r>
          </w:p>
        </w:tc>
        <w:tc>
          <w:tcPr>
            <w:tcW w:w="2097" w:type="dxa"/>
            <w:vAlign w:val="bottom"/>
          </w:tcPr>
          <w:p w14:paraId="43ACF476" w14:textId="2C0D0CEE"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3.040 €</w:t>
            </w:r>
          </w:p>
        </w:tc>
        <w:tc>
          <w:tcPr>
            <w:tcW w:w="2126" w:type="dxa"/>
            <w:vAlign w:val="bottom"/>
          </w:tcPr>
          <w:p w14:paraId="5D2B1D32" w14:textId="37DB67C3"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4,9%</w:t>
            </w:r>
          </w:p>
        </w:tc>
        <w:tc>
          <w:tcPr>
            <w:tcW w:w="2112" w:type="dxa"/>
            <w:vAlign w:val="bottom"/>
          </w:tcPr>
          <w:p w14:paraId="5A0BE832" w14:textId="66A9B68C"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17,1%</w:t>
            </w:r>
          </w:p>
        </w:tc>
      </w:tr>
      <w:tr w:rsidR="00BA3A6F" w:rsidRPr="00BA3A6F" w14:paraId="36B9CA1B" w14:textId="0A8E239B"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D6CA92B" w14:textId="6FBE5ECD"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Murcia</w:t>
            </w:r>
          </w:p>
        </w:tc>
        <w:tc>
          <w:tcPr>
            <w:tcW w:w="2097" w:type="dxa"/>
            <w:vAlign w:val="bottom"/>
          </w:tcPr>
          <w:p w14:paraId="207F2AF1" w14:textId="5BCF571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1.264 €</w:t>
            </w:r>
          </w:p>
        </w:tc>
        <w:tc>
          <w:tcPr>
            <w:tcW w:w="2126" w:type="dxa"/>
            <w:vAlign w:val="bottom"/>
          </w:tcPr>
          <w:p w14:paraId="499F15F3" w14:textId="14F0E49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4,7%</w:t>
            </w:r>
          </w:p>
        </w:tc>
        <w:tc>
          <w:tcPr>
            <w:tcW w:w="2112" w:type="dxa"/>
            <w:vAlign w:val="bottom"/>
          </w:tcPr>
          <w:p w14:paraId="7719E02B" w14:textId="77572FBC"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10,5%</w:t>
            </w:r>
          </w:p>
        </w:tc>
      </w:tr>
      <w:tr w:rsidR="00BA3A6F" w:rsidRPr="00BA3A6F" w14:paraId="1FB9A5F2" w14:textId="2565E735"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08B4AA6" w14:textId="6116C5F1"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Guadalajara</w:t>
            </w:r>
          </w:p>
        </w:tc>
        <w:tc>
          <w:tcPr>
            <w:tcW w:w="2097" w:type="dxa"/>
            <w:vAlign w:val="bottom"/>
          </w:tcPr>
          <w:p w14:paraId="14EFE7D7" w14:textId="16DCBC3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1.469 €</w:t>
            </w:r>
          </w:p>
        </w:tc>
        <w:tc>
          <w:tcPr>
            <w:tcW w:w="2126" w:type="dxa"/>
            <w:vAlign w:val="bottom"/>
          </w:tcPr>
          <w:p w14:paraId="529DD9F4" w14:textId="3387D60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4,0%</w:t>
            </w:r>
          </w:p>
        </w:tc>
        <w:tc>
          <w:tcPr>
            <w:tcW w:w="2112" w:type="dxa"/>
            <w:vAlign w:val="bottom"/>
          </w:tcPr>
          <w:p w14:paraId="0CBF3DFC" w14:textId="53EBDBDC"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11,2%</w:t>
            </w:r>
          </w:p>
        </w:tc>
      </w:tr>
      <w:tr w:rsidR="00BA3A6F" w:rsidRPr="00BA3A6F" w14:paraId="7D7DD508" w14:textId="7667E9C1"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01FEDA3" w14:textId="46DE2A9F"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Tarragona</w:t>
            </w:r>
          </w:p>
        </w:tc>
        <w:tc>
          <w:tcPr>
            <w:tcW w:w="2097" w:type="dxa"/>
            <w:vAlign w:val="bottom"/>
          </w:tcPr>
          <w:p w14:paraId="2B50CBBD" w14:textId="2CC64E0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1.717 €</w:t>
            </w:r>
          </w:p>
        </w:tc>
        <w:tc>
          <w:tcPr>
            <w:tcW w:w="2126" w:type="dxa"/>
            <w:vAlign w:val="bottom"/>
          </w:tcPr>
          <w:p w14:paraId="55A4D3BF" w14:textId="6E3A6DBF"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3,9%</w:t>
            </w:r>
          </w:p>
        </w:tc>
        <w:tc>
          <w:tcPr>
            <w:tcW w:w="2112" w:type="dxa"/>
            <w:vAlign w:val="bottom"/>
          </w:tcPr>
          <w:p w14:paraId="2F5C282B" w14:textId="2862C889"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10,8%</w:t>
            </w:r>
          </w:p>
        </w:tc>
      </w:tr>
      <w:tr w:rsidR="00BA3A6F" w:rsidRPr="00BA3A6F" w14:paraId="2C8F2962" w14:textId="3641B5D5"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F6284D2" w14:textId="65E9976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Zaragoza</w:t>
            </w:r>
          </w:p>
        </w:tc>
        <w:tc>
          <w:tcPr>
            <w:tcW w:w="2097" w:type="dxa"/>
            <w:vAlign w:val="bottom"/>
          </w:tcPr>
          <w:p w14:paraId="2E5E0109" w14:textId="2EB7FB0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1.769 €</w:t>
            </w:r>
          </w:p>
        </w:tc>
        <w:tc>
          <w:tcPr>
            <w:tcW w:w="2126" w:type="dxa"/>
            <w:vAlign w:val="bottom"/>
          </w:tcPr>
          <w:p w14:paraId="675A80AC" w14:textId="4E06228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3,5%</w:t>
            </w:r>
          </w:p>
        </w:tc>
        <w:tc>
          <w:tcPr>
            <w:tcW w:w="2112" w:type="dxa"/>
            <w:vAlign w:val="bottom"/>
          </w:tcPr>
          <w:p w14:paraId="16072E7D" w14:textId="1A2C49EC"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4,8%</w:t>
            </w:r>
          </w:p>
        </w:tc>
      </w:tr>
      <w:tr w:rsidR="00BA3A6F" w:rsidRPr="00BA3A6F" w14:paraId="3A921BD5" w14:textId="43EC2541"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B336261" w14:textId="40C6A95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Huesca</w:t>
            </w:r>
          </w:p>
        </w:tc>
        <w:tc>
          <w:tcPr>
            <w:tcW w:w="2097" w:type="dxa"/>
            <w:vAlign w:val="bottom"/>
          </w:tcPr>
          <w:p w14:paraId="5AC61833" w14:textId="4C3686EA"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1.565 €</w:t>
            </w:r>
          </w:p>
        </w:tc>
        <w:tc>
          <w:tcPr>
            <w:tcW w:w="2126" w:type="dxa"/>
            <w:vAlign w:val="bottom"/>
          </w:tcPr>
          <w:p w14:paraId="7C9B3B29" w14:textId="653BE12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3,0%</w:t>
            </w:r>
          </w:p>
        </w:tc>
        <w:tc>
          <w:tcPr>
            <w:tcW w:w="2112" w:type="dxa"/>
            <w:vAlign w:val="bottom"/>
          </w:tcPr>
          <w:p w14:paraId="6A397D8B" w14:textId="70BC5538"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8,4%</w:t>
            </w:r>
          </w:p>
        </w:tc>
      </w:tr>
      <w:tr w:rsidR="00BA3A6F" w:rsidRPr="00BA3A6F" w14:paraId="17983910" w14:textId="11241696"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2428828" w14:textId="7739AAD7"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Ciudad Real</w:t>
            </w:r>
          </w:p>
        </w:tc>
        <w:tc>
          <w:tcPr>
            <w:tcW w:w="2097" w:type="dxa"/>
            <w:vAlign w:val="bottom"/>
          </w:tcPr>
          <w:p w14:paraId="2707AC73" w14:textId="283A039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998 €</w:t>
            </w:r>
          </w:p>
        </w:tc>
        <w:tc>
          <w:tcPr>
            <w:tcW w:w="2126" w:type="dxa"/>
            <w:vAlign w:val="bottom"/>
          </w:tcPr>
          <w:p w14:paraId="6C6F700C" w14:textId="537DE943"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2,7%</w:t>
            </w:r>
          </w:p>
        </w:tc>
        <w:tc>
          <w:tcPr>
            <w:tcW w:w="2112" w:type="dxa"/>
            <w:vAlign w:val="bottom"/>
          </w:tcPr>
          <w:p w14:paraId="0A2A6603" w14:textId="31FDDCCE"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6,5%</w:t>
            </w:r>
          </w:p>
        </w:tc>
      </w:tr>
      <w:tr w:rsidR="00BA3A6F" w:rsidRPr="00BA3A6F" w14:paraId="589803AC" w14:textId="34852BE5"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5D1E897" w14:textId="331A976B"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Palencia</w:t>
            </w:r>
          </w:p>
        </w:tc>
        <w:tc>
          <w:tcPr>
            <w:tcW w:w="2097" w:type="dxa"/>
            <w:vAlign w:val="bottom"/>
          </w:tcPr>
          <w:p w14:paraId="1A9D569A" w14:textId="5947AEC9"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1.366 €</w:t>
            </w:r>
          </w:p>
        </w:tc>
        <w:tc>
          <w:tcPr>
            <w:tcW w:w="2126" w:type="dxa"/>
            <w:vAlign w:val="bottom"/>
          </w:tcPr>
          <w:p w14:paraId="21100A38" w14:textId="6B9CBC7D"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2,6%</w:t>
            </w:r>
          </w:p>
        </w:tc>
        <w:tc>
          <w:tcPr>
            <w:tcW w:w="2112" w:type="dxa"/>
            <w:vAlign w:val="bottom"/>
          </w:tcPr>
          <w:p w14:paraId="7F64C9A0" w14:textId="21A2824E"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0,5%</w:t>
            </w:r>
          </w:p>
        </w:tc>
      </w:tr>
      <w:tr w:rsidR="00BA3A6F" w:rsidRPr="00BA3A6F" w14:paraId="13DD0351" w14:textId="1BC6DEC4"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AD1C3C3" w14:textId="2426F37D"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La Rioja</w:t>
            </w:r>
          </w:p>
        </w:tc>
        <w:tc>
          <w:tcPr>
            <w:tcW w:w="2097" w:type="dxa"/>
            <w:vAlign w:val="bottom"/>
          </w:tcPr>
          <w:p w14:paraId="606B6DE4" w14:textId="34C4382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1.606 €</w:t>
            </w:r>
          </w:p>
        </w:tc>
        <w:tc>
          <w:tcPr>
            <w:tcW w:w="2126" w:type="dxa"/>
            <w:vAlign w:val="bottom"/>
          </w:tcPr>
          <w:p w14:paraId="1463A9E2" w14:textId="7BF586D1"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2,5%</w:t>
            </w:r>
          </w:p>
        </w:tc>
        <w:tc>
          <w:tcPr>
            <w:tcW w:w="2112" w:type="dxa"/>
            <w:vAlign w:val="bottom"/>
          </w:tcPr>
          <w:p w14:paraId="4E7905B6" w14:textId="2008E3F1"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11,8%</w:t>
            </w:r>
          </w:p>
        </w:tc>
      </w:tr>
      <w:tr w:rsidR="00BA3A6F" w:rsidRPr="00BA3A6F" w14:paraId="7268DADA" w14:textId="7B98B7B5"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27BCB82" w14:textId="117950A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Lugo</w:t>
            </w:r>
          </w:p>
        </w:tc>
        <w:tc>
          <w:tcPr>
            <w:tcW w:w="2097" w:type="dxa"/>
            <w:vAlign w:val="bottom"/>
          </w:tcPr>
          <w:p w14:paraId="199885BF" w14:textId="463693B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1.251 €</w:t>
            </w:r>
          </w:p>
        </w:tc>
        <w:tc>
          <w:tcPr>
            <w:tcW w:w="2126" w:type="dxa"/>
            <w:vAlign w:val="bottom"/>
          </w:tcPr>
          <w:p w14:paraId="0B4FB2A0" w14:textId="3FD7BB63"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2,5%</w:t>
            </w:r>
          </w:p>
        </w:tc>
        <w:tc>
          <w:tcPr>
            <w:tcW w:w="2112" w:type="dxa"/>
            <w:vAlign w:val="bottom"/>
          </w:tcPr>
          <w:p w14:paraId="0B846D7C" w14:textId="7AFE327F"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10,4%</w:t>
            </w:r>
          </w:p>
        </w:tc>
      </w:tr>
      <w:tr w:rsidR="00BA3A6F" w:rsidRPr="00BA3A6F" w14:paraId="3E55F7F4" w14:textId="3E9B4F2F"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BA0CEDD" w14:textId="29FDCB2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Cádiz</w:t>
            </w:r>
          </w:p>
        </w:tc>
        <w:tc>
          <w:tcPr>
            <w:tcW w:w="2097" w:type="dxa"/>
            <w:vAlign w:val="bottom"/>
          </w:tcPr>
          <w:p w14:paraId="0657510C" w14:textId="31A39D2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1.777 €</w:t>
            </w:r>
          </w:p>
        </w:tc>
        <w:tc>
          <w:tcPr>
            <w:tcW w:w="2126" w:type="dxa"/>
            <w:vAlign w:val="bottom"/>
          </w:tcPr>
          <w:p w14:paraId="5ECCE125" w14:textId="06805BD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2,4%</w:t>
            </w:r>
          </w:p>
        </w:tc>
        <w:tc>
          <w:tcPr>
            <w:tcW w:w="2112" w:type="dxa"/>
            <w:vAlign w:val="bottom"/>
          </w:tcPr>
          <w:p w14:paraId="74E63396" w14:textId="49D0B6EC"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12,5%</w:t>
            </w:r>
          </w:p>
        </w:tc>
      </w:tr>
      <w:tr w:rsidR="00BA3A6F" w:rsidRPr="00BA3A6F" w14:paraId="55979CB3" w14:textId="2857943E"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3162C3A" w14:textId="206ADD39"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Valencia</w:t>
            </w:r>
          </w:p>
        </w:tc>
        <w:tc>
          <w:tcPr>
            <w:tcW w:w="2097" w:type="dxa"/>
            <w:vAlign w:val="bottom"/>
          </w:tcPr>
          <w:p w14:paraId="3E6A039C" w14:textId="0DD3EF0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1.557 €</w:t>
            </w:r>
          </w:p>
        </w:tc>
        <w:tc>
          <w:tcPr>
            <w:tcW w:w="2126" w:type="dxa"/>
            <w:vAlign w:val="bottom"/>
          </w:tcPr>
          <w:p w14:paraId="04195840" w14:textId="562AC9F5"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2,4%</w:t>
            </w:r>
          </w:p>
        </w:tc>
        <w:tc>
          <w:tcPr>
            <w:tcW w:w="2112" w:type="dxa"/>
            <w:vAlign w:val="bottom"/>
          </w:tcPr>
          <w:p w14:paraId="5B5B389C" w14:textId="1017A847"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8,8%</w:t>
            </w:r>
          </w:p>
        </w:tc>
      </w:tr>
      <w:tr w:rsidR="00BA3A6F" w:rsidRPr="00BA3A6F" w14:paraId="13BFDC0C" w14:textId="779CE1F8"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4636BAD" w14:textId="576B8C96"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Cantabria</w:t>
            </w:r>
          </w:p>
        </w:tc>
        <w:tc>
          <w:tcPr>
            <w:tcW w:w="2097" w:type="dxa"/>
            <w:vAlign w:val="bottom"/>
          </w:tcPr>
          <w:p w14:paraId="131D0BBD" w14:textId="79C252F7"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1.881 €</w:t>
            </w:r>
          </w:p>
        </w:tc>
        <w:tc>
          <w:tcPr>
            <w:tcW w:w="2126" w:type="dxa"/>
            <w:vAlign w:val="bottom"/>
          </w:tcPr>
          <w:p w14:paraId="5C580AD4" w14:textId="3425E46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2,3%</w:t>
            </w:r>
          </w:p>
        </w:tc>
        <w:tc>
          <w:tcPr>
            <w:tcW w:w="2112" w:type="dxa"/>
            <w:vAlign w:val="bottom"/>
          </w:tcPr>
          <w:p w14:paraId="38A4578F" w14:textId="378D93D3"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6,8%</w:t>
            </w:r>
          </w:p>
        </w:tc>
      </w:tr>
      <w:tr w:rsidR="00BA3A6F" w:rsidRPr="00BA3A6F" w14:paraId="077AC013" w14:textId="097284D0"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2697CB2" w14:textId="35AC621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Gipuzkoa</w:t>
            </w:r>
          </w:p>
        </w:tc>
        <w:tc>
          <w:tcPr>
            <w:tcW w:w="2097" w:type="dxa"/>
            <w:vAlign w:val="bottom"/>
          </w:tcPr>
          <w:p w14:paraId="5DC4474C" w14:textId="26999F32"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3.328 €</w:t>
            </w:r>
          </w:p>
        </w:tc>
        <w:tc>
          <w:tcPr>
            <w:tcW w:w="2126" w:type="dxa"/>
            <w:vAlign w:val="bottom"/>
          </w:tcPr>
          <w:p w14:paraId="4DF00467" w14:textId="381B63D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2,0%</w:t>
            </w:r>
          </w:p>
        </w:tc>
        <w:tc>
          <w:tcPr>
            <w:tcW w:w="2112" w:type="dxa"/>
            <w:vAlign w:val="bottom"/>
          </w:tcPr>
          <w:p w14:paraId="0BE5BC70" w14:textId="39A5E44E"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4,9%</w:t>
            </w:r>
          </w:p>
        </w:tc>
      </w:tr>
      <w:tr w:rsidR="00BA3A6F" w:rsidRPr="00BA3A6F" w14:paraId="3286838A" w14:textId="6E0328FC"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B2752E7" w14:textId="6F8581DE"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Girona</w:t>
            </w:r>
          </w:p>
        </w:tc>
        <w:tc>
          <w:tcPr>
            <w:tcW w:w="2097" w:type="dxa"/>
            <w:vAlign w:val="bottom"/>
          </w:tcPr>
          <w:p w14:paraId="76601E85" w14:textId="4BC79D7B"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2.407 €</w:t>
            </w:r>
          </w:p>
        </w:tc>
        <w:tc>
          <w:tcPr>
            <w:tcW w:w="2126" w:type="dxa"/>
            <w:vAlign w:val="bottom"/>
          </w:tcPr>
          <w:p w14:paraId="607FC322" w14:textId="6539B407"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1,9%</w:t>
            </w:r>
          </w:p>
        </w:tc>
        <w:tc>
          <w:tcPr>
            <w:tcW w:w="2112" w:type="dxa"/>
            <w:vAlign w:val="bottom"/>
          </w:tcPr>
          <w:p w14:paraId="206DE212" w14:textId="60F6FDCB"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9,3%</w:t>
            </w:r>
          </w:p>
        </w:tc>
      </w:tr>
      <w:tr w:rsidR="00BA3A6F" w:rsidRPr="00BA3A6F" w14:paraId="2DDC0FE6" w14:textId="11ABC0A4"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D71050B" w14:textId="34E79F30"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León</w:t>
            </w:r>
          </w:p>
        </w:tc>
        <w:tc>
          <w:tcPr>
            <w:tcW w:w="2097" w:type="dxa"/>
            <w:vAlign w:val="bottom"/>
          </w:tcPr>
          <w:p w14:paraId="351F9536" w14:textId="1D0D852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1.288 €</w:t>
            </w:r>
          </w:p>
        </w:tc>
        <w:tc>
          <w:tcPr>
            <w:tcW w:w="2126" w:type="dxa"/>
            <w:vAlign w:val="bottom"/>
          </w:tcPr>
          <w:p w14:paraId="17ABF84F" w14:textId="68FC1E13"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1,8%</w:t>
            </w:r>
          </w:p>
        </w:tc>
        <w:tc>
          <w:tcPr>
            <w:tcW w:w="2112" w:type="dxa"/>
            <w:vAlign w:val="bottom"/>
          </w:tcPr>
          <w:p w14:paraId="3B61B150" w14:textId="3C280039"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2,8%</w:t>
            </w:r>
          </w:p>
        </w:tc>
      </w:tr>
      <w:tr w:rsidR="00BA3A6F" w:rsidRPr="00BA3A6F" w14:paraId="667570F8" w14:textId="6F77F654"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E5AA91E" w14:textId="16E1443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Toledo</w:t>
            </w:r>
          </w:p>
        </w:tc>
        <w:tc>
          <w:tcPr>
            <w:tcW w:w="2097" w:type="dxa"/>
            <w:vAlign w:val="bottom"/>
          </w:tcPr>
          <w:p w14:paraId="3253C120" w14:textId="15D0F98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1.038 €</w:t>
            </w:r>
          </w:p>
        </w:tc>
        <w:tc>
          <w:tcPr>
            <w:tcW w:w="2126" w:type="dxa"/>
            <w:vAlign w:val="bottom"/>
          </w:tcPr>
          <w:p w14:paraId="5224AF82" w14:textId="399D3AD0"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1,8%</w:t>
            </w:r>
          </w:p>
        </w:tc>
        <w:tc>
          <w:tcPr>
            <w:tcW w:w="2112" w:type="dxa"/>
            <w:vAlign w:val="bottom"/>
          </w:tcPr>
          <w:p w14:paraId="646DE19F" w14:textId="1ABA8978"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w:t>
            </w:r>
          </w:p>
        </w:tc>
      </w:tr>
      <w:tr w:rsidR="00BA3A6F" w:rsidRPr="00BA3A6F" w14:paraId="0BCD5E6B" w14:textId="5EDC7025"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27BBCA0" w14:textId="20A94658"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Barcelona</w:t>
            </w:r>
          </w:p>
        </w:tc>
        <w:tc>
          <w:tcPr>
            <w:tcW w:w="2097" w:type="dxa"/>
            <w:vAlign w:val="bottom"/>
          </w:tcPr>
          <w:p w14:paraId="3F0541D8" w14:textId="06A795C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3.085 €</w:t>
            </w:r>
          </w:p>
        </w:tc>
        <w:tc>
          <w:tcPr>
            <w:tcW w:w="2126" w:type="dxa"/>
            <w:vAlign w:val="bottom"/>
          </w:tcPr>
          <w:p w14:paraId="47BBCECA" w14:textId="6716F180"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1,4%</w:t>
            </w:r>
          </w:p>
        </w:tc>
        <w:tc>
          <w:tcPr>
            <w:tcW w:w="2112" w:type="dxa"/>
            <w:vAlign w:val="bottom"/>
          </w:tcPr>
          <w:p w14:paraId="0AF8F4A0" w14:textId="68FC4F4C"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3,7%</w:t>
            </w:r>
          </w:p>
        </w:tc>
      </w:tr>
      <w:tr w:rsidR="00BA3A6F" w:rsidRPr="00BA3A6F" w14:paraId="790B7AB2" w14:textId="7768473A"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0ABDC80" w14:textId="25A1B37F"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Asturias</w:t>
            </w:r>
          </w:p>
        </w:tc>
        <w:tc>
          <w:tcPr>
            <w:tcW w:w="2097" w:type="dxa"/>
            <w:vAlign w:val="bottom"/>
          </w:tcPr>
          <w:p w14:paraId="26D7B648" w14:textId="5EA084F0"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1.624 €</w:t>
            </w:r>
          </w:p>
        </w:tc>
        <w:tc>
          <w:tcPr>
            <w:tcW w:w="2126" w:type="dxa"/>
            <w:vAlign w:val="bottom"/>
          </w:tcPr>
          <w:p w14:paraId="3C78BF86" w14:textId="15F33753"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1,3%</w:t>
            </w:r>
          </w:p>
        </w:tc>
        <w:tc>
          <w:tcPr>
            <w:tcW w:w="2112" w:type="dxa"/>
            <w:vAlign w:val="bottom"/>
          </w:tcPr>
          <w:p w14:paraId="7F584993" w14:textId="0462C8A5"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2,4%</w:t>
            </w:r>
          </w:p>
        </w:tc>
      </w:tr>
      <w:tr w:rsidR="00BA3A6F" w:rsidRPr="00BA3A6F" w14:paraId="0EFA25D7" w14:textId="60D137DE"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86EE6E4" w14:textId="2AD0D5ED"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Albacete</w:t>
            </w:r>
          </w:p>
        </w:tc>
        <w:tc>
          <w:tcPr>
            <w:tcW w:w="2097" w:type="dxa"/>
            <w:vAlign w:val="bottom"/>
          </w:tcPr>
          <w:p w14:paraId="4CC51209" w14:textId="070E8F68"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1.364 €</w:t>
            </w:r>
          </w:p>
        </w:tc>
        <w:tc>
          <w:tcPr>
            <w:tcW w:w="2126" w:type="dxa"/>
            <w:vAlign w:val="bottom"/>
          </w:tcPr>
          <w:p w14:paraId="3F51CEF1" w14:textId="4699E8D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1,1%</w:t>
            </w:r>
          </w:p>
        </w:tc>
        <w:tc>
          <w:tcPr>
            <w:tcW w:w="2112" w:type="dxa"/>
            <w:vAlign w:val="bottom"/>
          </w:tcPr>
          <w:p w14:paraId="407CCE11" w14:textId="41356E63"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3,8%</w:t>
            </w:r>
          </w:p>
        </w:tc>
      </w:tr>
      <w:tr w:rsidR="00BA3A6F" w:rsidRPr="00BA3A6F" w14:paraId="011ED6CB" w14:textId="57F40DE8"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D8A5D68" w14:textId="5CE8EFF7"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Granada</w:t>
            </w:r>
          </w:p>
        </w:tc>
        <w:tc>
          <w:tcPr>
            <w:tcW w:w="2097" w:type="dxa"/>
            <w:vAlign w:val="bottom"/>
          </w:tcPr>
          <w:p w14:paraId="7702CBA8" w14:textId="1FB09E9F"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1.809 €</w:t>
            </w:r>
          </w:p>
        </w:tc>
        <w:tc>
          <w:tcPr>
            <w:tcW w:w="2126" w:type="dxa"/>
            <w:vAlign w:val="bottom"/>
          </w:tcPr>
          <w:p w14:paraId="414BE4BE" w14:textId="107F41B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1,0%</w:t>
            </w:r>
          </w:p>
        </w:tc>
        <w:tc>
          <w:tcPr>
            <w:tcW w:w="2112" w:type="dxa"/>
            <w:vAlign w:val="bottom"/>
          </w:tcPr>
          <w:p w14:paraId="1793187B" w14:textId="38028EAE"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9,6%</w:t>
            </w:r>
          </w:p>
        </w:tc>
      </w:tr>
      <w:tr w:rsidR="00BA3A6F" w:rsidRPr="00BA3A6F" w14:paraId="7400F688" w14:textId="7D5C42AB"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722CE64" w14:textId="22334262"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Córdoba</w:t>
            </w:r>
          </w:p>
        </w:tc>
        <w:tc>
          <w:tcPr>
            <w:tcW w:w="2097" w:type="dxa"/>
            <w:vAlign w:val="bottom"/>
          </w:tcPr>
          <w:p w14:paraId="1D9878C8" w14:textId="0C01CB79"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1.469 €</w:t>
            </w:r>
          </w:p>
        </w:tc>
        <w:tc>
          <w:tcPr>
            <w:tcW w:w="2126" w:type="dxa"/>
            <w:vAlign w:val="bottom"/>
          </w:tcPr>
          <w:p w14:paraId="7D5E49B6" w14:textId="0972DF6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0,9%</w:t>
            </w:r>
          </w:p>
        </w:tc>
        <w:tc>
          <w:tcPr>
            <w:tcW w:w="2112" w:type="dxa"/>
            <w:vAlign w:val="bottom"/>
          </w:tcPr>
          <w:p w14:paraId="253EC464" w14:textId="2D97BD06"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3,8%</w:t>
            </w:r>
          </w:p>
        </w:tc>
      </w:tr>
      <w:tr w:rsidR="00BA3A6F" w:rsidRPr="00BA3A6F" w14:paraId="6D4D2DD8" w14:textId="7DD71F34"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3FEC72D" w14:textId="75711124"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Almería</w:t>
            </w:r>
          </w:p>
        </w:tc>
        <w:tc>
          <w:tcPr>
            <w:tcW w:w="2097" w:type="dxa"/>
            <w:vAlign w:val="bottom"/>
          </w:tcPr>
          <w:p w14:paraId="6F7AF150" w14:textId="3F55AB10"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1.293 €</w:t>
            </w:r>
          </w:p>
        </w:tc>
        <w:tc>
          <w:tcPr>
            <w:tcW w:w="2126" w:type="dxa"/>
            <w:vAlign w:val="bottom"/>
          </w:tcPr>
          <w:p w14:paraId="5A887E20" w14:textId="2E985C63"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0,9%</w:t>
            </w:r>
          </w:p>
        </w:tc>
        <w:tc>
          <w:tcPr>
            <w:tcW w:w="2112" w:type="dxa"/>
            <w:vAlign w:val="bottom"/>
          </w:tcPr>
          <w:p w14:paraId="415B7967" w14:textId="41D26CC6"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8,2%</w:t>
            </w:r>
          </w:p>
        </w:tc>
      </w:tr>
      <w:tr w:rsidR="00BA3A6F" w:rsidRPr="00BA3A6F" w14:paraId="471E323C" w14:textId="4870A1B4"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4E4B7F9" w14:textId="0845FAD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Madrid</w:t>
            </w:r>
          </w:p>
        </w:tc>
        <w:tc>
          <w:tcPr>
            <w:tcW w:w="2097" w:type="dxa"/>
            <w:vAlign w:val="bottom"/>
          </w:tcPr>
          <w:p w14:paraId="6773465A" w14:textId="42F62E0B"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3.477 €</w:t>
            </w:r>
          </w:p>
        </w:tc>
        <w:tc>
          <w:tcPr>
            <w:tcW w:w="2126" w:type="dxa"/>
            <w:vAlign w:val="bottom"/>
          </w:tcPr>
          <w:p w14:paraId="4C5EDCA9" w14:textId="3EEE817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0,9%</w:t>
            </w:r>
          </w:p>
        </w:tc>
        <w:tc>
          <w:tcPr>
            <w:tcW w:w="2112" w:type="dxa"/>
            <w:vAlign w:val="bottom"/>
          </w:tcPr>
          <w:p w14:paraId="6E4423CC" w14:textId="3B799C38"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5,7%</w:t>
            </w:r>
          </w:p>
        </w:tc>
      </w:tr>
      <w:tr w:rsidR="00BA3A6F" w:rsidRPr="00BA3A6F" w14:paraId="49F0E4CC" w14:textId="09FF4407"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C79FBA4" w14:textId="6E23000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Castellón</w:t>
            </w:r>
          </w:p>
        </w:tc>
        <w:tc>
          <w:tcPr>
            <w:tcW w:w="2097" w:type="dxa"/>
            <w:vAlign w:val="bottom"/>
          </w:tcPr>
          <w:p w14:paraId="067115C1" w14:textId="3E26066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1.216 €</w:t>
            </w:r>
          </w:p>
        </w:tc>
        <w:tc>
          <w:tcPr>
            <w:tcW w:w="2126" w:type="dxa"/>
            <w:vAlign w:val="bottom"/>
          </w:tcPr>
          <w:p w14:paraId="3B5C4B4E" w14:textId="4B52952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0,8%</w:t>
            </w:r>
          </w:p>
        </w:tc>
        <w:tc>
          <w:tcPr>
            <w:tcW w:w="2112" w:type="dxa"/>
            <w:vAlign w:val="bottom"/>
          </w:tcPr>
          <w:p w14:paraId="5EC1C008" w14:textId="022F3675"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6,8%</w:t>
            </w:r>
          </w:p>
        </w:tc>
      </w:tr>
      <w:tr w:rsidR="00BA3A6F" w:rsidRPr="00BA3A6F" w14:paraId="6138925E" w14:textId="06ECF5CF"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986438C" w14:textId="6F7CA221"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 Coruña</w:t>
            </w:r>
          </w:p>
        </w:tc>
        <w:tc>
          <w:tcPr>
            <w:tcW w:w="2097" w:type="dxa"/>
            <w:vAlign w:val="bottom"/>
          </w:tcPr>
          <w:p w14:paraId="3FF4046B" w14:textId="0B62E79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1.673 €</w:t>
            </w:r>
          </w:p>
        </w:tc>
        <w:tc>
          <w:tcPr>
            <w:tcW w:w="2126" w:type="dxa"/>
            <w:vAlign w:val="bottom"/>
          </w:tcPr>
          <w:p w14:paraId="0F5A5D28" w14:textId="31541D3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0,8%</w:t>
            </w:r>
          </w:p>
        </w:tc>
        <w:tc>
          <w:tcPr>
            <w:tcW w:w="2112" w:type="dxa"/>
            <w:vAlign w:val="bottom"/>
          </w:tcPr>
          <w:p w14:paraId="18B48AAB" w14:textId="67CD7BE7"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6,4%</w:t>
            </w:r>
          </w:p>
        </w:tc>
      </w:tr>
      <w:tr w:rsidR="00BA3A6F" w:rsidRPr="00BA3A6F" w14:paraId="2D800FA6" w14:textId="21602961"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2540E98" w14:textId="03E3722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Bizkaia</w:t>
            </w:r>
          </w:p>
        </w:tc>
        <w:tc>
          <w:tcPr>
            <w:tcW w:w="2097" w:type="dxa"/>
            <w:vAlign w:val="bottom"/>
          </w:tcPr>
          <w:p w14:paraId="63BA5D73" w14:textId="61CD36D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2.927 €</w:t>
            </w:r>
          </w:p>
        </w:tc>
        <w:tc>
          <w:tcPr>
            <w:tcW w:w="2126" w:type="dxa"/>
            <w:vAlign w:val="bottom"/>
          </w:tcPr>
          <w:p w14:paraId="7F9FED4C" w14:textId="6ED0C2A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0,8%</w:t>
            </w:r>
          </w:p>
        </w:tc>
        <w:tc>
          <w:tcPr>
            <w:tcW w:w="2112" w:type="dxa"/>
            <w:vAlign w:val="bottom"/>
          </w:tcPr>
          <w:p w14:paraId="355F8BB9" w14:textId="5BF8EDDA"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2,6%</w:t>
            </w:r>
          </w:p>
        </w:tc>
      </w:tr>
      <w:tr w:rsidR="00BA3A6F" w:rsidRPr="00BA3A6F" w14:paraId="39A2867A" w14:textId="498C11B6"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4E52C2C" w14:textId="53B0F0AB"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Pontevedra</w:t>
            </w:r>
          </w:p>
        </w:tc>
        <w:tc>
          <w:tcPr>
            <w:tcW w:w="2097" w:type="dxa"/>
            <w:vAlign w:val="bottom"/>
          </w:tcPr>
          <w:p w14:paraId="4E20EF58" w14:textId="2537DDEF"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1.986 €</w:t>
            </w:r>
          </w:p>
        </w:tc>
        <w:tc>
          <w:tcPr>
            <w:tcW w:w="2126" w:type="dxa"/>
            <w:vAlign w:val="bottom"/>
          </w:tcPr>
          <w:p w14:paraId="608AF2AF" w14:textId="53C6D7B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0,7%</w:t>
            </w:r>
          </w:p>
        </w:tc>
        <w:tc>
          <w:tcPr>
            <w:tcW w:w="2112" w:type="dxa"/>
            <w:vAlign w:val="bottom"/>
          </w:tcPr>
          <w:p w14:paraId="4D8D1D1B" w14:textId="6B46CE84"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5,2%</w:t>
            </w:r>
          </w:p>
        </w:tc>
      </w:tr>
      <w:tr w:rsidR="00BA3A6F" w:rsidRPr="00BA3A6F" w14:paraId="6E9E4784" w14:textId="44BCC671"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B0DBEDA" w14:textId="18714F2F"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Burgos</w:t>
            </w:r>
          </w:p>
        </w:tc>
        <w:tc>
          <w:tcPr>
            <w:tcW w:w="2097" w:type="dxa"/>
            <w:vAlign w:val="bottom"/>
          </w:tcPr>
          <w:p w14:paraId="7068B552" w14:textId="0EBF5650"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1.501 €</w:t>
            </w:r>
          </w:p>
        </w:tc>
        <w:tc>
          <w:tcPr>
            <w:tcW w:w="2126" w:type="dxa"/>
            <w:vAlign w:val="bottom"/>
          </w:tcPr>
          <w:p w14:paraId="7C00F58F" w14:textId="5A6D70E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0,7%</w:t>
            </w:r>
          </w:p>
        </w:tc>
        <w:tc>
          <w:tcPr>
            <w:tcW w:w="2112" w:type="dxa"/>
            <w:vAlign w:val="bottom"/>
          </w:tcPr>
          <w:p w14:paraId="4BD96902" w14:textId="786EF4A4"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2,4%</w:t>
            </w:r>
          </w:p>
        </w:tc>
      </w:tr>
      <w:tr w:rsidR="00BA3A6F" w:rsidRPr="00BA3A6F" w14:paraId="705BED36" w14:textId="6F7DECDD"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92A9255" w14:textId="2AF10732"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lastRenderedPageBreak/>
              <w:t>Ávila</w:t>
            </w:r>
          </w:p>
        </w:tc>
        <w:tc>
          <w:tcPr>
            <w:tcW w:w="2097" w:type="dxa"/>
            <w:vAlign w:val="bottom"/>
          </w:tcPr>
          <w:p w14:paraId="0CB8127C" w14:textId="1F2867D7"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1.098 €</w:t>
            </w:r>
          </w:p>
        </w:tc>
        <w:tc>
          <w:tcPr>
            <w:tcW w:w="2126" w:type="dxa"/>
            <w:vAlign w:val="bottom"/>
          </w:tcPr>
          <w:p w14:paraId="0CA9E928" w14:textId="26194D2A"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0,7%</w:t>
            </w:r>
          </w:p>
        </w:tc>
        <w:tc>
          <w:tcPr>
            <w:tcW w:w="2112" w:type="dxa"/>
            <w:vAlign w:val="bottom"/>
          </w:tcPr>
          <w:p w14:paraId="6D6254CB" w14:textId="51FA651C"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7,4%</w:t>
            </w:r>
          </w:p>
        </w:tc>
      </w:tr>
      <w:tr w:rsidR="00BA3A6F" w:rsidRPr="00BA3A6F" w14:paraId="0BC99CF1" w14:textId="64137155"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1A823C9" w14:textId="55DF721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Ourense</w:t>
            </w:r>
          </w:p>
        </w:tc>
        <w:tc>
          <w:tcPr>
            <w:tcW w:w="2097" w:type="dxa"/>
            <w:vAlign w:val="bottom"/>
          </w:tcPr>
          <w:p w14:paraId="71C2D2A6" w14:textId="4B538A3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1.447 €</w:t>
            </w:r>
          </w:p>
        </w:tc>
        <w:tc>
          <w:tcPr>
            <w:tcW w:w="2126" w:type="dxa"/>
            <w:vAlign w:val="bottom"/>
          </w:tcPr>
          <w:p w14:paraId="5A18264F" w14:textId="71032B8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000000"/>
                <w:sz w:val="22"/>
                <w:szCs w:val="22"/>
              </w:rPr>
              <w:t>0,3%</w:t>
            </w:r>
          </w:p>
        </w:tc>
        <w:tc>
          <w:tcPr>
            <w:tcW w:w="2112" w:type="dxa"/>
            <w:vAlign w:val="bottom"/>
          </w:tcPr>
          <w:p w14:paraId="6B829637" w14:textId="108A6225"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9C0006"/>
                <w:sz w:val="22"/>
                <w:szCs w:val="22"/>
              </w:rPr>
              <w:t>-0,1%</w:t>
            </w:r>
          </w:p>
        </w:tc>
      </w:tr>
      <w:tr w:rsidR="00BA3A6F" w:rsidRPr="00BA3A6F" w14:paraId="07D71E3E" w14:textId="014B0343"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0967ED3" w14:textId="41F86B8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Huelva</w:t>
            </w:r>
          </w:p>
        </w:tc>
        <w:tc>
          <w:tcPr>
            <w:tcW w:w="2097" w:type="dxa"/>
            <w:vAlign w:val="bottom"/>
          </w:tcPr>
          <w:p w14:paraId="781DCFBE" w14:textId="3C5C5CA9"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1.425 €</w:t>
            </w:r>
          </w:p>
        </w:tc>
        <w:tc>
          <w:tcPr>
            <w:tcW w:w="2126" w:type="dxa"/>
            <w:vAlign w:val="bottom"/>
          </w:tcPr>
          <w:p w14:paraId="2AB7A99B" w14:textId="3B25247C"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-0,03%</w:t>
            </w:r>
          </w:p>
        </w:tc>
        <w:tc>
          <w:tcPr>
            <w:tcW w:w="2112" w:type="dxa"/>
            <w:vAlign w:val="bottom"/>
          </w:tcPr>
          <w:p w14:paraId="62F26344" w14:textId="58D322D1"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8,6%</w:t>
            </w:r>
          </w:p>
        </w:tc>
      </w:tr>
      <w:tr w:rsidR="00BA3A6F" w:rsidRPr="00BA3A6F" w14:paraId="56559A0D" w14:textId="76177665"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2AFF1A2" w14:textId="7ACB153A"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Salamanca</w:t>
            </w:r>
          </w:p>
        </w:tc>
        <w:tc>
          <w:tcPr>
            <w:tcW w:w="2097" w:type="dxa"/>
            <w:vAlign w:val="bottom"/>
          </w:tcPr>
          <w:p w14:paraId="2F51D8FA" w14:textId="57F3486C"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1.701 €</w:t>
            </w:r>
          </w:p>
        </w:tc>
        <w:tc>
          <w:tcPr>
            <w:tcW w:w="2126" w:type="dxa"/>
            <w:vAlign w:val="bottom"/>
          </w:tcPr>
          <w:p w14:paraId="71FDB480" w14:textId="5933C085"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-0,2%</w:t>
            </w:r>
          </w:p>
        </w:tc>
        <w:tc>
          <w:tcPr>
            <w:tcW w:w="2112" w:type="dxa"/>
            <w:vAlign w:val="bottom"/>
          </w:tcPr>
          <w:p w14:paraId="2D028FDB" w14:textId="53468A1B"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3,3%</w:t>
            </w:r>
          </w:p>
        </w:tc>
      </w:tr>
      <w:tr w:rsidR="00BA3A6F" w:rsidRPr="00BA3A6F" w14:paraId="5B2CE5A2" w14:textId="35FD22F0"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D03C83B" w14:textId="2B2DB07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Zamora</w:t>
            </w:r>
          </w:p>
        </w:tc>
        <w:tc>
          <w:tcPr>
            <w:tcW w:w="2097" w:type="dxa"/>
            <w:vAlign w:val="bottom"/>
          </w:tcPr>
          <w:p w14:paraId="0060D7D6" w14:textId="25430168"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1.156 €</w:t>
            </w:r>
          </w:p>
        </w:tc>
        <w:tc>
          <w:tcPr>
            <w:tcW w:w="2126" w:type="dxa"/>
            <w:vAlign w:val="bottom"/>
          </w:tcPr>
          <w:p w14:paraId="1E44DE92" w14:textId="167ADED7"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-0,5%</w:t>
            </w:r>
          </w:p>
        </w:tc>
        <w:tc>
          <w:tcPr>
            <w:tcW w:w="2112" w:type="dxa"/>
            <w:vAlign w:val="bottom"/>
          </w:tcPr>
          <w:p w14:paraId="531B58DD" w14:textId="269D514F"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1,6%</w:t>
            </w:r>
          </w:p>
        </w:tc>
      </w:tr>
      <w:tr w:rsidR="00BA3A6F" w:rsidRPr="00BA3A6F" w14:paraId="079765C0" w14:textId="5FA671D5"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4725F67" w14:textId="66A78C5C"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Badajoz</w:t>
            </w:r>
          </w:p>
        </w:tc>
        <w:tc>
          <w:tcPr>
            <w:tcW w:w="2097" w:type="dxa"/>
            <w:vAlign w:val="bottom"/>
          </w:tcPr>
          <w:p w14:paraId="564B0FD6" w14:textId="206C3990"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1.228 €</w:t>
            </w:r>
          </w:p>
        </w:tc>
        <w:tc>
          <w:tcPr>
            <w:tcW w:w="2126" w:type="dxa"/>
            <w:vAlign w:val="bottom"/>
          </w:tcPr>
          <w:p w14:paraId="18AB712B" w14:textId="518594F7"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-0,6%</w:t>
            </w:r>
          </w:p>
        </w:tc>
        <w:tc>
          <w:tcPr>
            <w:tcW w:w="2112" w:type="dxa"/>
            <w:vAlign w:val="bottom"/>
          </w:tcPr>
          <w:p w14:paraId="04212BBB" w14:textId="6E055D4A"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7,0%</w:t>
            </w:r>
          </w:p>
        </w:tc>
      </w:tr>
      <w:tr w:rsidR="00BA3A6F" w:rsidRPr="00BA3A6F" w14:paraId="106A95FF" w14:textId="6CC61C94"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6272ECC" w14:textId="28D3540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Jaén</w:t>
            </w:r>
          </w:p>
        </w:tc>
        <w:tc>
          <w:tcPr>
            <w:tcW w:w="2097" w:type="dxa"/>
            <w:vAlign w:val="bottom"/>
          </w:tcPr>
          <w:p w14:paraId="4ECEC1BE" w14:textId="72B77AB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1.016 €</w:t>
            </w:r>
          </w:p>
        </w:tc>
        <w:tc>
          <w:tcPr>
            <w:tcW w:w="2126" w:type="dxa"/>
            <w:vAlign w:val="bottom"/>
          </w:tcPr>
          <w:p w14:paraId="6CEB7B19" w14:textId="04D34FFF"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-0,7%</w:t>
            </w:r>
          </w:p>
        </w:tc>
        <w:tc>
          <w:tcPr>
            <w:tcW w:w="2112" w:type="dxa"/>
            <w:vAlign w:val="bottom"/>
          </w:tcPr>
          <w:p w14:paraId="20DE6F8F" w14:textId="47DB9AF4"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1,0%</w:t>
            </w:r>
          </w:p>
        </w:tc>
      </w:tr>
      <w:tr w:rsidR="00BA3A6F" w:rsidRPr="00BA3A6F" w14:paraId="01C23C3E" w14:textId="3B4FEE54"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4091154" w14:textId="31EBB12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Cáceres</w:t>
            </w:r>
          </w:p>
        </w:tc>
        <w:tc>
          <w:tcPr>
            <w:tcW w:w="2097" w:type="dxa"/>
            <w:vAlign w:val="bottom"/>
          </w:tcPr>
          <w:p w14:paraId="2A9A0492" w14:textId="71BD7A9F"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1.214 €</w:t>
            </w:r>
          </w:p>
        </w:tc>
        <w:tc>
          <w:tcPr>
            <w:tcW w:w="2126" w:type="dxa"/>
            <w:vAlign w:val="bottom"/>
          </w:tcPr>
          <w:p w14:paraId="71AE1BFE" w14:textId="259937E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-0,8%</w:t>
            </w:r>
          </w:p>
        </w:tc>
        <w:tc>
          <w:tcPr>
            <w:tcW w:w="2112" w:type="dxa"/>
            <w:vAlign w:val="bottom"/>
          </w:tcPr>
          <w:p w14:paraId="3F74E000" w14:textId="160F7B2A"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5,6%</w:t>
            </w:r>
          </w:p>
        </w:tc>
      </w:tr>
      <w:tr w:rsidR="00BA3A6F" w:rsidRPr="00BA3A6F" w14:paraId="5E98916F" w14:textId="5E7EB91A"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38DBAA4" w14:textId="6D853114"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Valladolid</w:t>
            </w:r>
          </w:p>
        </w:tc>
        <w:tc>
          <w:tcPr>
            <w:tcW w:w="2097" w:type="dxa"/>
            <w:vAlign w:val="bottom"/>
          </w:tcPr>
          <w:p w14:paraId="45E7724A" w14:textId="257EE945"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1.580 €</w:t>
            </w:r>
          </w:p>
        </w:tc>
        <w:tc>
          <w:tcPr>
            <w:tcW w:w="2126" w:type="dxa"/>
            <w:vAlign w:val="bottom"/>
          </w:tcPr>
          <w:p w14:paraId="5B186C54" w14:textId="4998AAF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-0,9%</w:t>
            </w:r>
          </w:p>
        </w:tc>
        <w:tc>
          <w:tcPr>
            <w:tcW w:w="2112" w:type="dxa"/>
            <w:vAlign w:val="bottom"/>
          </w:tcPr>
          <w:p w14:paraId="5300BE7D" w14:textId="28C36A14"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3,1%</w:t>
            </w:r>
          </w:p>
        </w:tc>
      </w:tr>
      <w:tr w:rsidR="00BA3A6F" w:rsidRPr="00BA3A6F" w14:paraId="01C64728" w14:textId="36E5A04D"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E1028DE" w14:textId="2DB4B584"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Araba - Álava</w:t>
            </w:r>
          </w:p>
        </w:tc>
        <w:tc>
          <w:tcPr>
            <w:tcW w:w="2097" w:type="dxa"/>
            <w:vAlign w:val="bottom"/>
          </w:tcPr>
          <w:p w14:paraId="2E25394A" w14:textId="5B2430F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2.635 €</w:t>
            </w:r>
          </w:p>
        </w:tc>
        <w:tc>
          <w:tcPr>
            <w:tcW w:w="2126" w:type="dxa"/>
            <w:vAlign w:val="bottom"/>
          </w:tcPr>
          <w:p w14:paraId="651398AF" w14:textId="1C2E18D7"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-0,9%</w:t>
            </w:r>
          </w:p>
        </w:tc>
        <w:tc>
          <w:tcPr>
            <w:tcW w:w="2112" w:type="dxa"/>
            <w:vAlign w:val="bottom"/>
          </w:tcPr>
          <w:p w14:paraId="3BD55262" w14:textId="35AC97E3"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2,5%</w:t>
            </w:r>
          </w:p>
        </w:tc>
      </w:tr>
      <w:tr w:rsidR="00BA3A6F" w:rsidRPr="00BA3A6F" w14:paraId="6B317D16" w14:textId="1058D471"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EA47CEF" w14:textId="2554F895"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Cuenca</w:t>
            </w:r>
          </w:p>
        </w:tc>
        <w:tc>
          <w:tcPr>
            <w:tcW w:w="2097" w:type="dxa"/>
            <w:vAlign w:val="bottom"/>
          </w:tcPr>
          <w:p w14:paraId="457CDA8E" w14:textId="607EB060"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1.183 €</w:t>
            </w:r>
          </w:p>
        </w:tc>
        <w:tc>
          <w:tcPr>
            <w:tcW w:w="2126" w:type="dxa"/>
            <w:vAlign w:val="bottom"/>
          </w:tcPr>
          <w:p w14:paraId="61D964CE" w14:textId="6267C06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-1,1%</w:t>
            </w:r>
          </w:p>
        </w:tc>
        <w:tc>
          <w:tcPr>
            <w:tcW w:w="2112" w:type="dxa"/>
            <w:vAlign w:val="bottom"/>
          </w:tcPr>
          <w:p w14:paraId="6BFD3043" w14:textId="32633EB5"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2,8%</w:t>
            </w:r>
          </w:p>
        </w:tc>
      </w:tr>
      <w:tr w:rsidR="00BA3A6F" w:rsidRPr="00BA3A6F" w14:paraId="6D3B6F4A" w14:textId="6FAF4C2C" w:rsidTr="00F708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498B3D8" w14:textId="4233EFBE"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Sevilla</w:t>
            </w:r>
          </w:p>
        </w:tc>
        <w:tc>
          <w:tcPr>
            <w:tcW w:w="2097" w:type="dxa"/>
            <w:vAlign w:val="bottom"/>
          </w:tcPr>
          <w:p w14:paraId="78DE28F8" w14:textId="1AD8D49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1.713 €</w:t>
            </w:r>
          </w:p>
        </w:tc>
        <w:tc>
          <w:tcPr>
            <w:tcW w:w="2126" w:type="dxa"/>
            <w:vAlign w:val="bottom"/>
          </w:tcPr>
          <w:p w14:paraId="7DD69BD0" w14:textId="33C1C905"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-1,4%</w:t>
            </w:r>
          </w:p>
        </w:tc>
        <w:tc>
          <w:tcPr>
            <w:tcW w:w="2112" w:type="dxa"/>
            <w:vAlign w:val="bottom"/>
          </w:tcPr>
          <w:p w14:paraId="2D248628" w14:textId="1B8FB04A" w:rsidR="00BA3A6F" w:rsidRPr="00BA3A6F" w:rsidRDefault="00BA3A6F" w:rsidP="00CD3D75">
            <w:pPr>
              <w:ind w:right="162"/>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7,3%</w:t>
            </w:r>
          </w:p>
        </w:tc>
      </w:tr>
      <w:tr w:rsidR="00BA3A6F" w:rsidRPr="00BA3A6F" w14:paraId="0C02AA79" w14:textId="2692A904" w:rsidTr="00F7080E">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C296405" w14:textId="3B7A24C8" w:rsidR="00BA3A6F" w:rsidRPr="00BA3A6F" w:rsidRDefault="00BA3A6F" w:rsidP="00DC4348">
            <w:pPr>
              <w:ind w:right="-433"/>
              <w:rPr>
                <w:rFonts w:ascii="Open Sans" w:hAnsi="Open Sans" w:cs="Open Sans"/>
                <w:b w:val="0"/>
                <w:sz w:val="22"/>
                <w:szCs w:val="22"/>
              </w:rPr>
            </w:pPr>
            <w:r w:rsidRPr="00BA3A6F">
              <w:rPr>
                <w:rFonts w:ascii="Open Sans" w:hAnsi="Open Sans" w:cs="Open Sans"/>
                <w:b w:val="0"/>
              </w:rPr>
              <w:t>Segovia</w:t>
            </w:r>
          </w:p>
        </w:tc>
        <w:tc>
          <w:tcPr>
            <w:tcW w:w="2097" w:type="dxa"/>
            <w:vAlign w:val="bottom"/>
          </w:tcPr>
          <w:p w14:paraId="35D354BF" w14:textId="120B6BC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BA3A6F">
              <w:rPr>
                <w:rFonts w:ascii="Open Sans" w:hAnsi="Open Sans" w:cs="Open Sans"/>
                <w:bCs/>
                <w:color w:val="000000"/>
                <w:sz w:val="22"/>
                <w:szCs w:val="22"/>
              </w:rPr>
              <w:t>1.377 €</w:t>
            </w:r>
          </w:p>
        </w:tc>
        <w:tc>
          <w:tcPr>
            <w:tcW w:w="2126" w:type="dxa"/>
            <w:vAlign w:val="bottom"/>
          </w:tcPr>
          <w:p w14:paraId="0766F18A" w14:textId="1D9C02F0"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-10,9%</w:t>
            </w:r>
          </w:p>
        </w:tc>
        <w:tc>
          <w:tcPr>
            <w:tcW w:w="2112" w:type="dxa"/>
            <w:vAlign w:val="bottom"/>
          </w:tcPr>
          <w:p w14:paraId="134CFFEC" w14:textId="2399B64E" w:rsidR="00BA3A6F" w:rsidRPr="00BA3A6F" w:rsidRDefault="00BA3A6F" w:rsidP="00CD3D75">
            <w:pPr>
              <w:ind w:right="16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BA3A6F">
              <w:rPr>
                <w:rFonts w:ascii="Open Sans" w:hAnsi="Open Sans" w:cs="Open Sans"/>
                <w:bCs/>
                <w:color w:val="000000"/>
                <w:sz w:val="22"/>
                <w:szCs w:val="22"/>
              </w:rPr>
              <w:t>4,4%</w:t>
            </w:r>
          </w:p>
        </w:tc>
      </w:tr>
    </w:tbl>
    <w:p w14:paraId="7D961766" w14:textId="60D5512A" w:rsidR="004C1FF5" w:rsidRPr="00C5673A" w:rsidRDefault="005673F2" w:rsidP="00DC4348">
      <w:pPr>
        <w:pStyle w:val="NormalWeb"/>
        <w:shd w:val="clear" w:color="auto" w:fill="FFFFFF"/>
        <w:spacing w:line="276" w:lineRule="auto"/>
        <w:ind w:right="-433"/>
        <w:rPr>
          <w:rFonts w:ascii="Open Sans Light" w:hAnsi="Open Sans Light" w:cs="Open Sans Light"/>
          <w:b/>
          <w:iCs/>
          <w:color w:val="303AB2"/>
        </w:rPr>
      </w:pPr>
      <w:r w:rsidRPr="00C5673A">
        <w:rPr>
          <w:rFonts w:ascii="Open Sans Light" w:hAnsi="Open Sans Light" w:cs="Open Sans Light"/>
          <w:b/>
          <w:iCs/>
          <w:color w:val="303AB2"/>
        </w:rPr>
        <w:t xml:space="preserve">Tabla </w:t>
      </w:r>
      <w:r w:rsidR="00C5673A">
        <w:rPr>
          <w:rFonts w:ascii="Open Sans Light" w:hAnsi="Open Sans Light" w:cs="Open Sans Light"/>
          <w:b/>
          <w:iCs/>
          <w:color w:val="303AB2"/>
        </w:rPr>
        <w:t>3</w:t>
      </w:r>
      <w:r w:rsidRPr="00C5673A">
        <w:rPr>
          <w:rFonts w:ascii="Open Sans Light" w:hAnsi="Open Sans Light" w:cs="Open Sans Light"/>
          <w:b/>
          <w:iCs/>
          <w:color w:val="303AB2"/>
        </w:rPr>
        <w:t>: Capitales de provincia</w:t>
      </w:r>
      <w:r w:rsidR="004C1FF5" w:rsidRPr="00C5673A">
        <w:rPr>
          <w:rFonts w:ascii="Open Sans Light" w:hAnsi="Open Sans Light" w:cs="Open Sans Light"/>
          <w:b/>
          <w:iCs/>
          <w:color w:val="303AB2"/>
        </w:rPr>
        <w:t xml:space="preserve"> </w:t>
      </w:r>
      <w:r w:rsidR="004469C2">
        <w:rPr>
          <w:rFonts w:ascii="Open Sans Light" w:hAnsi="Open Sans Light" w:cs="Open Sans Light"/>
          <w:b/>
          <w:iCs/>
          <w:color w:val="303AB2"/>
          <w:szCs w:val="18"/>
        </w:rPr>
        <w:t xml:space="preserve">de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004469C2">
        <w:rPr>
          <w:rFonts w:ascii="Open Sans Light" w:hAnsi="Open Sans Light" w:cs="Open Sans Light"/>
          <w:b/>
          <w:iCs/>
          <w:color w:val="303AB2"/>
          <w:szCs w:val="18"/>
        </w:rPr>
        <w:t>a</w:t>
      </w:r>
      <w:r w:rsidR="004469C2" w:rsidRPr="00C5673A">
        <w:rPr>
          <w:rFonts w:ascii="Open Sans Light" w:hAnsi="Open Sans Light" w:cs="Open Sans Light"/>
          <w:b/>
          <w:iCs/>
          <w:color w:val="303AB2"/>
        </w:rPr>
        <w:t xml:space="preserve"> </w:t>
      </w:r>
      <w:r w:rsidR="004469C2">
        <w:rPr>
          <w:rFonts w:ascii="Open Sans Light" w:hAnsi="Open Sans Light" w:cs="Open Sans Light"/>
          <w:b/>
          <w:iCs/>
          <w:color w:val="303AB2"/>
          <w:szCs w:val="18"/>
        </w:rPr>
        <w:t>menor</w:t>
      </w:r>
      <w:r w:rsidR="004469C2" w:rsidRPr="00125207">
        <w:rPr>
          <w:rFonts w:ascii="Open Sans Light" w:hAnsi="Open Sans Light" w:cs="Open Sans Light"/>
          <w:b/>
          <w:iCs/>
          <w:color w:val="303AB2"/>
          <w:szCs w:val="18"/>
        </w:rPr>
        <w:t xml:space="preserve"> </w:t>
      </w:r>
      <w:r w:rsidR="004C1FF5" w:rsidRPr="00C5673A">
        <w:rPr>
          <w:rFonts w:ascii="Open Sans Light" w:hAnsi="Open Sans Light" w:cs="Open Sans Light"/>
          <w:b/>
          <w:iCs/>
          <w:color w:val="303AB2"/>
        </w:rPr>
        <w:t xml:space="preserve">incremento </w:t>
      </w:r>
      <w:r w:rsidR="004E52F2">
        <w:rPr>
          <w:rFonts w:ascii="Open Sans Light" w:hAnsi="Open Sans Light" w:cs="Open Sans Light"/>
          <w:b/>
          <w:iCs/>
          <w:color w:val="303AB2"/>
        </w:rPr>
        <w:t>trimestral</w:t>
      </w:r>
      <w:r w:rsidR="000B76BB">
        <w:rPr>
          <w:rFonts w:ascii="Open Sans Light" w:hAnsi="Open Sans Light" w:cs="Open Sans Light"/>
          <w:b/>
          <w:iCs/>
          <w:color w:val="303AB2"/>
        </w:rPr>
        <w:t xml:space="preserve"> </w:t>
      </w:r>
      <w:r w:rsidR="00F67E11">
        <w:rPr>
          <w:rFonts w:ascii="Open Sans Light" w:hAnsi="Open Sans Light" w:cs="Open Sans Light"/>
          <w:b/>
          <w:iCs/>
          <w:color w:val="303AB2"/>
          <w:szCs w:val="18"/>
        </w:rPr>
        <w:t>(</w:t>
      </w:r>
      <w:r w:rsidR="00BA3A6F">
        <w:rPr>
          <w:rFonts w:ascii="Open Sans Light" w:hAnsi="Open Sans Light" w:cs="Open Sans Light"/>
          <w:b/>
          <w:iCs/>
          <w:color w:val="303AB2"/>
        </w:rPr>
        <w:t>jun</w:t>
      </w:r>
      <w:r w:rsidR="00F67E11">
        <w:rPr>
          <w:rFonts w:ascii="Open Sans Light" w:hAnsi="Open Sans Light" w:cs="Open Sans Light"/>
          <w:b/>
          <w:iCs/>
          <w:color w:val="303AB2"/>
        </w:rPr>
        <w:t>. 202</w:t>
      </w:r>
      <w:r w:rsidR="00DF7F21">
        <w:rPr>
          <w:rFonts w:ascii="Open Sans Light" w:hAnsi="Open Sans Light" w:cs="Open Sans Light"/>
          <w:b/>
          <w:iCs/>
          <w:color w:val="303AB2"/>
        </w:rPr>
        <w:t>3</w:t>
      </w:r>
      <w:r w:rsidR="00F67E11">
        <w:rPr>
          <w:rFonts w:ascii="Open Sans Light" w:hAnsi="Open Sans Light" w:cs="Open Sans Light"/>
          <w:b/>
          <w:iCs/>
          <w:color w:val="303AB2"/>
        </w:rPr>
        <w:t>)</w:t>
      </w:r>
    </w:p>
    <w:tbl>
      <w:tblPr>
        <w:tblStyle w:val="Tablaconcuadrcula5oscura-nfasis3"/>
        <w:tblW w:w="9039" w:type="dxa"/>
        <w:tblInd w:w="-113" w:type="dxa"/>
        <w:tblLayout w:type="fixed"/>
        <w:tblLook w:val="04A0" w:firstRow="1" w:lastRow="0" w:firstColumn="1" w:lastColumn="0" w:noHBand="0" w:noVBand="1"/>
      </w:tblPr>
      <w:tblGrid>
        <w:gridCol w:w="1485"/>
        <w:gridCol w:w="2592"/>
        <w:gridCol w:w="1418"/>
        <w:gridCol w:w="1843"/>
        <w:gridCol w:w="1701"/>
      </w:tblGrid>
      <w:tr w:rsidR="00BA3A6F" w:rsidRPr="00DF7F21" w14:paraId="7219BAC1" w14:textId="1AF1EF10" w:rsidTr="00F7080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center"/>
          </w:tcPr>
          <w:p w14:paraId="020C9593" w14:textId="77777777" w:rsidR="00BA3A6F" w:rsidRPr="00DF7F21" w:rsidRDefault="00BA3A6F" w:rsidP="00DC4348">
            <w:pPr>
              <w:ind w:right="-433"/>
              <w:rPr>
                <w:rFonts w:ascii="Open Sans" w:hAnsi="Open Sans" w:cs="Open Sans"/>
                <w:b w:val="0"/>
                <w:sz w:val="22"/>
                <w:szCs w:val="22"/>
                <w:lang w:val="es-ES"/>
              </w:rPr>
            </w:pPr>
            <w:r w:rsidRPr="00DF7F21">
              <w:rPr>
                <w:rFonts w:ascii="Open Sans" w:hAnsi="Open Sans" w:cs="Open Sans"/>
                <w:b w:val="0"/>
                <w:sz w:val="22"/>
                <w:szCs w:val="22"/>
                <w:lang w:val="es-ES"/>
              </w:rPr>
              <w:t>Provincia</w:t>
            </w:r>
          </w:p>
        </w:tc>
        <w:tc>
          <w:tcPr>
            <w:tcW w:w="2592" w:type="dxa"/>
            <w:shd w:val="clear" w:color="auto" w:fill="1DBDC5"/>
            <w:vAlign w:val="center"/>
          </w:tcPr>
          <w:p w14:paraId="37D2E312" w14:textId="77777777" w:rsidR="00BA3A6F" w:rsidRPr="00DF7F21" w:rsidRDefault="00BA3A6F" w:rsidP="00DC4348">
            <w:pPr>
              <w:ind w:right="-433"/>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F21">
              <w:rPr>
                <w:rFonts w:ascii="Open Sans" w:hAnsi="Open Sans" w:cs="Open Sans"/>
                <w:b w:val="0"/>
                <w:sz w:val="22"/>
                <w:szCs w:val="22"/>
                <w:lang w:val="es-ES"/>
              </w:rPr>
              <w:t>Municipio</w:t>
            </w:r>
          </w:p>
        </w:tc>
        <w:tc>
          <w:tcPr>
            <w:tcW w:w="1418" w:type="dxa"/>
            <w:shd w:val="clear" w:color="auto" w:fill="1DBDC5"/>
          </w:tcPr>
          <w:p w14:paraId="66260119" w14:textId="77777777" w:rsidR="00BA3A6F" w:rsidRPr="00711672"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Jun</w:t>
            </w:r>
            <w:r w:rsidRPr="00711672">
              <w:rPr>
                <w:rFonts w:ascii="Open Sans" w:hAnsi="Open Sans" w:cs="Open Sans"/>
                <w:b w:val="0"/>
                <w:sz w:val="22"/>
                <w:szCs w:val="22"/>
                <w:lang w:val="es-ES"/>
              </w:rPr>
              <w:t>. 202</w:t>
            </w:r>
            <w:r>
              <w:rPr>
                <w:rFonts w:ascii="Open Sans" w:hAnsi="Open Sans" w:cs="Open Sans"/>
                <w:b w:val="0"/>
                <w:sz w:val="22"/>
                <w:szCs w:val="22"/>
                <w:lang w:val="es-ES"/>
              </w:rPr>
              <w:t>3</w:t>
            </w:r>
          </w:p>
          <w:p w14:paraId="22FF1A0B" w14:textId="5B04F9E4" w:rsidR="00BA3A6F" w:rsidRPr="00DF7F21"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(euros/m²)</w:t>
            </w:r>
          </w:p>
        </w:tc>
        <w:tc>
          <w:tcPr>
            <w:tcW w:w="1843" w:type="dxa"/>
            <w:shd w:val="clear" w:color="auto" w:fill="1DBDC5"/>
          </w:tcPr>
          <w:p w14:paraId="61F0CB60" w14:textId="77777777" w:rsidR="00BA3A6F" w:rsidRPr="00BA3A6F"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A3A6F">
              <w:rPr>
                <w:rFonts w:ascii="Open Sans" w:hAnsi="Open Sans" w:cs="Open Sans"/>
                <w:b w:val="0"/>
                <w:sz w:val="22"/>
                <w:szCs w:val="22"/>
                <w:lang w:val="es-ES"/>
              </w:rPr>
              <w:t>Variación</w:t>
            </w:r>
          </w:p>
          <w:p w14:paraId="4953183F" w14:textId="6DB703F4" w:rsidR="00BA3A6F" w:rsidRPr="00BA3A6F"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A3A6F">
              <w:rPr>
                <w:rFonts w:ascii="Open Sans" w:hAnsi="Open Sans" w:cs="Open Sans"/>
                <w:b w:val="0"/>
                <w:sz w:val="22"/>
                <w:szCs w:val="22"/>
                <w:lang w:val="es-ES"/>
              </w:rPr>
              <w:t>trimestral (%)</w:t>
            </w:r>
          </w:p>
        </w:tc>
        <w:tc>
          <w:tcPr>
            <w:tcW w:w="1701" w:type="dxa"/>
            <w:shd w:val="clear" w:color="auto" w:fill="1DBDC5"/>
          </w:tcPr>
          <w:p w14:paraId="51D85FCE" w14:textId="77777777" w:rsidR="00DC4348"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11672">
              <w:rPr>
                <w:rFonts w:ascii="Open Sans" w:hAnsi="Open Sans" w:cs="Open Sans"/>
                <w:b w:val="0"/>
                <w:sz w:val="22"/>
                <w:szCs w:val="22"/>
                <w:lang w:val="es-ES"/>
              </w:rPr>
              <w:t>Variación</w:t>
            </w:r>
          </w:p>
          <w:p w14:paraId="14A0A655" w14:textId="74E0456A" w:rsidR="00BA3A6F" w:rsidRPr="00DF7F21" w:rsidRDefault="00BA3A6F" w:rsidP="00F7080E">
            <w:pPr>
              <w:ind w:right="-4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interanual (%)</w:t>
            </w:r>
          </w:p>
        </w:tc>
      </w:tr>
      <w:tr w:rsidR="00BA3A6F" w:rsidRPr="00DF7F21" w14:paraId="1DA53675" w14:textId="46E7BF91"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1E80F0" w14:textId="4A5A3E1B"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Soria</w:t>
            </w:r>
          </w:p>
        </w:tc>
        <w:tc>
          <w:tcPr>
            <w:tcW w:w="2592" w:type="dxa"/>
            <w:vAlign w:val="bottom"/>
          </w:tcPr>
          <w:p w14:paraId="0D4556B9" w14:textId="3679FEDF"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Soria capital</w:t>
            </w:r>
          </w:p>
        </w:tc>
        <w:tc>
          <w:tcPr>
            <w:tcW w:w="1418" w:type="dxa"/>
            <w:vAlign w:val="bottom"/>
          </w:tcPr>
          <w:p w14:paraId="381CC163" w14:textId="01D7065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1.596 €</w:t>
            </w:r>
          </w:p>
        </w:tc>
        <w:tc>
          <w:tcPr>
            <w:tcW w:w="1843" w:type="dxa"/>
            <w:vAlign w:val="bottom"/>
          </w:tcPr>
          <w:p w14:paraId="4233C60F" w14:textId="480C4AF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14,9%</w:t>
            </w:r>
          </w:p>
        </w:tc>
        <w:tc>
          <w:tcPr>
            <w:tcW w:w="1701" w:type="dxa"/>
            <w:vAlign w:val="bottom"/>
          </w:tcPr>
          <w:p w14:paraId="57421825" w14:textId="2B22875A"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14,3%</w:t>
            </w:r>
          </w:p>
        </w:tc>
      </w:tr>
      <w:tr w:rsidR="00BA3A6F" w:rsidRPr="00DF7F21" w14:paraId="5C897F58" w14:textId="5F274309"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626F95F" w14:textId="3117F93C"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Huesca</w:t>
            </w:r>
          </w:p>
        </w:tc>
        <w:tc>
          <w:tcPr>
            <w:tcW w:w="2592" w:type="dxa"/>
            <w:vAlign w:val="bottom"/>
          </w:tcPr>
          <w:p w14:paraId="0039ADAC" w14:textId="33082486"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Huesca capital</w:t>
            </w:r>
          </w:p>
        </w:tc>
        <w:tc>
          <w:tcPr>
            <w:tcW w:w="1418" w:type="dxa"/>
            <w:vAlign w:val="bottom"/>
          </w:tcPr>
          <w:p w14:paraId="3FC85223" w14:textId="6A10C2FE"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1.614 €</w:t>
            </w:r>
          </w:p>
        </w:tc>
        <w:tc>
          <w:tcPr>
            <w:tcW w:w="1843" w:type="dxa"/>
            <w:vAlign w:val="bottom"/>
          </w:tcPr>
          <w:p w14:paraId="0303DA78" w14:textId="5C46DFFA"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12,1%</w:t>
            </w:r>
          </w:p>
        </w:tc>
        <w:tc>
          <w:tcPr>
            <w:tcW w:w="1701" w:type="dxa"/>
            <w:vAlign w:val="bottom"/>
          </w:tcPr>
          <w:p w14:paraId="45E0CF9C" w14:textId="1DDCD1D1"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w:t>
            </w:r>
          </w:p>
        </w:tc>
      </w:tr>
      <w:tr w:rsidR="00BA3A6F" w:rsidRPr="00DF7F21" w14:paraId="67350B13" w14:textId="3C43CCC1"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E7447D" w14:textId="45F3E190"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Teruel</w:t>
            </w:r>
          </w:p>
        </w:tc>
        <w:tc>
          <w:tcPr>
            <w:tcW w:w="2592" w:type="dxa"/>
            <w:vAlign w:val="bottom"/>
          </w:tcPr>
          <w:p w14:paraId="403B2A01" w14:textId="6AB25226"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Teruel capital</w:t>
            </w:r>
          </w:p>
        </w:tc>
        <w:tc>
          <w:tcPr>
            <w:tcW w:w="1418" w:type="dxa"/>
            <w:vAlign w:val="bottom"/>
          </w:tcPr>
          <w:p w14:paraId="38C743DA" w14:textId="7157EB10"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1.463 €</w:t>
            </w:r>
          </w:p>
        </w:tc>
        <w:tc>
          <w:tcPr>
            <w:tcW w:w="1843" w:type="dxa"/>
            <w:vAlign w:val="bottom"/>
          </w:tcPr>
          <w:p w14:paraId="4F82D3B7" w14:textId="163D929F"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7,0%</w:t>
            </w:r>
          </w:p>
        </w:tc>
        <w:tc>
          <w:tcPr>
            <w:tcW w:w="1701" w:type="dxa"/>
            <w:vAlign w:val="bottom"/>
          </w:tcPr>
          <w:p w14:paraId="6901054B" w14:textId="3F2A2471"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w:t>
            </w:r>
          </w:p>
        </w:tc>
      </w:tr>
      <w:tr w:rsidR="00BA3A6F" w:rsidRPr="00DF7F21" w14:paraId="5ED81A86" w14:textId="404DA3DF"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8F6C944" w14:textId="5037FCC3"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Illes Balears</w:t>
            </w:r>
          </w:p>
        </w:tc>
        <w:tc>
          <w:tcPr>
            <w:tcW w:w="2592" w:type="dxa"/>
            <w:vAlign w:val="bottom"/>
          </w:tcPr>
          <w:p w14:paraId="2E942F17" w14:textId="0E80BADA"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Palma de Mallorca</w:t>
            </w:r>
          </w:p>
        </w:tc>
        <w:tc>
          <w:tcPr>
            <w:tcW w:w="1418" w:type="dxa"/>
            <w:vAlign w:val="bottom"/>
          </w:tcPr>
          <w:p w14:paraId="05DF42BA" w14:textId="74D4363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4.108 €</w:t>
            </w:r>
          </w:p>
        </w:tc>
        <w:tc>
          <w:tcPr>
            <w:tcW w:w="1843" w:type="dxa"/>
            <w:vAlign w:val="bottom"/>
          </w:tcPr>
          <w:p w14:paraId="610F83FA" w14:textId="3C76A1A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6,0%</w:t>
            </w:r>
          </w:p>
        </w:tc>
        <w:tc>
          <w:tcPr>
            <w:tcW w:w="1701" w:type="dxa"/>
            <w:vAlign w:val="bottom"/>
          </w:tcPr>
          <w:p w14:paraId="2B4706AE" w14:textId="33047B1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22,8%</w:t>
            </w:r>
          </w:p>
        </w:tc>
      </w:tr>
      <w:tr w:rsidR="00BA3A6F" w:rsidRPr="00DF7F21" w14:paraId="1117FB83" w14:textId="42A57FC9"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7E744D" w14:textId="67111E24"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Lleida</w:t>
            </w:r>
          </w:p>
        </w:tc>
        <w:tc>
          <w:tcPr>
            <w:tcW w:w="2592" w:type="dxa"/>
            <w:vAlign w:val="bottom"/>
          </w:tcPr>
          <w:p w14:paraId="45407DD9" w14:textId="190B0C7E"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Lleida capital</w:t>
            </w:r>
          </w:p>
        </w:tc>
        <w:tc>
          <w:tcPr>
            <w:tcW w:w="1418" w:type="dxa"/>
            <w:vAlign w:val="bottom"/>
          </w:tcPr>
          <w:p w14:paraId="5628B96F" w14:textId="78CA07E5"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1.346 €</w:t>
            </w:r>
          </w:p>
        </w:tc>
        <w:tc>
          <w:tcPr>
            <w:tcW w:w="1843" w:type="dxa"/>
            <w:vAlign w:val="bottom"/>
          </w:tcPr>
          <w:p w14:paraId="735EBBBA" w14:textId="10E16E0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4,6%</w:t>
            </w:r>
          </w:p>
        </w:tc>
        <w:tc>
          <w:tcPr>
            <w:tcW w:w="1701" w:type="dxa"/>
            <w:vAlign w:val="bottom"/>
          </w:tcPr>
          <w:p w14:paraId="1454B7B3" w14:textId="4A65DB5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10,3%</w:t>
            </w:r>
          </w:p>
        </w:tc>
      </w:tr>
      <w:tr w:rsidR="00BA3A6F" w:rsidRPr="00DF7F21" w14:paraId="75ECF17C" w14:textId="1B9BB7A2"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188DE1" w14:textId="6C94A624"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Cantabria</w:t>
            </w:r>
          </w:p>
        </w:tc>
        <w:tc>
          <w:tcPr>
            <w:tcW w:w="2592" w:type="dxa"/>
            <w:vAlign w:val="bottom"/>
          </w:tcPr>
          <w:p w14:paraId="2907E0E8" w14:textId="045C2AA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Santander</w:t>
            </w:r>
          </w:p>
        </w:tc>
        <w:tc>
          <w:tcPr>
            <w:tcW w:w="1418" w:type="dxa"/>
            <w:vAlign w:val="bottom"/>
          </w:tcPr>
          <w:p w14:paraId="2E4BFAE6" w14:textId="34C726ED"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2.437 €</w:t>
            </w:r>
          </w:p>
        </w:tc>
        <w:tc>
          <w:tcPr>
            <w:tcW w:w="1843" w:type="dxa"/>
            <w:vAlign w:val="bottom"/>
          </w:tcPr>
          <w:p w14:paraId="33E5227F" w14:textId="3456344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4,4%</w:t>
            </w:r>
          </w:p>
        </w:tc>
        <w:tc>
          <w:tcPr>
            <w:tcW w:w="1701" w:type="dxa"/>
            <w:vAlign w:val="bottom"/>
          </w:tcPr>
          <w:p w14:paraId="78692CE9" w14:textId="20B498B3"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10,9%</w:t>
            </w:r>
          </w:p>
        </w:tc>
      </w:tr>
      <w:tr w:rsidR="00BA3A6F" w:rsidRPr="00DF7F21" w14:paraId="1ACF7398" w14:textId="256E763C"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DF91238" w14:textId="738A99B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Valencia</w:t>
            </w:r>
          </w:p>
        </w:tc>
        <w:tc>
          <w:tcPr>
            <w:tcW w:w="2592" w:type="dxa"/>
            <w:vAlign w:val="bottom"/>
          </w:tcPr>
          <w:p w14:paraId="773C9EAB" w14:textId="3CC1F7A5"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Valencia capital</w:t>
            </w:r>
          </w:p>
        </w:tc>
        <w:tc>
          <w:tcPr>
            <w:tcW w:w="1418" w:type="dxa"/>
            <w:vAlign w:val="bottom"/>
          </w:tcPr>
          <w:p w14:paraId="6BA00C64" w14:textId="76B71900"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2.509 €</w:t>
            </w:r>
          </w:p>
        </w:tc>
        <w:tc>
          <w:tcPr>
            <w:tcW w:w="1843" w:type="dxa"/>
            <w:vAlign w:val="bottom"/>
          </w:tcPr>
          <w:p w14:paraId="76084559" w14:textId="1BF2EC0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4,2%</w:t>
            </w:r>
          </w:p>
        </w:tc>
        <w:tc>
          <w:tcPr>
            <w:tcW w:w="1701" w:type="dxa"/>
            <w:vAlign w:val="bottom"/>
          </w:tcPr>
          <w:p w14:paraId="36594C43" w14:textId="5E7F8D0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11,5%</w:t>
            </w:r>
          </w:p>
        </w:tc>
      </w:tr>
      <w:tr w:rsidR="00BA3A6F" w:rsidRPr="00DF7F21" w14:paraId="5C83D2CA" w14:textId="28E89622"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924C1D" w14:textId="3AA8531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Santa Cruz de Tenerife</w:t>
            </w:r>
          </w:p>
        </w:tc>
        <w:tc>
          <w:tcPr>
            <w:tcW w:w="2592" w:type="dxa"/>
            <w:vAlign w:val="bottom"/>
          </w:tcPr>
          <w:p w14:paraId="3E7EA95C" w14:textId="0DBA77F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Santa Cruz de Tenerife capital</w:t>
            </w:r>
          </w:p>
        </w:tc>
        <w:tc>
          <w:tcPr>
            <w:tcW w:w="1418" w:type="dxa"/>
            <w:vAlign w:val="bottom"/>
          </w:tcPr>
          <w:p w14:paraId="1C340A70" w14:textId="65EB8A4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2.029 €</w:t>
            </w:r>
          </w:p>
        </w:tc>
        <w:tc>
          <w:tcPr>
            <w:tcW w:w="1843" w:type="dxa"/>
            <w:vAlign w:val="bottom"/>
          </w:tcPr>
          <w:p w14:paraId="13812044" w14:textId="69700170"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4,0%</w:t>
            </w:r>
          </w:p>
        </w:tc>
        <w:tc>
          <w:tcPr>
            <w:tcW w:w="1701" w:type="dxa"/>
            <w:vAlign w:val="bottom"/>
          </w:tcPr>
          <w:p w14:paraId="5BBF7F4F" w14:textId="16CF21FE"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21,5%</w:t>
            </w:r>
          </w:p>
        </w:tc>
      </w:tr>
      <w:tr w:rsidR="00BA3A6F" w:rsidRPr="00DF7F21" w14:paraId="60754F2D" w14:textId="56CD3CE8"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83A6819" w14:textId="2D9E2EEE"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Gipuzkoa</w:t>
            </w:r>
          </w:p>
        </w:tc>
        <w:tc>
          <w:tcPr>
            <w:tcW w:w="2592" w:type="dxa"/>
            <w:vAlign w:val="bottom"/>
          </w:tcPr>
          <w:p w14:paraId="03B86353" w14:textId="1A89ACDF"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Donostia - San Sebastián</w:t>
            </w:r>
          </w:p>
        </w:tc>
        <w:tc>
          <w:tcPr>
            <w:tcW w:w="1418" w:type="dxa"/>
            <w:vAlign w:val="bottom"/>
          </w:tcPr>
          <w:p w14:paraId="53C70B44" w14:textId="020CFBA4"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5.923 €</w:t>
            </w:r>
          </w:p>
        </w:tc>
        <w:tc>
          <w:tcPr>
            <w:tcW w:w="1843" w:type="dxa"/>
            <w:vAlign w:val="bottom"/>
          </w:tcPr>
          <w:p w14:paraId="16081EAD" w14:textId="0FFD28D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4,0%</w:t>
            </w:r>
          </w:p>
        </w:tc>
        <w:tc>
          <w:tcPr>
            <w:tcW w:w="1701" w:type="dxa"/>
            <w:vAlign w:val="bottom"/>
          </w:tcPr>
          <w:p w14:paraId="508D86B3" w14:textId="0021E5D8"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w:t>
            </w:r>
          </w:p>
        </w:tc>
      </w:tr>
      <w:tr w:rsidR="00BA3A6F" w:rsidRPr="00DF7F21" w14:paraId="0DCE2FD5" w14:textId="7FAEDCFF"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F6B5C80" w14:textId="23626853"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Pontevedra</w:t>
            </w:r>
          </w:p>
        </w:tc>
        <w:tc>
          <w:tcPr>
            <w:tcW w:w="2592" w:type="dxa"/>
            <w:vAlign w:val="bottom"/>
          </w:tcPr>
          <w:p w14:paraId="24C8443D" w14:textId="35FD0BB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Pontevedra capital</w:t>
            </w:r>
          </w:p>
        </w:tc>
        <w:tc>
          <w:tcPr>
            <w:tcW w:w="1418" w:type="dxa"/>
            <w:vAlign w:val="bottom"/>
          </w:tcPr>
          <w:p w14:paraId="31EE924E" w14:textId="749000A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2.040 €</w:t>
            </w:r>
          </w:p>
        </w:tc>
        <w:tc>
          <w:tcPr>
            <w:tcW w:w="1843" w:type="dxa"/>
            <w:vAlign w:val="bottom"/>
          </w:tcPr>
          <w:p w14:paraId="286F9261" w14:textId="209A0189"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4,0%</w:t>
            </w:r>
          </w:p>
        </w:tc>
        <w:tc>
          <w:tcPr>
            <w:tcW w:w="1701" w:type="dxa"/>
            <w:vAlign w:val="bottom"/>
          </w:tcPr>
          <w:p w14:paraId="5B4F571F" w14:textId="72781931"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14,5%</w:t>
            </w:r>
          </w:p>
        </w:tc>
      </w:tr>
      <w:tr w:rsidR="00BA3A6F" w:rsidRPr="00DF7F21" w14:paraId="2F2C6194" w14:textId="12463215"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A0DC39D" w14:textId="70E7C64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Guadalajara</w:t>
            </w:r>
          </w:p>
        </w:tc>
        <w:tc>
          <w:tcPr>
            <w:tcW w:w="2592" w:type="dxa"/>
            <w:vAlign w:val="bottom"/>
          </w:tcPr>
          <w:p w14:paraId="3D163195" w14:textId="541D4F33"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Guadalajara capital</w:t>
            </w:r>
          </w:p>
        </w:tc>
        <w:tc>
          <w:tcPr>
            <w:tcW w:w="1418" w:type="dxa"/>
            <w:vAlign w:val="bottom"/>
          </w:tcPr>
          <w:p w14:paraId="1778E8EA" w14:textId="1CD6FCB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1.706 €</w:t>
            </w:r>
          </w:p>
        </w:tc>
        <w:tc>
          <w:tcPr>
            <w:tcW w:w="1843" w:type="dxa"/>
            <w:vAlign w:val="bottom"/>
          </w:tcPr>
          <w:p w14:paraId="148C0CF0" w14:textId="60A4031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3,4%</w:t>
            </w:r>
          </w:p>
        </w:tc>
        <w:tc>
          <w:tcPr>
            <w:tcW w:w="1701" w:type="dxa"/>
            <w:vAlign w:val="bottom"/>
          </w:tcPr>
          <w:p w14:paraId="5BD901F1" w14:textId="0292391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7,9%</w:t>
            </w:r>
          </w:p>
        </w:tc>
      </w:tr>
      <w:tr w:rsidR="00BA3A6F" w:rsidRPr="00DF7F21" w14:paraId="71F0A131" w14:textId="43FEB542"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4A83B3D" w14:textId="1DFAF947"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Las Palmas</w:t>
            </w:r>
          </w:p>
        </w:tc>
        <w:tc>
          <w:tcPr>
            <w:tcW w:w="2592" w:type="dxa"/>
            <w:vAlign w:val="bottom"/>
          </w:tcPr>
          <w:p w14:paraId="54F57025" w14:textId="04FC5DA1"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Las Palmas de Gran Canaria</w:t>
            </w:r>
          </w:p>
        </w:tc>
        <w:tc>
          <w:tcPr>
            <w:tcW w:w="1418" w:type="dxa"/>
            <w:vAlign w:val="bottom"/>
          </w:tcPr>
          <w:p w14:paraId="66DC253D" w14:textId="6FA9C669"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2.365 €</w:t>
            </w:r>
          </w:p>
        </w:tc>
        <w:tc>
          <w:tcPr>
            <w:tcW w:w="1843" w:type="dxa"/>
            <w:vAlign w:val="bottom"/>
          </w:tcPr>
          <w:p w14:paraId="268D8149" w14:textId="4880637B"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3,3%</w:t>
            </w:r>
          </w:p>
        </w:tc>
        <w:tc>
          <w:tcPr>
            <w:tcW w:w="1701" w:type="dxa"/>
            <w:vAlign w:val="bottom"/>
          </w:tcPr>
          <w:p w14:paraId="1DA5851E" w14:textId="2E015E9E"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8,6%</w:t>
            </w:r>
          </w:p>
        </w:tc>
      </w:tr>
      <w:tr w:rsidR="00BA3A6F" w:rsidRPr="00DF7F21" w14:paraId="52309A18" w14:textId="49FD81E9"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764D813" w14:textId="0D285C1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Palencia</w:t>
            </w:r>
          </w:p>
        </w:tc>
        <w:tc>
          <w:tcPr>
            <w:tcW w:w="2592" w:type="dxa"/>
            <w:vAlign w:val="bottom"/>
          </w:tcPr>
          <w:p w14:paraId="32C233BC" w14:textId="2EBF1CBD"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Palencia capital</w:t>
            </w:r>
          </w:p>
        </w:tc>
        <w:tc>
          <w:tcPr>
            <w:tcW w:w="1418" w:type="dxa"/>
            <w:vAlign w:val="bottom"/>
          </w:tcPr>
          <w:p w14:paraId="5F477D2D" w14:textId="75D02B5E"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1.463 €</w:t>
            </w:r>
          </w:p>
        </w:tc>
        <w:tc>
          <w:tcPr>
            <w:tcW w:w="1843" w:type="dxa"/>
            <w:vAlign w:val="bottom"/>
          </w:tcPr>
          <w:p w14:paraId="549A04EF" w14:textId="30025B83"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3,0%</w:t>
            </w:r>
          </w:p>
        </w:tc>
        <w:tc>
          <w:tcPr>
            <w:tcW w:w="1701" w:type="dxa"/>
            <w:vAlign w:val="bottom"/>
          </w:tcPr>
          <w:p w14:paraId="33BC19A5" w14:textId="1AAEF129"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w:t>
            </w:r>
          </w:p>
        </w:tc>
      </w:tr>
      <w:tr w:rsidR="00BA3A6F" w:rsidRPr="00DF7F21" w14:paraId="0FBDC574" w14:textId="12E71791"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D946BAD" w14:textId="449560D6"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Alicante</w:t>
            </w:r>
          </w:p>
        </w:tc>
        <w:tc>
          <w:tcPr>
            <w:tcW w:w="2592" w:type="dxa"/>
            <w:vAlign w:val="bottom"/>
          </w:tcPr>
          <w:p w14:paraId="31F3A756" w14:textId="6792D862"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Alicante / Alacant</w:t>
            </w:r>
          </w:p>
        </w:tc>
        <w:tc>
          <w:tcPr>
            <w:tcW w:w="1418" w:type="dxa"/>
            <w:vAlign w:val="bottom"/>
          </w:tcPr>
          <w:p w14:paraId="6B675FC3" w14:textId="3FCD5F34"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2.096 €</w:t>
            </w:r>
          </w:p>
        </w:tc>
        <w:tc>
          <w:tcPr>
            <w:tcW w:w="1843" w:type="dxa"/>
            <w:vAlign w:val="bottom"/>
          </w:tcPr>
          <w:p w14:paraId="77D1ADA7" w14:textId="7887A31E"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3,0%</w:t>
            </w:r>
          </w:p>
        </w:tc>
        <w:tc>
          <w:tcPr>
            <w:tcW w:w="1701" w:type="dxa"/>
            <w:vAlign w:val="bottom"/>
          </w:tcPr>
          <w:p w14:paraId="41FFDC93" w14:textId="695B94F3"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15,9%</w:t>
            </w:r>
          </w:p>
        </w:tc>
      </w:tr>
      <w:tr w:rsidR="00BA3A6F" w:rsidRPr="00DF7F21" w14:paraId="7832B370" w14:textId="2EB3B615"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4CA2A4" w14:textId="721AB0F9"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Málaga</w:t>
            </w:r>
          </w:p>
        </w:tc>
        <w:tc>
          <w:tcPr>
            <w:tcW w:w="2592" w:type="dxa"/>
            <w:vAlign w:val="bottom"/>
          </w:tcPr>
          <w:p w14:paraId="5D0873EC" w14:textId="0E28F10B"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Málaga capital</w:t>
            </w:r>
          </w:p>
        </w:tc>
        <w:tc>
          <w:tcPr>
            <w:tcW w:w="1418" w:type="dxa"/>
            <w:vAlign w:val="bottom"/>
          </w:tcPr>
          <w:p w14:paraId="285418CD" w14:textId="17DC3FB5"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3.050 €</w:t>
            </w:r>
          </w:p>
        </w:tc>
        <w:tc>
          <w:tcPr>
            <w:tcW w:w="1843" w:type="dxa"/>
            <w:vAlign w:val="bottom"/>
          </w:tcPr>
          <w:p w14:paraId="3D4831D0" w14:textId="2FA7299B"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2,8%</w:t>
            </w:r>
          </w:p>
        </w:tc>
        <w:tc>
          <w:tcPr>
            <w:tcW w:w="1701" w:type="dxa"/>
            <w:vAlign w:val="bottom"/>
          </w:tcPr>
          <w:p w14:paraId="15ABBB07" w14:textId="3CE375E4"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18,0%</w:t>
            </w:r>
          </w:p>
        </w:tc>
      </w:tr>
      <w:tr w:rsidR="00BA3A6F" w:rsidRPr="00DF7F21" w14:paraId="64FC505D" w14:textId="72461601"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C1ABCDC" w14:textId="37EB1E23"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Jaén</w:t>
            </w:r>
          </w:p>
        </w:tc>
        <w:tc>
          <w:tcPr>
            <w:tcW w:w="2592" w:type="dxa"/>
            <w:vAlign w:val="bottom"/>
          </w:tcPr>
          <w:p w14:paraId="38CC106D" w14:textId="7F86B96F"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Jaén capital</w:t>
            </w:r>
          </w:p>
        </w:tc>
        <w:tc>
          <w:tcPr>
            <w:tcW w:w="1418" w:type="dxa"/>
            <w:vAlign w:val="bottom"/>
          </w:tcPr>
          <w:p w14:paraId="079EEA89" w14:textId="3A389CA1"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1.311 €</w:t>
            </w:r>
          </w:p>
        </w:tc>
        <w:tc>
          <w:tcPr>
            <w:tcW w:w="1843" w:type="dxa"/>
            <w:vAlign w:val="bottom"/>
          </w:tcPr>
          <w:p w14:paraId="76984170" w14:textId="4202BF63"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2,5%</w:t>
            </w:r>
          </w:p>
        </w:tc>
        <w:tc>
          <w:tcPr>
            <w:tcW w:w="1701" w:type="dxa"/>
            <w:vAlign w:val="bottom"/>
          </w:tcPr>
          <w:p w14:paraId="4A136451" w14:textId="6E5643E0"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w:t>
            </w:r>
          </w:p>
        </w:tc>
      </w:tr>
      <w:tr w:rsidR="00BA3A6F" w:rsidRPr="00DF7F21" w14:paraId="2DDC15FB" w14:textId="42852F6D"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EA3F0ED" w14:textId="7A303DA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Ávila</w:t>
            </w:r>
          </w:p>
        </w:tc>
        <w:tc>
          <w:tcPr>
            <w:tcW w:w="2592" w:type="dxa"/>
            <w:vAlign w:val="bottom"/>
          </w:tcPr>
          <w:p w14:paraId="325E9894" w14:textId="20885CFC"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Ávila capital</w:t>
            </w:r>
          </w:p>
        </w:tc>
        <w:tc>
          <w:tcPr>
            <w:tcW w:w="1418" w:type="dxa"/>
            <w:vAlign w:val="bottom"/>
          </w:tcPr>
          <w:p w14:paraId="72102F7E" w14:textId="5BEC230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1.341 €</w:t>
            </w:r>
          </w:p>
        </w:tc>
        <w:tc>
          <w:tcPr>
            <w:tcW w:w="1843" w:type="dxa"/>
            <w:vAlign w:val="bottom"/>
          </w:tcPr>
          <w:p w14:paraId="71FAEAC8" w14:textId="6F0EFC4E"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2,5%</w:t>
            </w:r>
          </w:p>
        </w:tc>
        <w:tc>
          <w:tcPr>
            <w:tcW w:w="1701" w:type="dxa"/>
            <w:vAlign w:val="bottom"/>
          </w:tcPr>
          <w:p w14:paraId="420DFE28" w14:textId="6162EA6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9,3%</w:t>
            </w:r>
          </w:p>
        </w:tc>
      </w:tr>
      <w:tr w:rsidR="00BA3A6F" w:rsidRPr="00DF7F21" w14:paraId="24926E6E" w14:textId="66D74CCD"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4402AA" w14:textId="57C3AF6D"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Murcia</w:t>
            </w:r>
          </w:p>
        </w:tc>
        <w:tc>
          <w:tcPr>
            <w:tcW w:w="2592" w:type="dxa"/>
            <w:vAlign w:val="bottom"/>
          </w:tcPr>
          <w:p w14:paraId="1F2734B6" w14:textId="3ADF7BFD"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Murcia capital</w:t>
            </w:r>
          </w:p>
        </w:tc>
        <w:tc>
          <w:tcPr>
            <w:tcW w:w="1418" w:type="dxa"/>
            <w:vAlign w:val="bottom"/>
          </w:tcPr>
          <w:p w14:paraId="3E1DF4D2" w14:textId="3BCD7940"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1.478 €</w:t>
            </w:r>
          </w:p>
        </w:tc>
        <w:tc>
          <w:tcPr>
            <w:tcW w:w="1843" w:type="dxa"/>
            <w:vAlign w:val="bottom"/>
          </w:tcPr>
          <w:p w14:paraId="1E45F9CD" w14:textId="563A823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2,2%</w:t>
            </w:r>
          </w:p>
        </w:tc>
        <w:tc>
          <w:tcPr>
            <w:tcW w:w="1701" w:type="dxa"/>
            <w:vAlign w:val="bottom"/>
          </w:tcPr>
          <w:p w14:paraId="7D8CFB52" w14:textId="7221F0E5"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7,9%</w:t>
            </w:r>
          </w:p>
        </w:tc>
      </w:tr>
      <w:tr w:rsidR="00BA3A6F" w:rsidRPr="00DF7F21" w14:paraId="4AC3E916" w14:textId="596BD177"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0A32C55" w14:textId="03B30BD4"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Tarragona</w:t>
            </w:r>
          </w:p>
        </w:tc>
        <w:tc>
          <w:tcPr>
            <w:tcW w:w="2592" w:type="dxa"/>
            <w:vAlign w:val="bottom"/>
          </w:tcPr>
          <w:p w14:paraId="2EE87F76" w14:textId="6011CB36"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Tarragona capital</w:t>
            </w:r>
          </w:p>
        </w:tc>
        <w:tc>
          <w:tcPr>
            <w:tcW w:w="1418" w:type="dxa"/>
            <w:vAlign w:val="bottom"/>
          </w:tcPr>
          <w:p w14:paraId="286EAFC1" w14:textId="34EB4EED"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1.661 €</w:t>
            </w:r>
          </w:p>
        </w:tc>
        <w:tc>
          <w:tcPr>
            <w:tcW w:w="1843" w:type="dxa"/>
            <w:vAlign w:val="bottom"/>
          </w:tcPr>
          <w:p w14:paraId="39594971" w14:textId="2AC5403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2,2%</w:t>
            </w:r>
          </w:p>
        </w:tc>
        <w:tc>
          <w:tcPr>
            <w:tcW w:w="1701" w:type="dxa"/>
            <w:vAlign w:val="bottom"/>
          </w:tcPr>
          <w:p w14:paraId="31635516" w14:textId="15B2EB74"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4,2%</w:t>
            </w:r>
          </w:p>
        </w:tc>
      </w:tr>
      <w:tr w:rsidR="00BA3A6F" w:rsidRPr="00DF7F21" w14:paraId="29BA71E3" w14:textId="410C313F"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8D1BE64" w14:textId="1514D62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Huelva</w:t>
            </w:r>
          </w:p>
        </w:tc>
        <w:tc>
          <w:tcPr>
            <w:tcW w:w="2592" w:type="dxa"/>
            <w:vAlign w:val="bottom"/>
          </w:tcPr>
          <w:p w14:paraId="0181F486" w14:textId="3010A551"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Huelva capital</w:t>
            </w:r>
          </w:p>
        </w:tc>
        <w:tc>
          <w:tcPr>
            <w:tcW w:w="1418" w:type="dxa"/>
            <w:vAlign w:val="bottom"/>
          </w:tcPr>
          <w:p w14:paraId="718E6542" w14:textId="1D82B6EB"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1.363 €</w:t>
            </w:r>
          </w:p>
        </w:tc>
        <w:tc>
          <w:tcPr>
            <w:tcW w:w="1843" w:type="dxa"/>
            <w:vAlign w:val="bottom"/>
          </w:tcPr>
          <w:p w14:paraId="7ECF9819" w14:textId="56D5049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2,2%</w:t>
            </w:r>
          </w:p>
        </w:tc>
        <w:tc>
          <w:tcPr>
            <w:tcW w:w="1701" w:type="dxa"/>
            <w:vAlign w:val="bottom"/>
          </w:tcPr>
          <w:p w14:paraId="7D0AFDE0" w14:textId="06273E44"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10,1%</w:t>
            </w:r>
          </w:p>
        </w:tc>
      </w:tr>
      <w:tr w:rsidR="00BA3A6F" w:rsidRPr="00DF7F21" w14:paraId="6B1D1217" w14:textId="621CD654"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0AFE083" w14:textId="472EBFD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Asturias</w:t>
            </w:r>
          </w:p>
        </w:tc>
        <w:tc>
          <w:tcPr>
            <w:tcW w:w="2592" w:type="dxa"/>
            <w:vAlign w:val="bottom"/>
          </w:tcPr>
          <w:p w14:paraId="2644F3A2" w14:textId="74A17515"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Oviedo</w:t>
            </w:r>
          </w:p>
        </w:tc>
        <w:tc>
          <w:tcPr>
            <w:tcW w:w="1418" w:type="dxa"/>
            <w:vAlign w:val="bottom"/>
          </w:tcPr>
          <w:p w14:paraId="3E435303" w14:textId="10C8A20E"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1.800 €</w:t>
            </w:r>
          </w:p>
        </w:tc>
        <w:tc>
          <w:tcPr>
            <w:tcW w:w="1843" w:type="dxa"/>
            <w:vAlign w:val="bottom"/>
          </w:tcPr>
          <w:p w14:paraId="37D466AB" w14:textId="539892C6"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2,0%</w:t>
            </w:r>
          </w:p>
        </w:tc>
        <w:tc>
          <w:tcPr>
            <w:tcW w:w="1701" w:type="dxa"/>
            <w:vAlign w:val="bottom"/>
          </w:tcPr>
          <w:p w14:paraId="6A737A05" w14:textId="008A2C3D"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w:t>
            </w:r>
          </w:p>
        </w:tc>
      </w:tr>
      <w:tr w:rsidR="00BA3A6F" w:rsidRPr="00DF7F21" w14:paraId="1A9C7243" w14:textId="38B6926B"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54BFB5C" w14:textId="648EC3A4"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Cádiz</w:t>
            </w:r>
          </w:p>
        </w:tc>
        <w:tc>
          <w:tcPr>
            <w:tcW w:w="2592" w:type="dxa"/>
            <w:vAlign w:val="bottom"/>
          </w:tcPr>
          <w:p w14:paraId="5EF6CDC3" w14:textId="60B76316"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Cádiz capital</w:t>
            </w:r>
          </w:p>
        </w:tc>
        <w:tc>
          <w:tcPr>
            <w:tcW w:w="1418" w:type="dxa"/>
            <w:vAlign w:val="bottom"/>
          </w:tcPr>
          <w:p w14:paraId="3D40ADC6" w14:textId="4EF6DC72"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2.857 €</w:t>
            </w:r>
          </w:p>
        </w:tc>
        <w:tc>
          <w:tcPr>
            <w:tcW w:w="1843" w:type="dxa"/>
            <w:vAlign w:val="bottom"/>
          </w:tcPr>
          <w:p w14:paraId="75574909" w14:textId="47C728E4"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1,9%</w:t>
            </w:r>
          </w:p>
        </w:tc>
        <w:tc>
          <w:tcPr>
            <w:tcW w:w="1701" w:type="dxa"/>
            <w:vAlign w:val="bottom"/>
          </w:tcPr>
          <w:p w14:paraId="3099E2BE" w14:textId="322968C0"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w:t>
            </w:r>
          </w:p>
        </w:tc>
      </w:tr>
      <w:tr w:rsidR="00BA3A6F" w:rsidRPr="00DF7F21" w14:paraId="29809527" w14:textId="7C24217F"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D822A4" w14:textId="0BC06DD3"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León</w:t>
            </w:r>
          </w:p>
        </w:tc>
        <w:tc>
          <w:tcPr>
            <w:tcW w:w="2592" w:type="dxa"/>
            <w:vAlign w:val="bottom"/>
          </w:tcPr>
          <w:p w14:paraId="44B5F785" w14:textId="2AAFB0A1"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León capital</w:t>
            </w:r>
          </w:p>
        </w:tc>
        <w:tc>
          <w:tcPr>
            <w:tcW w:w="1418" w:type="dxa"/>
            <w:vAlign w:val="bottom"/>
          </w:tcPr>
          <w:p w14:paraId="13E59298" w14:textId="4D330151"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1.552 €</w:t>
            </w:r>
          </w:p>
        </w:tc>
        <w:tc>
          <w:tcPr>
            <w:tcW w:w="1843" w:type="dxa"/>
            <w:vAlign w:val="bottom"/>
          </w:tcPr>
          <w:p w14:paraId="69358C8F" w14:textId="4914D48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1,9%</w:t>
            </w:r>
          </w:p>
        </w:tc>
        <w:tc>
          <w:tcPr>
            <w:tcW w:w="1701" w:type="dxa"/>
            <w:vAlign w:val="bottom"/>
          </w:tcPr>
          <w:p w14:paraId="465E44C2" w14:textId="586C24A3"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w:t>
            </w:r>
          </w:p>
        </w:tc>
      </w:tr>
      <w:tr w:rsidR="00BA3A6F" w:rsidRPr="00DF7F21" w14:paraId="6EA5A924" w14:textId="770FD5BC"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4E6C85E" w14:textId="7B2F851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Ciudad Real</w:t>
            </w:r>
          </w:p>
        </w:tc>
        <w:tc>
          <w:tcPr>
            <w:tcW w:w="2592" w:type="dxa"/>
            <w:vAlign w:val="bottom"/>
          </w:tcPr>
          <w:p w14:paraId="64A197C3" w14:textId="5FF14523"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Ciudad Real capital</w:t>
            </w:r>
          </w:p>
        </w:tc>
        <w:tc>
          <w:tcPr>
            <w:tcW w:w="1418" w:type="dxa"/>
            <w:vAlign w:val="bottom"/>
          </w:tcPr>
          <w:p w14:paraId="2647F6F9" w14:textId="2C1A3908"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1.310 €</w:t>
            </w:r>
          </w:p>
        </w:tc>
        <w:tc>
          <w:tcPr>
            <w:tcW w:w="1843" w:type="dxa"/>
            <w:vAlign w:val="bottom"/>
          </w:tcPr>
          <w:p w14:paraId="31DA6DD9" w14:textId="5243F95C"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1,8%</w:t>
            </w:r>
          </w:p>
        </w:tc>
        <w:tc>
          <w:tcPr>
            <w:tcW w:w="1701" w:type="dxa"/>
            <w:vAlign w:val="bottom"/>
          </w:tcPr>
          <w:p w14:paraId="23B4EAEF" w14:textId="7928E5F8"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w:t>
            </w:r>
          </w:p>
        </w:tc>
      </w:tr>
      <w:tr w:rsidR="00BA3A6F" w:rsidRPr="00DF7F21" w14:paraId="0CFB68BE" w14:textId="29AE7775"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456AD82" w14:textId="14DDA220"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lastRenderedPageBreak/>
              <w:t>Navarra</w:t>
            </w:r>
          </w:p>
        </w:tc>
        <w:tc>
          <w:tcPr>
            <w:tcW w:w="2592" w:type="dxa"/>
            <w:vAlign w:val="bottom"/>
          </w:tcPr>
          <w:p w14:paraId="6C4B2F90" w14:textId="6A1AA9A8"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A3A6F">
              <w:rPr>
                <w:rFonts w:ascii="Open Sans" w:hAnsi="Open Sans" w:cs="Open Sans"/>
                <w:sz w:val="22"/>
                <w:szCs w:val="22"/>
              </w:rPr>
              <w:t>Pamplona / Iruña</w:t>
            </w:r>
          </w:p>
        </w:tc>
        <w:tc>
          <w:tcPr>
            <w:tcW w:w="1418" w:type="dxa"/>
            <w:vAlign w:val="bottom"/>
          </w:tcPr>
          <w:p w14:paraId="1B6C9144" w14:textId="07E2D7A2"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3.023 €</w:t>
            </w:r>
          </w:p>
        </w:tc>
        <w:tc>
          <w:tcPr>
            <w:tcW w:w="1843" w:type="dxa"/>
            <w:vAlign w:val="bottom"/>
          </w:tcPr>
          <w:p w14:paraId="2F0D8B30" w14:textId="3BE3139E"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BA3A6F">
              <w:rPr>
                <w:rFonts w:ascii="Open Sans" w:hAnsi="Open Sans" w:cs="Open Sans"/>
                <w:b/>
                <w:sz w:val="22"/>
                <w:szCs w:val="22"/>
              </w:rPr>
              <w:t>1,7%</w:t>
            </w:r>
          </w:p>
        </w:tc>
        <w:tc>
          <w:tcPr>
            <w:tcW w:w="1701" w:type="dxa"/>
            <w:vAlign w:val="bottom"/>
          </w:tcPr>
          <w:p w14:paraId="35A16DBB" w14:textId="384627E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w:t>
            </w:r>
          </w:p>
        </w:tc>
      </w:tr>
      <w:tr w:rsidR="00BA3A6F" w:rsidRPr="00DF7F21" w14:paraId="78B0621A" w14:textId="44F6D3A3"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D33269B" w14:textId="37083CF6"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Albacete</w:t>
            </w:r>
          </w:p>
        </w:tc>
        <w:tc>
          <w:tcPr>
            <w:tcW w:w="2592" w:type="dxa"/>
            <w:vAlign w:val="bottom"/>
          </w:tcPr>
          <w:p w14:paraId="0E5CDD5B" w14:textId="6A6D814C"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Albacete capital</w:t>
            </w:r>
          </w:p>
        </w:tc>
        <w:tc>
          <w:tcPr>
            <w:tcW w:w="1418" w:type="dxa"/>
            <w:vAlign w:val="bottom"/>
          </w:tcPr>
          <w:p w14:paraId="1BA4A5C2" w14:textId="071E0D54"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1.563 €</w:t>
            </w:r>
          </w:p>
        </w:tc>
        <w:tc>
          <w:tcPr>
            <w:tcW w:w="1843" w:type="dxa"/>
            <w:vAlign w:val="bottom"/>
          </w:tcPr>
          <w:p w14:paraId="1677B1B6" w14:textId="12E4F8A7"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1,6%</w:t>
            </w:r>
          </w:p>
        </w:tc>
        <w:tc>
          <w:tcPr>
            <w:tcW w:w="1701" w:type="dxa"/>
            <w:vAlign w:val="bottom"/>
          </w:tcPr>
          <w:p w14:paraId="08E9495E" w14:textId="7D04C74C"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w:t>
            </w:r>
          </w:p>
        </w:tc>
      </w:tr>
      <w:tr w:rsidR="00BA3A6F" w:rsidRPr="00DF7F21" w14:paraId="1C618CC5" w14:textId="4CF2BE0B"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B0802D" w14:textId="33D55814"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Burgos</w:t>
            </w:r>
          </w:p>
        </w:tc>
        <w:tc>
          <w:tcPr>
            <w:tcW w:w="2592" w:type="dxa"/>
            <w:vAlign w:val="bottom"/>
          </w:tcPr>
          <w:p w14:paraId="0B31F43A" w14:textId="25BC7368"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Burgos capital</w:t>
            </w:r>
          </w:p>
        </w:tc>
        <w:tc>
          <w:tcPr>
            <w:tcW w:w="1418" w:type="dxa"/>
            <w:vAlign w:val="bottom"/>
          </w:tcPr>
          <w:p w14:paraId="1672F930" w14:textId="2FDC3FC1"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1.799 €</w:t>
            </w:r>
          </w:p>
        </w:tc>
        <w:tc>
          <w:tcPr>
            <w:tcW w:w="1843" w:type="dxa"/>
            <w:vAlign w:val="bottom"/>
          </w:tcPr>
          <w:p w14:paraId="53CE6F0B" w14:textId="58896222"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1,3%</w:t>
            </w:r>
          </w:p>
        </w:tc>
        <w:tc>
          <w:tcPr>
            <w:tcW w:w="1701" w:type="dxa"/>
            <w:vAlign w:val="bottom"/>
          </w:tcPr>
          <w:p w14:paraId="3186D336" w14:textId="2AEAD7E5"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w:t>
            </w:r>
          </w:p>
        </w:tc>
      </w:tr>
      <w:tr w:rsidR="00BA3A6F" w:rsidRPr="00DF7F21" w14:paraId="2F15AFCA" w14:textId="779E6621"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5622659" w14:textId="385DCB23"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Zaragoza</w:t>
            </w:r>
          </w:p>
        </w:tc>
        <w:tc>
          <w:tcPr>
            <w:tcW w:w="2592" w:type="dxa"/>
            <w:vAlign w:val="bottom"/>
          </w:tcPr>
          <w:p w14:paraId="01661ACC" w14:textId="15975676"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Zaragoza capital</w:t>
            </w:r>
          </w:p>
        </w:tc>
        <w:tc>
          <w:tcPr>
            <w:tcW w:w="1418" w:type="dxa"/>
            <w:vAlign w:val="bottom"/>
          </w:tcPr>
          <w:p w14:paraId="451EBE41" w14:textId="599406C3"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1.960 €</w:t>
            </w:r>
          </w:p>
        </w:tc>
        <w:tc>
          <w:tcPr>
            <w:tcW w:w="1843" w:type="dxa"/>
            <w:vAlign w:val="bottom"/>
          </w:tcPr>
          <w:p w14:paraId="47759BA8" w14:textId="0A1F2B8C"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1,2%</w:t>
            </w:r>
          </w:p>
        </w:tc>
        <w:tc>
          <w:tcPr>
            <w:tcW w:w="1701" w:type="dxa"/>
            <w:vAlign w:val="bottom"/>
          </w:tcPr>
          <w:p w14:paraId="05E14B62" w14:textId="022AB95B"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w:t>
            </w:r>
          </w:p>
        </w:tc>
      </w:tr>
      <w:tr w:rsidR="00BA3A6F" w:rsidRPr="00DF7F21" w14:paraId="671FE25A" w14:textId="0F7F1D01"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E05B345" w14:textId="4EEF196D"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Madrid</w:t>
            </w:r>
          </w:p>
        </w:tc>
        <w:tc>
          <w:tcPr>
            <w:tcW w:w="2592" w:type="dxa"/>
            <w:vAlign w:val="bottom"/>
          </w:tcPr>
          <w:p w14:paraId="6BBB4491" w14:textId="73314835"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Madrid capital</w:t>
            </w:r>
          </w:p>
        </w:tc>
        <w:tc>
          <w:tcPr>
            <w:tcW w:w="1418" w:type="dxa"/>
            <w:vAlign w:val="bottom"/>
          </w:tcPr>
          <w:p w14:paraId="0A425B1A" w14:textId="53543BC2"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4.348 €</w:t>
            </w:r>
          </w:p>
        </w:tc>
        <w:tc>
          <w:tcPr>
            <w:tcW w:w="1843" w:type="dxa"/>
            <w:vAlign w:val="bottom"/>
          </w:tcPr>
          <w:p w14:paraId="2EADA1A1" w14:textId="2DF6BC0B"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1,1%</w:t>
            </w:r>
          </w:p>
        </w:tc>
        <w:tc>
          <w:tcPr>
            <w:tcW w:w="1701" w:type="dxa"/>
            <w:vAlign w:val="bottom"/>
          </w:tcPr>
          <w:p w14:paraId="561E6545" w14:textId="19A2A47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5,0%</w:t>
            </w:r>
          </w:p>
        </w:tc>
      </w:tr>
      <w:tr w:rsidR="00BA3A6F" w:rsidRPr="00DF7F21" w14:paraId="4738E50B" w14:textId="7E7835F0"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D3B922D" w14:textId="15517D9B"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Segovia</w:t>
            </w:r>
          </w:p>
        </w:tc>
        <w:tc>
          <w:tcPr>
            <w:tcW w:w="2592" w:type="dxa"/>
            <w:vAlign w:val="bottom"/>
          </w:tcPr>
          <w:p w14:paraId="0163AF61" w14:textId="78D7AA17"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Segovia capital</w:t>
            </w:r>
          </w:p>
        </w:tc>
        <w:tc>
          <w:tcPr>
            <w:tcW w:w="1418" w:type="dxa"/>
            <w:vAlign w:val="bottom"/>
          </w:tcPr>
          <w:p w14:paraId="684BC659" w14:textId="53100F7A"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1.759 €</w:t>
            </w:r>
          </w:p>
        </w:tc>
        <w:tc>
          <w:tcPr>
            <w:tcW w:w="1843" w:type="dxa"/>
            <w:vAlign w:val="bottom"/>
          </w:tcPr>
          <w:p w14:paraId="3E052152" w14:textId="6B2A440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1,1%</w:t>
            </w:r>
          </w:p>
        </w:tc>
        <w:tc>
          <w:tcPr>
            <w:tcW w:w="1701" w:type="dxa"/>
            <w:vAlign w:val="bottom"/>
          </w:tcPr>
          <w:p w14:paraId="65DC15B0" w14:textId="0F31A715"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w:t>
            </w:r>
          </w:p>
        </w:tc>
      </w:tr>
      <w:tr w:rsidR="00BA3A6F" w:rsidRPr="00DF7F21" w14:paraId="74388B3E" w14:textId="5429A77F"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CB7A43F" w14:textId="4E827EDB"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Ourense</w:t>
            </w:r>
          </w:p>
        </w:tc>
        <w:tc>
          <w:tcPr>
            <w:tcW w:w="2592" w:type="dxa"/>
            <w:vAlign w:val="bottom"/>
          </w:tcPr>
          <w:p w14:paraId="5C24E924" w14:textId="3E0099B4"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Ourense capital</w:t>
            </w:r>
          </w:p>
        </w:tc>
        <w:tc>
          <w:tcPr>
            <w:tcW w:w="1418" w:type="dxa"/>
            <w:vAlign w:val="bottom"/>
          </w:tcPr>
          <w:p w14:paraId="0F10E56B" w14:textId="5AA6BA5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1.555 €</w:t>
            </w:r>
          </w:p>
        </w:tc>
        <w:tc>
          <w:tcPr>
            <w:tcW w:w="1843" w:type="dxa"/>
            <w:vAlign w:val="bottom"/>
          </w:tcPr>
          <w:p w14:paraId="163DFD76" w14:textId="20420679"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1,1%</w:t>
            </w:r>
          </w:p>
        </w:tc>
        <w:tc>
          <w:tcPr>
            <w:tcW w:w="1701" w:type="dxa"/>
            <w:vAlign w:val="bottom"/>
          </w:tcPr>
          <w:p w14:paraId="63314532" w14:textId="164A5E74"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0,3%</w:t>
            </w:r>
          </w:p>
        </w:tc>
      </w:tr>
      <w:tr w:rsidR="00BA3A6F" w:rsidRPr="00DF7F21" w14:paraId="4F63CB14" w14:textId="1E15510A"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842C1EF" w14:textId="27D97648"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Barcelona</w:t>
            </w:r>
          </w:p>
        </w:tc>
        <w:tc>
          <w:tcPr>
            <w:tcW w:w="2592" w:type="dxa"/>
            <w:vAlign w:val="bottom"/>
          </w:tcPr>
          <w:p w14:paraId="7416C3C4" w14:textId="50BAD4A4"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Barcelona capital</w:t>
            </w:r>
          </w:p>
        </w:tc>
        <w:tc>
          <w:tcPr>
            <w:tcW w:w="1418" w:type="dxa"/>
            <w:vAlign w:val="bottom"/>
          </w:tcPr>
          <w:p w14:paraId="28611D28" w14:textId="53C7FB3A"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4.462 €</w:t>
            </w:r>
          </w:p>
        </w:tc>
        <w:tc>
          <w:tcPr>
            <w:tcW w:w="1843" w:type="dxa"/>
            <w:vAlign w:val="bottom"/>
          </w:tcPr>
          <w:p w14:paraId="30A85130" w14:textId="362900B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0,8%</w:t>
            </w:r>
          </w:p>
        </w:tc>
        <w:tc>
          <w:tcPr>
            <w:tcW w:w="1701" w:type="dxa"/>
            <w:vAlign w:val="bottom"/>
          </w:tcPr>
          <w:p w14:paraId="443F671E" w14:textId="1B5B3C0E"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w:t>
            </w:r>
          </w:p>
        </w:tc>
      </w:tr>
      <w:tr w:rsidR="00BA3A6F" w:rsidRPr="00DF7F21" w14:paraId="66BD44D6" w14:textId="57ADE8D0"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272AEA9" w14:textId="04D8535F"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Córdoba</w:t>
            </w:r>
          </w:p>
        </w:tc>
        <w:tc>
          <w:tcPr>
            <w:tcW w:w="2592" w:type="dxa"/>
            <w:vAlign w:val="bottom"/>
          </w:tcPr>
          <w:p w14:paraId="44A34E8E" w14:textId="64E8EA52"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Córdoba capital</w:t>
            </w:r>
          </w:p>
        </w:tc>
        <w:tc>
          <w:tcPr>
            <w:tcW w:w="1418" w:type="dxa"/>
            <w:vAlign w:val="bottom"/>
          </w:tcPr>
          <w:p w14:paraId="48096A2A" w14:textId="552B38D1"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1.605 €</w:t>
            </w:r>
          </w:p>
        </w:tc>
        <w:tc>
          <w:tcPr>
            <w:tcW w:w="1843" w:type="dxa"/>
            <w:vAlign w:val="bottom"/>
          </w:tcPr>
          <w:p w14:paraId="2C3A9929" w14:textId="6982AF2B"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0,8%</w:t>
            </w:r>
          </w:p>
        </w:tc>
        <w:tc>
          <w:tcPr>
            <w:tcW w:w="1701" w:type="dxa"/>
            <w:vAlign w:val="bottom"/>
          </w:tcPr>
          <w:p w14:paraId="5F1293CF" w14:textId="331C7A83"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3,6%</w:t>
            </w:r>
          </w:p>
        </w:tc>
      </w:tr>
      <w:tr w:rsidR="00BA3A6F" w:rsidRPr="00DF7F21" w14:paraId="271CFCE7" w14:textId="59C1B686"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606C161" w14:textId="75E64E77"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La Rioja</w:t>
            </w:r>
          </w:p>
        </w:tc>
        <w:tc>
          <w:tcPr>
            <w:tcW w:w="2592" w:type="dxa"/>
            <w:vAlign w:val="bottom"/>
          </w:tcPr>
          <w:p w14:paraId="4C354E79" w14:textId="5332E043"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Logroño</w:t>
            </w:r>
          </w:p>
        </w:tc>
        <w:tc>
          <w:tcPr>
            <w:tcW w:w="1418" w:type="dxa"/>
            <w:vAlign w:val="bottom"/>
          </w:tcPr>
          <w:p w14:paraId="3410668D" w14:textId="1920B965"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1.897 €</w:t>
            </w:r>
          </w:p>
        </w:tc>
        <w:tc>
          <w:tcPr>
            <w:tcW w:w="1843" w:type="dxa"/>
            <w:vAlign w:val="bottom"/>
          </w:tcPr>
          <w:p w14:paraId="743B0CF5" w14:textId="0DF0DE8D"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0,7%</w:t>
            </w:r>
          </w:p>
        </w:tc>
        <w:tc>
          <w:tcPr>
            <w:tcW w:w="1701" w:type="dxa"/>
            <w:vAlign w:val="bottom"/>
          </w:tcPr>
          <w:p w14:paraId="186CF5C3" w14:textId="6258A8E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w:t>
            </w:r>
          </w:p>
        </w:tc>
      </w:tr>
      <w:tr w:rsidR="00BA3A6F" w:rsidRPr="00DF7F21" w14:paraId="5669256E" w14:textId="22735E60"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E1EF333" w14:textId="5B4941F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Cáceres</w:t>
            </w:r>
          </w:p>
        </w:tc>
        <w:tc>
          <w:tcPr>
            <w:tcW w:w="2592" w:type="dxa"/>
            <w:vAlign w:val="bottom"/>
          </w:tcPr>
          <w:p w14:paraId="2464B7BB" w14:textId="34D6DDAE"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Cáceres capital</w:t>
            </w:r>
          </w:p>
        </w:tc>
        <w:tc>
          <w:tcPr>
            <w:tcW w:w="1418" w:type="dxa"/>
            <w:vAlign w:val="bottom"/>
          </w:tcPr>
          <w:p w14:paraId="46E9505C" w14:textId="0000C4E2"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1.390 €</w:t>
            </w:r>
          </w:p>
        </w:tc>
        <w:tc>
          <w:tcPr>
            <w:tcW w:w="1843" w:type="dxa"/>
            <w:vAlign w:val="bottom"/>
          </w:tcPr>
          <w:p w14:paraId="7FBCA193" w14:textId="626A771D"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0,4%</w:t>
            </w:r>
          </w:p>
        </w:tc>
        <w:tc>
          <w:tcPr>
            <w:tcW w:w="1701" w:type="dxa"/>
            <w:vAlign w:val="bottom"/>
          </w:tcPr>
          <w:p w14:paraId="028F8189" w14:textId="27697FD7"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5,5%</w:t>
            </w:r>
          </w:p>
        </w:tc>
      </w:tr>
      <w:tr w:rsidR="00BA3A6F" w:rsidRPr="00DF7F21" w14:paraId="5DAAF7DD" w14:textId="566F0080"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ACDE3CD" w14:textId="3E51D88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Granada</w:t>
            </w:r>
          </w:p>
        </w:tc>
        <w:tc>
          <w:tcPr>
            <w:tcW w:w="2592" w:type="dxa"/>
            <w:vAlign w:val="bottom"/>
          </w:tcPr>
          <w:p w14:paraId="67A8FD19" w14:textId="4734DF2E"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Granada capital</w:t>
            </w:r>
          </w:p>
        </w:tc>
        <w:tc>
          <w:tcPr>
            <w:tcW w:w="1418" w:type="dxa"/>
            <w:vAlign w:val="bottom"/>
          </w:tcPr>
          <w:p w14:paraId="590288D0" w14:textId="32AAC763"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2.162 €</w:t>
            </w:r>
          </w:p>
        </w:tc>
        <w:tc>
          <w:tcPr>
            <w:tcW w:w="1843" w:type="dxa"/>
            <w:vAlign w:val="bottom"/>
          </w:tcPr>
          <w:p w14:paraId="51478082" w14:textId="14F36AF7"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0,3%</w:t>
            </w:r>
          </w:p>
        </w:tc>
        <w:tc>
          <w:tcPr>
            <w:tcW w:w="1701" w:type="dxa"/>
            <w:vAlign w:val="bottom"/>
          </w:tcPr>
          <w:p w14:paraId="3F19D91D" w14:textId="1DBF6022"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6,6%</w:t>
            </w:r>
          </w:p>
        </w:tc>
      </w:tr>
      <w:tr w:rsidR="00BA3A6F" w:rsidRPr="00DF7F21" w14:paraId="550E5D15" w14:textId="09F961EA"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2F3BA52" w14:textId="338DDA0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 Coruña</w:t>
            </w:r>
          </w:p>
        </w:tc>
        <w:tc>
          <w:tcPr>
            <w:tcW w:w="2592" w:type="dxa"/>
            <w:vAlign w:val="bottom"/>
          </w:tcPr>
          <w:p w14:paraId="5B3F97E1" w14:textId="69E91D9F"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A Coruña capital</w:t>
            </w:r>
          </w:p>
        </w:tc>
        <w:tc>
          <w:tcPr>
            <w:tcW w:w="1418" w:type="dxa"/>
            <w:vAlign w:val="bottom"/>
          </w:tcPr>
          <w:p w14:paraId="31B28682" w14:textId="65388DE3"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2.610 €</w:t>
            </w:r>
          </w:p>
        </w:tc>
        <w:tc>
          <w:tcPr>
            <w:tcW w:w="1843" w:type="dxa"/>
            <w:vAlign w:val="bottom"/>
          </w:tcPr>
          <w:p w14:paraId="28DEE5B2" w14:textId="7558EDD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0,2%</w:t>
            </w:r>
          </w:p>
        </w:tc>
        <w:tc>
          <w:tcPr>
            <w:tcW w:w="1701" w:type="dxa"/>
            <w:vAlign w:val="bottom"/>
          </w:tcPr>
          <w:p w14:paraId="0A1EA78C" w14:textId="5FD783AE"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7,4%</w:t>
            </w:r>
          </w:p>
        </w:tc>
      </w:tr>
      <w:tr w:rsidR="00BA3A6F" w:rsidRPr="00DF7F21" w14:paraId="1E8B295F" w14:textId="648E319C"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15C373" w14:textId="4F44DBBA"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Almería</w:t>
            </w:r>
          </w:p>
        </w:tc>
        <w:tc>
          <w:tcPr>
            <w:tcW w:w="2592" w:type="dxa"/>
            <w:vAlign w:val="bottom"/>
          </w:tcPr>
          <w:p w14:paraId="14F7DDEF" w14:textId="7E9DB8F9"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Almería capital</w:t>
            </w:r>
          </w:p>
        </w:tc>
        <w:tc>
          <w:tcPr>
            <w:tcW w:w="1418" w:type="dxa"/>
            <w:vAlign w:val="bottom"/>
          </w:tcPr>
          <w:p w14:paraId="0409D46C" w14:textId="5F1C7FC7"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1.537 €</w:t>
            </w:r>
          </w:p>
        </w:tc>
        <w:tc>
          <w:tcPr>
            <w:tcW w:w="1843" w:type="dxa"/>
            <w:vAlign w:val="bottom"/>
          </w:tcPr>
          <w:p w14:paraId="0826E85D" w14:textId="295D50F6"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sz w:val="22"/>
                <w:szCs w:val="22"/>
              </w:rPr>
              <w:t>0,1%</w:t>
            </w:r>
          </w:p>
        </w:tc>
        <w:tc>
          <w:tcPr>
            <w:tcW w:w="1701" w:type="dxa"/>
            <w:vAlign w:val="bottom"/>
          </w:tcPr>
          <w:p w14:paraId="57ACE2F1" w14:textId="6A37DE38"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w:t>
            </w:r>
          </w:p>
        </w:tc>
      </w:tr>
      <w:tr w:rsidR="00BA3A6F" w:rsidRPr="00DF7F21" w14:paraId="386D2C70" w14:textId="5A2BFF68"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BBED19D" w14:textId="172B8ADF"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Cuenca</w:t>
            </w:r>
          </w:p>
        </w:tc>
        <w:tc>
          <w:tcPr>
            <w:tcW w:w="2592" w:type="dxa"/>
            <w:vAlign w:val="bottom"/>
          </w:tcPr>
          <w:p w14:paraId="427C6567" w14:textId="2054625A"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Cuenca capital</w:t>
            </w:r>
          </w:p>
        </w:tc>
        <w:tc>
          <w:tcPr>
            <w:tcW w:w="1418" w:type="dxa"/>
            <w:vAlign w:val="bottom"/>
          </w:tcPr>
          <w:p w14:paraId="394AF370" w14:textId="4B536DF3"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1.504 €</w:t>
            </w:r>
          </w:p>
        </w:tc>
        <w:tc>
          <w:tcPr>
            <w:tcW w:w="1843" w:type="dxa"/>
            <w:vAlign w:val="bottom"/>
          </w:tcPr>
          <w:p w14:paraId="0B69F36C" w14:textId="50C11E9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-0,1%</w:t>
            </w:r>
          </w:p>
        </w:tc>
        <w:tc>
          <w:tcPr>
            <w:tcW w:w="1701" w:type="dxa"/>
            <w:vAlign w:val="bottom"/>
          </w:tcPr>
          <w:p w14:paraId="7AAC20A4" w14:textId="281E63DA"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4,6%</w:t>
            </w:r>
          </w:p>
        </w:tc>
      </w:tr>
      <w:tr w:rsidR="00BA3A6F" w:rsidRPr="00DF7F21" w14:paraId="25642320" w14:textId="3A3EFBB4"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5C64976" w14:textId="23BF06BE"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Salamanca</w:t>
            </w:r>
          </w:p>
        </w:tc>
        <w:tc>
          <w:tcPr>
            <w:tcW w:w="2592" w:type="dxa"/>
            <w:vAlign w:val="bottom"/>
          </w:tcPr>
          <w:p w14:paraId="02FD29F6" w14:textId="2D3C762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Salamanca capital</w:t>
            </w:r>
          </w:p>
        </w:tc>
        <w:tc>
          <w:tcPr>
            <w:tcW w:w="1418" w:type="dxa"/>
            <w:vAlign w:val="bottom"/>
          </w:tcPr>
          <w:p w14:paraId="453F70AC" w14:textId="5A61E112"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2.001 €</w:t>
            </w:r>
          </w:p>
        </w:tc>
        <w:tc>
          <w:tcPr>
            <w:tcW w:w="1843" w:type="dxa"/>
            <w:vAlign w:val="bottom"/>
          </w:tcPr>
          <w:p w14:paraId="2DD25A11" w14:textId="538C10E2"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-0,2%</w:t>
            </w:r>
          </w:p>
        </w:tc>
        <w:tc>
          <w:tcPr>
            <w:tcW w:w="1701" w:type="dxa"/>
            <w:vAlign w:val="bottom"/>
          </w:tcPr>
          <w:p w14:paraId="79D61803" w14:textId="5C388D6B"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w:t>
            </w:r>
          </w:p>
        </w:tc>
      </w:tr>
      <w:tr w:rsidR="00BA3A6F" w:rsidRPr="00DF7F21" w14:paraId="0EFF3150" w14:textId="61BE21CF"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DA45C2B" w14:textId="7AF41DEC"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Toledo</w:t>
            </w:r>
          </w:p>
        </w:tc>
        <w:tc>
          <w:tcPr>
            <w:tcW w:w="2592" w:type="dxa"/>
            <w:vAlign w:val="bottom"/>
          </w:tcPr>
          <w:p w14:paraId="7570936B" w14:textId="0EA1A294"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Toledo capital</w:t>
            </w:r>
          </w:p>
        </w:tc>
        <w:tc>
          <w:tcPr>
            <w:tcW w:w="1418" w:type="dxa"/>
            <w:vAlign w:val="bottom"/>
          </w:tcPr>
          <w:p w14:paraId="7AD459BE" w14:textId="58C1D16D"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1.545 €</w:t>
            </w:r>
          </w:p>
        </w:tc>
        <w:tc>
          <w:tcPr>
            <w:tcW w:w="1843" w:type="dxa"/>
            <w:vAlign w:val="bottom"/>
          </w:tcPr>
          <w:p w14:paraId="3F83C130" w14:textId="52B8B65B"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-0,2%</w:t>
            </w:r>
          </w:p>
        </w:tc>
        <w:tc>
          <w:tcPr>
            <w:tcW w:w="1701" w:type="dxa"/>
            <w:vAlign w:val="bottom"/>
          </w:tcPr>
          <w:p w14:paraId="3C972F52" w14:textId="7FE880B6"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r>
      <w:tr w:rsidR="00BA3A6F" w:rsidRPr="00DF7F21" w14:paraId="109E837C" w14:textId="3DFE80C8"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137957" w14:textId="52BB8CEE"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Bizkaia</w:t>
            </w:r>
          </w:p>
        </w:tc>
        <w:tc>
          <w:tcPr>
            <w:tcW w:w="2592" w:type="dxa"/>
            <w:vAlign w:val="bottom"/>
          </w:tcPr>
          <w:p w14:paraId="5922F00C" w14:textId="12C44F6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Bilbao</w:t>
            </w:r>
          </w:p>
        </w:tc>
        <w:tc>
          <w:tcPr>
            <w:tcW w:w="1418" w:type="dxa"/>
            <w:vAlign w:val="bottom"/>
          </w:tcPr>
          <w:p w14:paraId="2C5FD680" w14:textId="7FF248F1"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3.428 €</w:t>
            </w:r>
          </w:p>
        </w:tc>
        <w:tc>
          <w:tcPr>
            <w:tcW w:w="1843" w:type="dxa"/>
            <w:vAlign w:val="bottom"/>
          </w:tcPr>
          <w:p w14:paraId="73B4B3AE" w14:textId="3F48AB89"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-0,3%</w:t>
            </w:r>
          </w:p>
        </w:tc>
        <w:tc>
          <w:tcPr>
            <w:tcW w:w="1701" w:type="dxa"/>
            <w:vAlign w:val="bottom"/>
          </w:tcPr>
          <w:p w14:paraId="765E097A" w14:textId="5731043F"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0,7%</w:t>
            </w:r>
          </w:p>
        </w:tc>
      </w:tr>
      <w:tr w:rsidR="00BA3A6F" w:rsidRPr="00DF7F21" w14:paraId="36B9D26F" w14:textId="6488F6B0"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C26F0C2" w14:textId="555778D1"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Girona</w:t>
            </w:r>
          </w:p>
        </w:tc>
        <w:tc>
          <w:tcPr>
            <w:tcW w:w="2592" w:type="dxa"/>
            <w:vAlign w:val="bottom"/>
          </w:tcPr>
          <w:p w14:paraId="6CEF0B9B" w14:textId="27B0DAD9"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Girona capital</w:t>
            </w:r>
          </w:p>
        </w:tc>
        <w:tc>
          <w:tcPr>
            <w:tcW w:w="1418" w:type="dxa"/>
            <w:vAlign w:val="bottom"/>
          </w:tcPr>
          <w:p w14:paraId="299D1DF0" w14:textId="537B05CE"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2.583 €</w:t>
            </w:r>
          </w:p>
        </w:tc>
        <w:tc>
          <w:tcPr>
            <w:tcW w:w="1843" w:type="dxa"/>
            <w:vAlign w:val="bottom"/>
          </w:tcPr>
          <w:p w14:paraId="0B9257EF" w14:textId="568D123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-0,3%</w:t>
            </w:r>
          </w:p>
        </w:tc>
        <w:tc>
          <w:tcPr>
            <w:tcW w:w="1701" w:type="dxa"/>
            <w:vAlign w:val="bottom"/>
          </w:tcPr>
          <w:p w14:paraId="084413D7" w14:textId="30747ED2"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w:t>
            </w:r>
          </w:p>
        </w:tc>
      </w:tr>
      <w:tr w:rsidR="00BA3A6F" w:rsidRPr="00DF7F21" w14:paraId="2C51287D" w14:textId="65E4527A"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1CAB010" w14:textId="14CDC5E7"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Lugo</w:t>
            </w:r>
          </w:p>
        </w:tc>
        <w:tc>
          <w:tcPr>
            <w:tcW w:w="2592" w:type="dxa"/>
            <w:vAlign w:val="bottom"/>
          </w:tcPr>
          <w:p w14:paraId="27D11115" w14:textId="40526053"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Lugo capital</w:t>
            </w:r>
          </w:p>
        </w:tc>
        <w:tc>
          <w:tcPr>
            <w:tcW w:w="1418" w:type="dxa"/>
            <w:vAlign w:val="bottom"/>
          </w:tcPr>
          <w:p w14:paraId="1A89201B" w14:textId="145DB875"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1.408 €</w:t>
            </w:r>
          </w:p>
        </w:tc>
        <w:tc>
          <w:tcPr>
            <w:tcW w:w="1843" w:type="dxa"/>
            <w:vAlign w:val="bottom"/>
          </w:tcPr>
          <w:p w14:paraId="19A17E9B" w14:textId="04D77C13"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-0,5%</w:t>
            </w:r>
          </w:p>
        </w:tc>
        <w:tc>
          <w:tcPr>
            <w:tcW w:w="1701" w:type="dxa"/>
            <w:vAlign w:val="bottom"/>
          </w:tcPr>
          <w:p w14:paraId="6382CF22" w14:textId="240C6C85"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w:t>
            </w:r>
          </w:p>
        </w:tc>
      </w:tr>
      <w:tr w:rsidR="00BA3A6F" w:rsidRPr="00DF7F21" w14:paraId="73FD80F9" w14:textId="53762FFB"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08B14C8" w14:textId="245017C2"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Araba - Álava</w:t>
            </w:r>
          </w:p>
        </w:tc>
        <w:tc>
          <w:tcPr>
            <w:tcW w:w="2592" w:type="dxa"/>
            <w:vAlign w:val="bottom"/>
          </w:tcPr>
          <w:p w14:paraId="32A92089" w14:textId="7EF3C333"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Vitoria - Gasteiz</w:t>
            </w:r>
          </w:p>
        </w:tc>
        <w:tc>
          <w:tcPr>
            <w:tcW w:w="1418" w:type="dxa"/>
            <w:vAlign w:val="bottom"/>
          </w:tcPr>
          <w:p w14:paraId="1D52067B" w14:textId="699C6780"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2.810 €</w:t>
            </w:r>
          </w:p>
        </w:tc>
        <w:tc>
          <w:tcPr>
            <w:tcW w:w="1843" w:type="dxa"/>
            <w:vAlign w:val="bottom"/>
          </w:tcPr>
          <w:p w14:paraId="6ECF66EF" w14:textId="5B798354"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-0,6%</w:t>
            </w:r>
          </w:p>
        </w:tc>
        <w:tc>
          <w:tcPr>
            <w:tcW w:w="1701" w:type="dxa"/>
            <w:vAlign w:val="bottom"/>
          </w:tcPr>
          <w:p w14:paraId="25ACDF41" w14:textId="020DDD98"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w:t>
            </w:r>
          </w:p>
        </w:tc>
      </w:tr>
      <w:tr w:rsidR="00BA3A6F" w:rsidRPr="00DF7F21" w14:paraId="510BD7CC" w14:textId="529F3B75"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F49D1C8" w14:textId="20DD636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Castellón</w:t>
            </w:r>
          </w:p>
        </w:tc>
        <w:tc>
          <w:tcPr>
            <w:tcW w:w="2592" w:type="dxa"/>
            <w:vAlign w:val="bottom"/>
          </w:tcPr>
          <w:p w14:paraId="2E01D347" w14:textId="32F79B21"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Castellón de la Plana / Castelló de la Plana</w:t>
            </w:r>
          </w:p>
        </w:tc>
        <w:tc>
          <w:tcPr>
            <w:tcW w:w="1418" w:type="dxa"/>
            <w:vAlign w:val="bottom"/>
          </w:tcPr>
          <w:p w14:paraId="17131AAB" w14:textId="74237E02"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1.307 €</w:t>
            </w:r>
          </w:p>
        </w:tc>
        <w:tc>
          <w:tcPr>
            <w:tcW w:w="1843" w:type="dxa"/>
            <w:vAlign w:val="bottom"/>
          </w:tcPr>
          <w:p w14:paraId="52F2DDB9" w14:textId="007B1001"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-1,4%</w:t>
            </w:r>
          </w:p>
        </w:tc>
        <w:tc>
          <w:tcPr>
            <w:tcW w:w="1701" w:type="dxa"/>
            <w:vAlign w:val="bottom"/>
          </w:tcPr>
          <w:p w14:paraId="4A30E69C" w14:textId="7F613299"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0,8%</w:t>
            </w:r>
          </w:p>
        </w:tc>
      </w:tr>
      <w:tr w:rsidR="00BA3A6F" w:rsidRPr="00DF7F21" w14:paraId="4D7C2C8C" w14:textId="6D7FC964"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E6280E1" w14:textId="0BBCA74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Zamora</w:t>
            </w:r>
          </w:p>
        </w:tc>
        <w:tc>
          <w:tcPr>
            <w:tcW w:w="2592" w:type="dxa"/>
            <w:vAlign w:val="bottom"/>
          </w:tcPr>
          <w:p w14:paraId="33F7146D" w14:textId="7449D3F8"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Zamora capital</w:t>
            </w:r>
          </w:p>
        </w:tc>
        <w:tc>
          <w:tcPr>
            <w:tcW w:w="1418" w:type="dxa"/>
            <w:vAlign w:val="bottom"/>
          </w:tcPr>
          <w:p w14:paraId="28D76786" w14:textId="4AFDCB24"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1.264 €</w:t>
            </w:r>
          </w:p>
        </w:tc>
        <w:tc>
          <w:tcPr>
            <w:tcW w:w="1843" w:type="dxa"/>
            <w:vAlign w:val="bottom"/>
          </w:tcPr>
          <w:p w14:paraId="6AAB55EB" w14:textId="7320FC08"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-1,4%</w:t>
            </w:r>
          </w:p>
        </w:tc>
        <w:tc>
          <w:tcPr>
            <w:tcW w:w="1701" w:type="dxa"/>
            <w:vAlign w:val="bottom"/>
          </w:tcPr>
          <w:p w14:paraId="4A0C1B32" w14:textId="4B47E32A"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w:t>
            </w:r>
          </w:p>
        </w:tc>
      </w:tr>
      <w:tr w:rsidR="00BA3A6F" w:rsidRPr="00DF7F21" w14:paraId="402B12A5" w14:textId="63B84CCA"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FC5D977" w14:textId="28205B65"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Valladolid</w:t>
            </w:r>
          </w:p>
        </w:tc>
        <w:tc>
          <w:tcPr>
            <w:tcW w:w="2592" w:type="dxa"/>
            <w:vAlign w:val="bottom"/>
          </w:tcPr>
          <w:p w14:paraId="54348591" w14:textId="60060EBB"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Valladolid capital</w:t>
            </w:r>
          </w:p>
        </w:tc>
        <w:tc>
          <w:tcPr>
            <w:tcW w:w="1418" w:type="dxa"/>
            <w:vAlign w:val="bottom"/>
          </w:tcPr>
          <w:p w14:paraId="7DF4F59F" w14:textId="5AF7143D"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1.726 €</w:t>
            </w:r>
          </w:p>
        </w:tc>
        <w:tc>
          <w:tcPr>
            <w:tcW w:w="1843" w:type="dxa"/>
            <w:vAlign w:val="bottom"/>
          </w:tcPr>
          <w:p w14:paraId="397FCED2" w14:textId="378F356B"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-1,5%</w:t>
            </w:r>
          </w:p>
        </w:tc>
        <w:tc>
          <w:tcPr>
            <w:tcW w:w="1701" w:type="dxa"/>
            <w:vAlign w:val="bottom"/>
          </w:tcPr>
          <w:p w14:paraId="772E2414" w14:textId="1FD5908C"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w:t>
            </w:r>
          </w:p>
        </w:tc>
      </w:tr>
      <w:tr w:rsidR="00BA3A6F" w:rsidRPr="00DF7F21" w14:paraId="634D2D57" w14:textId="7254126B" w:rsidTr="00F7080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F7715B0" w14:textId="5B56A607"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Sevilla</w:t>
            </w:r>
          </w:p>
        </w:tc>
        <w:tc>
          <w:tcPr>
            <w:tcW w:w="2592" w:type="dxa"/>
            <w:vAlign w:val="bottom"/>
          </w:tcPr>
          <w:p w14:paraId="2687E14C" w14:textId="0C353EFF" w:rsidR="00BA3A6F" w:rsidRPr="00BA3A6F" w:rsidRDefault="00BA3A6F" w:rsidP="00DC4348">
            <w:pPr>
              <w:ind w:right="-43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Sevilla capital</w:t>
            </w:r>
          </w:p>
        </w:tc>
        <w:tc>
          <w:tcPr>
            <w:tcW w:w="1418" w:type="dxa"/>
            <w:vAlign w:val="bottom"/>
          </w:tcPr>
          <w:p w14:paraId="45DAEAB7" w14:textId="7C2F75BD"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2.264 €</w:t>
            </w:r>
          </w:p>
        </w:tc>
        <w:tc>
          <w:tcPr>
            <w:tcW w:w="1843" w:type="dxa"/>
            <w:vAlign w:val="bottom"/>
          </w:tcPr>
          <w:p w14:paraId="7A6B3A9B" w14:textId="7C1575EA" w:rsidR="00BA3A6F" w:rsidRPr="00BA3A6F"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-2,4%</w:t>
            </w:r>
          </w:p>
        </w:tc>
        <w:tc>
          <w:tcPr>
            <w:tcW w:w="1701" w:type="dxa"/>
            <w:vAlign w:val="bottom"/>
          </w:tcPr>
          <w:p w14:paraId="7EB43B20" w14:textId="2A120F7C" w:rsidR="00BA3A6F" w:rsidRPr="00DF7F21" w:rsidRDefault="00BA3A6F" w:rsidP="00DC4348">
            <w:pPr>
              <w:ind w:right="-4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3,4%</w:t>
            </w:r>
          </w:p>
        </w:tc>
      </w:tr>
      <w:tr w:rsidR="00BA3A6F" w:rsidRPr="00DF7F21" w14:paraId="5C1D2E0D" w14:textId="02F6E300" w:rsidTr="00F7080E">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2D1400B" w14:textId="32F98D89" w:rsidR="00BA3A6F" w:rsidRPr="00BA3A6F" w:rsidRDefault="00BA3A6F" w:rsidP="00DC4348">
            <w:pPr>
              <w:ind w:right="-433"/>
              <w:rPr>
                <w:rFonts w:ascii="Open Sans" w:hAnsi="Open Sans" w:cs="Open Sans"/>
                <w:b w:val="0"/>
                <w:bCs w:val="0"/>
                <w:sz w:val="22"/>
                <w:szCs w:val="22"/>
              </w:rPr>
            </w:pPr>
            <w:r w:rsidRPr="00BA3A6F">
              <w:rPr>
                <w:rFonts w:ascii="Open Sans" w:hAnsi="Open Sans" w:cs="Open Sans"/>
                <w:b w:val="0"/>
                <w:bCs w:val="0"/>
                <w:sz w:val="22"/>
                <w:szCs w:val="22"/>
              </w:rPr>
              <w:t>Badajoz</w:t>
            </w:r>
          </w:p>
        </w:tc>
        <w:tc>
          <w:tcPr>
            <w:tcW w:w="2592" w:type="dxa"/>
            <w:vAlign w:val="bottom"/>
          </w:tcPr>
          <w:p w14:paraId="5092ACE1" w14:textId="5D99C809" w:rsidR="00BA3A6F" w:rsidRPr="00BA3A6F" w:rsidRDefault="00BA3A6F" w:rsidP="00DC4348">
            <w:pPr>
              <w:ind w:right="-43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A3A6F">
              <w:rPr>
                <w:rFonts w:ascii="Open Sans" w:hAnsi="Open Sans" w:cs="Open Sans"/>
                <w:sz w:val="22"/>
                <w:szCs w:val="22"/>
              </w:rPr>
              <w:t>Badajoz capital</w:t>
            </w:r>
          </w:p>
        </w:tc>
        <w:tc>
          <w:tcPr>
            <w:tcW w:w="1418" w:type="dxa"/>
            <w:vAlign w:val="bottom"/>
          </w:tcPr>
          <w:p w14:paraId="25FF0723" w14:textId="721D2A4D"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sz w:val="22"/>
                <w:szCs w:val="22"/>
              </w:rPr>
              <w:t>1.612 €</w:t>
            </w:r>
          </w:p>
        </w:tc>
        <w:tc>
          <w:tcPr>
            <w:tcW w:w="1843" w:type="dxa"/>
            <w:vAlign w:val="bottom"/>
          </w:tcPr>
          <w:p w14:paraId="43C1838F" w14:textId="633A147F" w:rsidR="00BA3A6F" w:rsidRPr="00BA3A6F"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A3A6F">
              <w:rPr>
                <w:rFonts w:ascii="Open Sans" w:hAnsi="Open Sans" w:cs="Open Sans"/>
                <w:b/>
                <w:color w:val="9C0006"/>
                <w:sz w:val="22"/>
                <w:szCs w:val="22"/>
              </w:rPr>
              <w:t>-3,4%</w:t>
            </w:r>
          </w:p>
        </w:tc>
        <w:tc>
          <w:tcPr>
            <w:tcW w:w="1701" w:type="dxa"/>
            <w:vAlign w:val="bottom"/>
          </w:tcPr>
          <w:p w14:paraId="71E0E77A" w14:textId="6ACC287A" w:rsidR="00BA3A6F" w:rsidRPr="00DF7F21" w:rsidRDefault="00BA3A6F" w:rsidP="00DC4348">
            <w:pPr>
              <w:ind w:right="-4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8,0%</w:t>
            </w:r>
          </w:p>
        </w:tc>
      </w:tr>
    </w:tbl>
    <w:p w14:paraId="401BF40F" w14:textId="5CB1C79A" w:rsidR="00C15353" w:rsidRDefault="00C15353" w:rsidP="00DC4348">
      <w:pPr>
        <w:spacing w:line="276" w:lineRule="auto"/>
        <w:ind w:right="-433"/>
        <w:jc w:val="right"/>
        <w:rPr>
          <w:rFonts w:ascii="Open Sans Light" w:hAnsi="Open Sans Light" w:cs="Open Sans Light"/>
          <w:b/>
          <w:iCs/>
          <w:color w:val="303AB2"/>
          <w:szCs w:val="20"/>
          <w:lang w:val="es-ES"/>
        </w:rPr>
      </w:pPr>
    </w:p>
    <w:p w14:paraId="5144ECDA" w14:textId="22D13B43" w:rsidR="00B2313D" w:rsidRDefault="00B2313D" w:rsidP="00DC4348">
      <w:pPr>
        <w:pStyle w:val="NormalWeb"/>
        <w:shd w:val="clear" w:color="auto" w:fill="FFFFFF"/>
        <w:spacing w:line="276" w:lineRule="auto"/>
        <w:ind w:right="-433"/>
        <w:rPr>
          <w:rFonts w:ascii="Open Sans Light" w:hAnsi="Open Sans Light" w:cs="Open Sans Light"/>
          <w:b/>
          <w:iCs/>
          <w:color w:val="303AB2"/>
          <w:szCs w:val="20"/>
        </w:rPr>
      </w:pPr>
      <w:r w:rsidRPr="00C5673A">
        <w:rPr>
          <w:rFonts w:ascii="Open Sans Light" w:hAnsi="Open Sans Light" w:cs="Open Sans Light"/>
          <w:b/>
          <w:iCs/>
          <w:color w:val="303AB2"/>
        </w:rPr>
        <w:t xml:space="preserve">Tabla </w:t>
      </w:r>
      <w:r>
        <w:rPr>
          <w:rFonts w:ascii="Open Sans Light" w:hAnsi="Open Sans Light" w:cs="Open Sans Light"/>
          <w:b/>
          <w:iCs/>
          <w:color w:val="303AB2"/>
        </w:rPr>
        <w:t>4</w:t>
      </w:r>
      <w:r w:rsidRPr="00C5673A">
        <w:rPr>
          <w:rFonts w:ascii="Open Sans Light" w:hAnsi="Open Sans Light" w:cs="Open Sans Light"/>
          <w:b/>
          <w:iCs/>
          <w:color w:val="303AB2"/>
        </w:rPr>
        <w:t xml:space="preserve">: </w:t>
      </w:r>
      <w:r w:rsidR="009624C3">
        <w:rPr>
          <w:rFonts w:ascii="Open Sans Light" w:hAnsi="Open Sans Light" w:cs="Open Sans Light"/>
          <w:b/>
          <w:iCs/>
          <w:color w:val="303AB2"/>
        </w:rPr>
        <w:t>Municipios</w:t>
      </w:r>
      <w:r w:rsidRPr="00C5673A">
        <w:rPr>
          <w:rFonts w:ascii="Open Sans Light" w:hAnsi="Open Sans Light" w:cs="Open Sans Light"/>
          <w:b/>
          <w:iCs/>
          <w:color w:val="303AB2"/>
        </w:rPr>
        <w:t xml:space="preserve"> </w:t>
      </w:r>
      <w:r>
        <w:rPr>
          <w:rFonts w:ascii="Open Sans Light" w:hAnsi="Open Sans Light" w:cs="Open Sans Light"/>
          <w:b/>
          <w:iCs/>
          <w:color w:val="303AB2"/>
          <w:szCs w:val="18"/>
        </w:rPr>
        <w:t>de mayor</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a</w:t>
      </w:r>
      <w:r w:rsidRPr="00C5673A">
        <w:rPr>
          <w:rFonts w:ascii="Open Sans Light" w:hAnsi="Open Sans Light" w:cs="Open Sans Light"/>
          <w:b/>
          <w:iCs/>
          <w:color w:val="303AB2"/>
        </w:rPr>
        <w:t xml:space="preserve"> </w:t>
      </w:r>
      <w:r>
        <w:rPr>
          <w:rFonts w:ascii="Open Sans Light" w:hAnsi="Open Sans Light" w:cs="Open Sans Light"/>
          <w:b/>
          <w:iCs/>
          <w:color w:val="303AB2"/>
          <w:szCs w:val="18"/>
        </w:rPr>
        <w:t>menor</w:t>
      </w:r>
      <w:r w:rsidRPr="00125207">
        <w:rPr>
          <w:rFonts w:ascii="Open Sans Light" w:hAnsi="Open Sans Light" w:cs="Open Sans Light"/>
          <w:b/>
          <w:iCs/>
          <w:color w:val="303AB2"/>
          <w:szCs w:val="18"/>
        </w:rPr>
        <w:t xml:space="preserve"> </w:t>
      </w:r>
      <w:r w:rsidRPr="00C5673A">
        <w:rPr>
          <w:rFonts w:ascii="Open Sans Light" w:hAnsi="Open Sans Light" w:cs="Open Sans Light"/>
          <w:b/>
          <w:iCs/>
          <w:color w:val="303AB2"/>
        </w:rPr>
        <w:t xml:space="preserve">incremento </w:t>
      </w:r>
      <w:r>
        <w:rPr>
          <w:rFonts w:ascii="Open Sans Light" w:hAnsi="Open Sans Light" w:cs="Open Sans Light"/>
          <w:b/>
          <w:iCs/>
          <w:color w:val="303AB2"/>
        </w:rPr>
        <w:t xml:space="preserve">trimestral </w:t>
      </w:r>
      <w:r>
        <w:rPr>
          <w:rFonts w:ascii="Open Sans Light" w:hAnsi="Open Sans Light" w:cs="Open Sans Light"/>
          <w:b/>
          <w:iCs/>
          <w:color w:val="303AB2"/>
          <w:szCs w:val="18"/>
        </w:rPr>
        <w:t>(</w:t>
      </w:r>
      <w:r w:rsidR="00BA3A6F">
        <w:rPr>
          <w:rFonts w:ascii="Open Sans Light" w:hAnsi="Open Sans Light" w:cs="Open Sans Light"/>
          <w:b/>
          <w:iCs/>
          <w:color w:val="303AB2"/>
        </w:rPr>
        <w:t>jun</w:t>
      </w:r>
      <w:r>
        <w:rPr>
          <w:rFonts w:ascii="Open Sans Light" w:hAnsi="Open Sans Light" w:cs="Open Sans Light"/>
          <w:b/>
          <w:iCs/>
          <w:color w:val="303AB2"/>
        </w:rPr>
        <w:t>. 2023)</w:t>
      </w:r>
    </w:p>
    <w:tbl>
      <w:tblPr>
        <w:tblStyle w:val="Tablaconcuadrcula5oscura-nfasis3"/>
        <w:tblW w:w="9032" w:type="dxa"/>
        <w:tblInd w:w="-113" w:type="dxa"/>
        <w:tblLayout w:type="fixed"/>
        <w:tblLook w:val="04A0" w:firstRow="1" w:lastRow="0" w:firstColumn="1" w:lastColumn="0" w:noHBand="0" w:noVBand="1"/>
      </w:tblPr>
      <w:tblGrid>
        <w:gridCol w:w="1809"/>
        <w:gridCol w:w="2261"/>
        <w:gridCol w:w="1567"/>
        <w:gridCol w:w="1701"/>
        <w:gridCol w:w="1694"/>
      </w:tblGrid>
      <w:tr w:rsidR="009624C3" w:rsidRPr="00DF7F21" w14:paraId="438B22DA" w14:textId="77777777" w:rsidTr="002753D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center"/>
          </w:tcPr>
          <w:p w14:paraId="3FF0EE7A" w14:textId="77777777" w:rsidR="009624C3" w:rsidRPr="00DF7F21" w:rsidRDefault="009624C3" w:rsidP="002753DE">
            <w:pPr>
              <w:rPr>
                <w:rFonts w:ascii="Open Sans" w:hAnsi="Open Sans" w:cs="Open Sans"/>
                <w:b w:val="0"/>
                <w:sz w:val="22"/>
                <w:szCs w:val="22"/>
                <w:lang w:val="es-ES"/>
              </w:rPr>
            </w:pPr>
            <w:r w:rsidRPr="00DF7F21">
              <w:rPr>
                <w:rFonts w:ascii="Open Sans" w:hAnsi="Open Sans" w:cs="Open Sans"/>
                <w:b w:val="0"/>
                <w:sz w:val="22"/>
                <w:szCs w:val="22"/>
                <w:lang w:val="es-ES"/>
              </w:rPr>
              <w:t>Provincia</w:t>
            </w:r>
          </w:p>
        </w:tc>
        <w:tc>
          <w:tcPr>
            <w:tcW w:w="2261" w:type="dxa"/>
            <w:shd w:val="clear" w:color="auto" w:fill="1DBDC5"/>
            <w:vAlign w:val="center"/>
          </w:tcPr>
          <w:p w14:paraId="18F9A7AC" w14:textId="77777777" w:rsidR="009624C3" w:rsidRPr="00DF7F21" w:rsidRDefault="009624C3" w:rsidP="009F27BD">
            <w:pPr>
              <w:ind w:right="-115"/>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F21">
              <w:rPr>
                <w:rFonts w:ascii="Open Sans" w:hAnsi="Open Sans" w:cs="Open Sans"/>
                <w:b w:val="0"/>
                <w:sz w:val="22"/>
                <w:szCs w:val="22"/>
                <w:lang w:val="es-ES"/>
              </w:rPr>
              <w:t>Municipio</w:t>
            </w:r>
          </w:p>
        </w:tc>
        <w:tc>
          <w:tcPr>
            <w:tcW w:w="1567" w:type="dxa"/>
            <w:shd w:val="clear" w:color="auto" w:fill="1DBDC5"/>
          </w:tcPr>
          <w:p w14:paraId="3CA233CC" w14:textId="77777777" w:rsidR="009624C3" w:rsidRPr="00711672" w:rsidRDefault="009624C3" w:rsidP="009F27BD">
            <w:pPr>
              <w:ind w:right="26"/>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Jun</w:t>
            </w:r>
            <w:r w:rsidRPr="00711672">
              <w:rPr>
                <w:rFonts w:ascii="Open Sans" w:hAnsi="Open Sans" w:cs="Open Sans"/>
                <w:b w:val="0"/>
                <w:sz w:val="22"/>
                <w:szCs w:val="22"/>
                <w:lang w:val="es-ES"/>
              </w:rPr>
              <w:t>. 202</w:t>
            </w:r>
            <w:r>
              <w:rPr>
                <w:rFonts w:ascii="Open Sans" w:hAnsi="Open Sans" w:cs="Open Sans"/>
                <w:b w:val="0"/>
                <w:sz w:val="22"/>
                <w:szCs w:val="22"/>
                <w:lang w:val="es-ES"/>
              </w:rPr>
              <w:t>3</w:t>
            </w:r>
          </w:p>
          <w:p w14:paraId="35A9E96F" w14:textId="77777777" w:rsidR="009624C3" w:rsidRPr="00DF7F21" w:rsidRDefault="009624C3" w:rsidP="009F27BD">
            <w:pPr>
              <w:ind w:right="26"/>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(euros/m²)</w:t>
            </w:r>
          </w:p>
        </w:tc>
        <w:tc>
          <w:tcPr>
            <w:tcW w:w="1701" w:type="dxa"/>
            <w:shd w:val="clear" w:color="auto" w:fill="1DBDC5"/>
          </w:tcPr>
          <w:p w14:paraId="526D165F" w14:textId="3019FCCB" w:rsidR="009624C3" w:rsidRPr="002753DE" w:rsidRDefault="00F8215F" w:rsidP="009F27BD">
            <w:pPr>
              <w:ind w:right="26"/>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753DE">
              <w:rPr>
                <w:rFonts w:ascii="Open Sans" w:hAnsi="Open Sans" w:cs="Open Sans"/>
                <w:b w:val="0"/>
                <w:bCs w:val="0"/>
                <w:sz w:val="22"/>
                <w:szCs w:val="22"/>
                <w:lang w:val="es-ES"/>
              </w:rPr>
              <w:t xml:space="preserve">   </w:t>
            </w:r>
            <w:r w:rsidR="009624C3" w:rsidRPr="002753DE">
              <w:rPr>
                <w:rFonts w:ascii="Open Sans" w:hAnsi="Open Sans" w:cs="Open Sans"/>
                <w:b w:val="0"/>
                <w:bCs w:val="0"/>
                <w:sz w:val="22"/>
                <w:szCs w:val="22"/>
                <w:lang w:val="es-ES"/>
              </w:rPr>
              <w:t>Variación</w:t>
            </w:r>
          </w:p>
          <w:p w14:paraId="3E002C8E" w14:textId="77777777" w:rsidR="009624C3" w:rsidRPr="002753DE" w:rsidRDefault="009624C3" w:rsidP="009F27BD">
            <w:pPr>
              <w:ind w:right="26"/>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53DE">
              <w:rPr>
                <w:rFonts w:ascii="Open Sans" w:hAnsi="Open Sans" w:cs="Open Sans"/>
                <w:b w:val="0"/>
                <w:bCs w:val="0"/>
                <w:sz w:val="22"/>
                <w:szCs w:val="22"/>
                <w:lang w:val="es-ES"/>
              </w:rPr>
              <w:t>trimestral (%)</w:t>
            </w:r>
          </w:p>
        </w:tc>
        <w:tc>
          <w:tcPr>
            <w:tcW w:w="1694" w:type="dxa"/>
            <w:shd w:val="clear" w:color="auto" w:fill="1DBDC5"/>
          </w:tcPr>
          <w:p w14:paraId="27BA0899" w14:textId="72FA4BD4" w:rsidR="009624C3" w:rsidRDefault="009624C3" w:rsidP="009F27BD">
            <w:pPr>
              <w:ind w:right="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11672">
              <w:rPr>
                <w:rFonts w:ascii="Open Sans" w:hAnsi="Open Sans" w:cs="Open Sans"/>
                <w:b w:val="0"/>
                <w:sz w:val="22"/>
                <w:szCs w:val="22"/>
                <w:lang w:val="es-ES"/>
              </w:rPr>
              <w:t>Variación</w:t>
            </w:r>
          </w:p>
          <w:p w14:paraId="26E89439" w14:textId="77777777" w:rsidR="009624C3" w:rsidRPr="00DF7F21" w:rsidRDefault="009624C3" w:rsidP="009F27BD">
            <w:pPr>
              <w:ind w:right="3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711672">
              <w:rPr>
                <w:rFonts w:ascii="Open Sans" w:hAnsi="Open Sans" w:cs="Open Sans"/>
                <w:b w:val="0"/>
                <w:sz w:val="22"/>
                <w:szCs w:val="22"/>
                <w:lang w:val="es-ES"/>
              </w:rPr>
              <w:t>interanual (%)</w:t>
            </w:r>
          </w:p>
        </w:tc>
      </w:tr>
      <w:tr w:rsidR="002753DE" w:rsidRPr="00DF7F21" w14:paraId="507FF067"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6F8600CE" w14:textId="463613D2"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02D9D8D3" w14:textId="47C5194E"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Puerto de la Cruz</w:t>
            </w:r>
          </w:p>
        </w:tc>
        <w:tc>
          <w:tcPr>
            <w:tcW w:w="1567" w:type="dxa"/>
            <w:vAlign w:val="bottom"/>
          </w:tcPr>
          <w:p w14:paraId="7A5FBF09" w14:textId="00B2E5A2"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2.790 €</w:t>
            </w:r>
          </w:p>
        </w:tc>
        <w:tc>
          <w:tcPr>
            <w:tcW w:w="1701" w:type="dxa"/>
            <w:vAlign w:val="bottom"/>
          </w:tcPr>
          <w:p w14:paraId="4630B8CD" w14:textId="45A7D963"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20,0%</w:t>
            </w:r>
          </w:p>
        </w:tc>
        <w:tc>
          <w:tcPr>
            <w:tcW w:w="1694" w:type="dxa"/>
            <w:vAlign w:val="bottom"/>
          </w:tcPr>
          <w:p w14:paraId="562E7D0B" w14:textId="1301C6B6"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38,1%</w:t>
            </w:r>
          </w:p>
        </w:tc>
      </w:tr>
      <w:tr w:rsidR="002753DE" w:rsidRPr="00DF7F21" w14:paraId="03DC74C0"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57367E5A" w14:textId="1EB4903C"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609A21DA" w14:textId="04DDA5E6"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Puerto del Rosario</w:t>
            </w:r>
          </w:p>
        </w:tc>
        <w:tc>
          <w:tcPr>
            <w:tcW w:w="1567" w:type="dxa"/>
            <w:vAlign w:val="bottom"/>
          </w:tcPr>
          <w:p w14:paraId="14119C43" w14:textId="6E30F270"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1.442 €</w:t>
            </w:r>
          </w:p>
        </w:tc>
        <w:tc>
          <w:tcPr>
            <w:tcW w:w="1701" w:type="dxa"/>
            <w:vAlign w:val="bottom"/>
          </w:tcPr>
          <w:p w14:paraId="02A477AE" w14:textId="3306BE4F"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13,8%</w:t>
            </w:r>
          </w:p>
        </w:tc>
        <w:tc>
          <w:tcPr>
            <w:tcW w:w="1694" w:type="dxa"/>
            <w:vAlign w:val="bottom"/>
          </w:tcPr>
          <w:p w14:paraId="7A9010AB" w14:textId="6613289C"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25,3%</w:t>
            </w:r>
          </w:p>
        </w:tc>
      </w:tr>
      <w:tr w:rsidR="002753DE" w:rsidRPr="00DF7F21" w14:paraId="0DD3A2B1"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3B77A146" w14:textId="0A72FBB4"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7772C4C1" w14:textId="3A031652"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La Orotava</w:t>
            </w:r>
          </w:p>
        </w:tc>
        <w:tc>
          <w:tcPr>
            <w:tcW w:w="1567" w:type="dxa"/>
            <w:vAlign w:val="bottom"/>
          </w:tcPr>
          <w:p w14:paraId="08F32783" w14:textId="13AC3EE4"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1.570 €</w:t>
            </w:r>
          </w:p>
        </w:tc>
        <w:tc>
          <w:tcPr>
            <w:tcW w:w="1701" w:type="dxa"/>
            <w:vAlign w:val="bottom"/>
          </w:tcPr>
          <w:p w14:paraId="733F88C1" w14:textId="2C78C8BB"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11,3%</w:t>
            </w:r>
          </w:p>
        </w:tc>
        <w:tc>
          <w:tcPr>
            <w:tcW w:w="1694" w:type="dxa"/>
            <w:vAlign w:val="bottom"/>
          </w:tcPr>
          <w:p w14:paraId="676E4ED8" w14:textId="58BA272E"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35,4%</w:t>
            </w:r>
          </w:p>
        </w:tc>
      </w:tr>
      <w:tr w:rsidR="002753DE" w:rsidRPr="00DF7F21" w14:paraId="12334820"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0B151B33" w14:textId="69710E32"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43C11E29" w14:textId="2E077B15"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Mogán</w:t>
            </w:r>
          </w:p>
        </w:tc>
        <w:tc>
          <w:tcPr>
            <w:tcW w:w="1567" w:type="dxa"/>
            <w:vAlign w:val="bottom"/>
          </w:tcPr>
          <w:p w14:paraId="62AEF24B" w14:textId="502F5DD3"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3.406 €</w:t>
            </w:r>
          </w:p>
        </w:tc>
        <w:tc>
          <w:tcPr>
            <w:tcW w:w="1701" w:type="dxa"/>
            <w:vAlign w:val="bottom"/>
          </w:tcPr>
          <w:p w14:paraId="6C921A8F" w14:textId="63CFCF26"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9,1%</w:t>
            </w:r>
          </w:p>
        </w:tc>
        <w:tc>
          <w:tcPr>
            <w:tcW w:w="1694" w:type="dxa"/>
            <w:vAlign w:val="bottom"/>
          </w:tcPr>
          <w:p w14:paraId="3C11CEB2" w14:textId="70072901"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24,8%</w:t>
            </w:r>
          </w:p>
        </w:tc>
      </w:tr>
      <w:tr w:rsidR="002753DE" w:rsidRPr="00DF7F21" w14:paraId="42F8B6D5"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5462B5B6" w14:textId="3C889983"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69E1E8E5" w14:textId="4C5340CF"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Arona</w:t>
            </w:r>
          </w:p>
        </w:tc>
        <w:tc>
          <w:tcPr>
            <w:tcW w:w="1567" w:type="dxa"/>
            <w:vAlign w:val="bottom"/>
          </w:tcPr>
          <w:p w14:paraId="1AB09AF8" w14:textId="635DB70A"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2.813 €</w:t>
            </w:r>
          </w:p>
        </w:tc>
        <w:tc>
          <w:tcPr>
            <w:tcW w:w="1701" w:type="dxa"/>
            <w:vAlign w:val="bottom"/>
          </w:tcPr>
          <w:p w14:paraId="0435E6A7" w14:textId="396A1A46"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8,8%</w:t>
            </w:r>
          </w:p>
        </w:tc>
        <w:tc>
          <w:tcPr>
            <w:tcW w:w="1694" w:type="dxa"/>
            <w:vAlign w:val="bottom"/>
          </w:tcPr>
          <w:p w14:paraId="22DE3DE1" w14:textId="3641AD2A"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32,1%</w:t>
            </w:r>
          </w:p>
        </w:tc>
      </w:tr>
      <w:tr w:rsidR="002753DE" w:rsidRPr="00DF7F21" w14:paraId="228BF8FA"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5A8AD7E7" w14:textId="21E64699"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1B89A08C" w14:textId="1DD6DC4B"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 Cristóbal de la Laguna</w:t>
            </w:r>
          </w:p>
        </w:tc>
        <w:tc>
          <w:tcPr>
            <w:tcW w:w="1567" w:type="dxa"/>
            <w:vAlign w:val="bottom"/>
          </w:tcPr>
          <w:p w14:paraId="09E0D65B" w14:textId="50E9F8B8"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1.654 €</w:t>
            </w:r>
          </w:p>
        </w:tc>
        <w:tc>
          <w:tcPr>
            <w:tcW w:w="1701" w:type="dxa"/>
            <w:vAlign w:val="bottom"/>
          </w:tcPr>
          <w:p w14:paraId="118C1D14" w14:textId="055F739F"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8,1%</w:t>
            </w:r>
          </w:p>
        </w:tc>
        <w:tc>
          <w:tcPr>
            <w:tcW w:w="1694" w:type="dxa"/>
            <w:vAlign w:val="bottom"/>
          </w:tcPr>
          <w:p w14:paraId="47444EB3" w14:textId="6211D6C0"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15,0%</w:t>
            </w:r>
          </w:p>
        </w:tc>
      </w:tr>
      <w:tr w:rsidR="002753DE" w:rsidRPr="00DF7F21" w14:paraId="2E0C3581"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6EDB6164" w14:textId="3209BD59"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7134199C" w14:textId="50366913"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 Miguel de Abona</w:t>
            </w:r>
          </w:p>
        </w:tc>
        <w:tc>
          <w:tcPr>
            <w:tcW w:w="1567" w:type="dxa"/>
            <w:vAlign w:val="bottom"/>
          </w:tcPr>
          <w:p w14:paraId="76C75F3E" w14:textId="4678CA6D"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2.207 €</w:t>
            </w:r>
          </w:p>
        </w:tc>
        <w:tc>
          <w:tcPr>
            <w:tcW w:w="1701" w:type="dxa"/>
            <w:vAlign w:val="bottom"/>
          </w:tcPr>
          <w:p w14:paraId="599DCB2D" w14:textId="25D2C961"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7,8%</w:t>
            </w:r>
          </w:p>
        </w:tc>
        <w:tc>
          <w:tcPr>
            <w:tcW w:w="1694" w:type="dxa"/>
            <w:vAlign w:val="bottom"/>
          </w:tcPr>
          <w:p w14:paraId="15886EB8" w14:textId="49C259A8"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12,1%</w:t>
            </w:r>
          </w:p>
        </w:tc>
      </w:tr>
      <w:tr w:rsidR="002753DE" w:rsidRPr="00DF7F21" w14:paraId="7887A816"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256D533B" w14:textId="42CE16F4"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lastRenderedPageBreak/>
              <w:t>Santa Cruz de Tenerife</w:t>
            </w:r>
          </w:p>
        </w:tc>
        <w:tc>
          <w:tcPr>
            <w:tcW w:w="2261" w:type="dxa"/>
            <w:vAlign w:val="bottom"/>
          </w:tcPr>
          <w:p w14:paraId="6E1ECF34" w14:textId="5460996D"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Adeje</w:t>
            </w:r>
          </w:p>
        </w:tc>
        <w:tc>
          <w:tcPr>
            <w:tcW w:w="1567" w:type="dxa"/>
            <w:vAlign w:val="bottom"/>
          </w:tcPr>
          <w:p w14:paraId="2EFFF6C0" w14:textId="7FE6FBA9"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3.892 €</w:t>
            </w:r>
          </w:p>
        </w:tc>
        <w:tc>
          <w:tcPr>
            <w:tcW w:w="1701" w:type="dxa"/>
            <w:vAlign w:val="bottom"/>
          </w:tcPr>
          <w:p w14:paraId="2CA9FD24" w14:textId="52E6E031"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7,3%</w:t>
            </w:r>
          </w:p>
        </w:tc>
        <w:tc>
          <w:tcPr>
            <w:tcW w:w="1694" w:type="dxa"/>
            <w:vAlign w:val="bottom"/>
          </w:tcPr>
          <w:p w14:paraId="10611C4E" w14:textId="1A6FDD60"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39,9%</w:t>
            </w:r>
          </w:p>
        </w:tc>
      </w:tr>
      <w:tr w:rsidR="002753DE" w:rsidRPr="00DF7F21" w14:paraId="3D0AC81F"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07484656" w14:textId="027BC2FC"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7ABF0BE8" w14:textId="06C623A3"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Telde</w:t>
            </w:r>
          </w:p>
        </w:tc>
        <w:tc>
          <w:tcPr>
            <w:tcW w:w="1567" w:type="dxa"/>
            <w:vAlign w:val="bottom"/>
          </w:tcPr>
          <w:p w14:paraId="0E38CC1B" w14:textId="603462F4"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1.526 €</w:t>
            </w:r>
          </w:p>
        </w:tc>
        <w:tc>
          <w:tcPr>
            <w:tcW w:w="1701" w:type="dxa"/>
            <w:vAlign w:val="bottom"/>
          </w:tcPr>
          <w:p w14:paraId="33FACEFF" w14:textId="612BBFE1"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7,2%</w:t>
            </w:r>
          </w:p>
        </w:tc>
        <w:tc>
          <w:tcPr>
            <w:tcW w:w="1694" w:type="dxa"/>
            <w:vAlign w:val="bottom"/>
          </w:tcPr>
          <w:p w14:paraId="37E3E667" w14:textId="7CD8A478"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5,8%</w:t>
            </w:r>
          </w:p>
        </w:tc>
      </w:tr>
      <w:tr w:rsidR="002753DE" w:rsidRPr="00DF7F21" w14:paraId="3FB20E7E"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61AC2AC5" w14:textId="31AF88C2"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24F1BBC8" w14:textId="41BB59F2"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Santa Lucía de Tirajana</w:t>
            </w:r>
          </w:p>
        </w:tc>
        <w:tc>
          <w:tcPr>
            <w:tcW w:w="1567" w:type="dxa"/>
            <w:vAlign w:val="bottom"/>
          </w:tcPr>
          <w:p w14:paraId="68BDB6EE" w14:textId="258BD162"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1.393 €</w:t>
            </w:r>
          </w:p>
        </w:tc>
        <w:tc>
          <w:tcPr>
            <w:tcW w:w="1701" w:type="dxa"/>
            <w:vAlign w:val="bottom"/>
          </w:tcPr>
          <w:p w14:paraId="511FA90B" w14:textId="2F8364A9"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7,0%</w:t>
            </w:r>
          </w:p>
        </w:tc>
        <w:tc>
          <w:tcPr>
            <w:tcW w:w="1694" w:type="dxa"/>
            <w:vAlign w:val="bottom"/>
          </w:tcPr>
          <w:p w14:paraId="46A4EA01" w14:textId="0C7D5989"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9,5%</w:t>
            </w:r>
          </w:p>
        </w:tc>
      </w:tr>
      <w:tr w:rsidR="002753DE" w:rsidRPr="00DF7F21" w14:paraId="744E98A7"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2CE2C15B" w14:textId="1BAF95AF"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122081C6" w14:textId="47F31DC2"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Arucas</w:t>
            </w:r>
          </w:p>
        </w:tc>
        <w:tc>
          <w:tcPr>
            <w:tcW w:w="1567" w:type="dxa"/>
            <w:vAlign w:val="bottom"/>
          </w:tcPr>
          <w:p w14:paraId="041F47E0" w14:textId="2AC29EAB"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1.473 €</w:t>
            </w:r>
          </w:p>
        </w:tc>
        <w:tc>
          <w:tcPr>
            <w:tcW w:w="1701" w:type="dxa"/>
            <w:vAlign w:val="bottom"/>
          </w:tcPr>
          <w:p w14:paraId="3F14FFAB" w14:textId="4C704400"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6,3%</w:t>
            </w:r>
          </w:p>
        </w:tc>
        <w:tc>
          <w:tcPr>
            <w:tcW w:w="1694" w:type="dxa"/>
            <w:vAlign w:val="bottom"/>
          </w:tcPr>
          <w:p w14:paraId="23A10BCE" w14:textId="7ADA1217"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0,0%</w:t>
            </w:r>
          </w:p>
        </w:tc>
      </w:tr>
      <w:tr w:rsidR="002753DE" w:rsidRPr="00DF7F21" w14:paraId="3A11C832"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06432F10" w14:textId="4E648495"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5A713DF8" w14:textId="6E23B778"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Santa Cruz de Tenerife capital</w:t>
            </w:r>
          </w:p>
        </w:tc>
        <w:tc>
          <w:tcPr>
            <w:tcW w:w="1567" w:type="dxa"/>
            <w:vAlign w:val="bottom"/>
          </w:tcPr>
          <w:p w14:paraId="45634609" w14:textId="4ED85198"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2.029 €</w:t>
            </w:r>
          </w:p>
        </w:tc>
        <w:tc>
          <w:tcPr>
            <w:tcW w:w="1701" w:type="dxa"/>
            <w:vAlign w:val="bottom"/>
          </w:tcPr>
          <w:p w14:paraId="0C82932D" w14:textId="59A8B3C2"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4,0%</w:t>
            </w:r>
          </w:p>
        </w:tc>
        <w:tc>
          <w:tcPr>
            <w:tcW w:w="1694" w:type="dxa"/>
            <w:vAlign w:val="bottom"/>
          </w:tcPr>
          <w:p w14:paraId="0854D8E7" w14:textId="33DCDABC"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21,5%</w:t>
            </w:r>
          </w:p>
        </w:tc>
      </w:tr>
      <w:tr w:rsidR="002753DE" w:rsidRPr="00DF7F21" w14:paraId="375EC0A3"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5739FB6E" w14:textId="6F55D315"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666F9FEC" w14:textId="08F421AA"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Granadilla de Abona</w:t>
            </w:r>
          </w:p>
        </w:tc>
        <w:tc>
          <w:tcPr>
            <w:tcW w:w="1567" w:type="dxa"/>
            <w:vAlign w:val="bottom"/>
          </w:tcPr>
          <w:p w14:paraId="63570F54" w14:textId="4CB059EE"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2.311 €</w:t>
            </w:r>
          </w:p>
        </w:tc>
        <w:tc>
          <w:tcPr>
            <w:tcW w:w="1701" w:type="dxa"/>
            <w:vAlign w:val="bottom"/>
          </w:tcPr>
          <w:p w14:paraId="1DF3E741" w14:textId="45BE20EE"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3,5%</w:t>
            </w:r>
          </w:p>
        </w:tc>
        <w:tc>
          <w:tcPr>
            <w:tcW w:w="1694" w:type="dxa"/>
            <w:vAlign w:val="bottom"/>
          </w:tcPr>
          <w:p w14:paraId="30FB6502" w14:textId="2A0222E1"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29,2%</w:t>
            </w:r>
          </w:p>
        </w:tc>
      </w:tr>
      <w:tr w:rsidR="002753DE" w:rsidRPr="00DF7F21" w14:paraId="0EC33625"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49110EEC" w14:textId="072B6046"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2E76482E" w14:textId="28F299BE"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Las Palmas de Gran Canaria</w:t>
            </w:r>
          </w:p>
        </w:tc>
        <w:tc>
          <w:tcPr>
            <w:tcW w:w="1567" w:type="dxa"/>
            <w:vAlign w:val="bottom"/>
          </w:tcPr>
          <w:p w14:paraId="0ABBDB64" w14:textId="7EA92E92"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2.365 €</w:t>
            </w:r>
          </w:p>
        </w:tc>
        <w:tc>
          <w:tcPr>
            <w:tcW w:w="1701" w:type="dxa"/>
            <w:vAlign w:val="bottom"/>
          </w:tcPr>
          <w:p w14:paraId="63DC342A" w14:textId="32DEF08D"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3,3%</w:t>
            </w:r>
          </w:p>
        </w:tc>
        <w:tc>
          <w:tcPr>
            <w:tcW w:w="1694" w:type="dxa"/>
            <w:vAlign w:val="bottom"/>
          </w:tcPr>
          <w:p w14:paraId="11CA08E0" w14:textId="18FDE0D5"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8,6%</w:t>
            </w:r>
          </w:p>
        </w:tc>
      </w:tr>
      <w:tr w:rsidR="002753DE" w:rsidRPr="00DF7F21" w14:paraId="57EEECE4"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7200E8D4" w14:textId="007BE11D"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27F1007B" w14:textId="2B8FDEF9"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Guía de Isora</w:t>
            </w:r>
          </w:p>
        </w:tc>
        <w:tc>
          <w:tcPr>
            <w:tcW w:w="1567" w:type="dxa"/>
            <w:vAlign w:val="bottom"/>
          </w:tcPr>
          <w:p w14:paraId="63AC4513" w14:textId="517FA56C"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2.968 €</w:t>
            </w:r>
          </w:p>
        </w:tc>
        <w:tc>
          <w:tcPr>
            <w:tcW w:w="1701" w:type="dxa"/>
            <w:vAlign w:val="bottom"/>
          </w:tcPr>
          <w:p w14:paraId="62E2D44C" w14:textId="4FE1AA4D"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3,1%</w:t>
            </w:r>
          </w:p>
        </w:tc>
        <w:tc>
          <w:tcPr>
            <w:tcW w:w="1694" w:type="dxa"/>
            <w:vAlign w:val="bottom"/>
          </w:tcPr>
          <w:p w14:paraId="32F7651E" w14:textId="3C029BDF"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18,7%</w:t>
            </w:r>
          </w:p>
        </w:tc>
      </w:tr>
      <w:tr w:rsidR="002753DE" w:rsidRPr="00DF7F21" w14:paraId="7956FA46"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0402BB20" w14:textId="7ADD5B8D"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77D17B5C" w14:textId="4EA70B50"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 Bartolomé de Tirajana</w:t>
            </w:r>
          </w:p>
        </w:tc>
        <w:tc>
          <w:tcPr>
            <w:tcW w:w="1567" w:type="dxa"/>
            <w:vAlign w:val="bottom"/>
          </w:tcPr>
          <w:p w14:paraId="3A76763A" w14:textId="1AF845B0"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2.688 €</w:t>
            </w:r>
          </w:p>
        </w:tc>
        <w:tc>
          <w:tcPr>
            <w:tcW w:w="1701" w:type="dxa"/>
            <w:vAlign w:val="bottom"/>
          </w:tcPr>
          <w:p w14:paraId="6DA26802" w14:textId="257FD349"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1,7%</w:t>
            </w:r>
          </w:p>
        </w:tc>
        <w:tc>
          <w:tcPr>
            <w:tcW w:w="1694" w:type="dxa"/>
            <w:vAlign w:val="bottom"/>
          </w:tcPr>
          <w:p w14:paraId="0A7D05DF" w14:textId="32CB628D"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15,3%</w:t>
            </w:r>
          </w:p>
        </w:tc>
      </w:tr>
      <w:tr w:rsidR="002753DE" w:rsidRPr="00DF7F21" w14:paraId="55519436"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18CC4D76" w14:textId="6FEBC64C"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70C46F6C" w14:textId="3C3D335D"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Arrecife</w:t>
            </w:r>
          </w:p>
        </w:tc>
        <w:tc>
          <w:tcPr>
            <w:tcW w:w="1567" w:type="dxa"/>
            <w:vAlign w:val="bottom"/>
          </w:tcPr>
          <w:p w14:paraId="3AF36DFB" w14:textId="37DA69DD"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1.614 €</w:t>
            </w:r>
          </w:p>
        </w:tc>
        <w:tc>
          <w:tcPr>
            <w:tcW w:w="1701" w:type="dxa"/>
            <w:vAlign w:val="bottom"/>
          </w:tcPr>
          <w:p w14:paraId="27CF17D1" w14:textId="20E35578"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1,0%</w:t>
            </w:r>
          </w:p>
        </w:tc>
        <w:tc>
          <w:tcPr>
            <w:tcW w:w="1694" w:type="dxa"/>
            <w:vAlign w:val="bottom"/>
          </w:tcPr>
          <w:p w14:paraId="4ED17A67" w14:textId="17148CB6"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8,0%</w:t>
            </w:r>
          </w:p>
        </w:tc>
      </w:tr>
      <w:tr w:rsidR="002753DE" w:rsidRPr="00DF7F21" w14:paraId="5E9C432C"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35AFD0CE" w14:textId="73A0D05B"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34EA4BF9" w14:textId="1B2DFEA3"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Los Realejos</w:t>
            </w:r>
          </w:p>
        </w:tc>
        <w:tc>
          <w:tcPr>
            <w:tcW w:w="1567" w:type="dxa"/>
            <w:vAlign w:val="bottom"/>
          </w:tcPr>
          <w:p w14:paraId="1B7160D5" w14:textId="3B0CAF09"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1.302 €</w:t>
            </w:r>
          </w:p>
        </w:tc>
        <w:tc>
          <w:tcPr>
            <w:tcW w:w="1701" w:type="dxa"/>
            <w:vAlign w:val="bottom"/>
          </w:tcPr>
          <w:p w14:paraId="679C88E5" w14:textId="0CFFB63F"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sz w:val="22"/>
                <w:szCs w:val="22"/>
              </w:rPr>
              <w:t>0,6%</w:t>
            </w:r>
          </w:p>
        </w:tc>
        <w:tc>
          <w:tcPr>
            <w:tcW w:w="1694" w:type="dxa"/>
            <w:vAlign w:val="bottom"/>
          </w:tcPr>
          <w:p w14:paraId="7B3C97E6" w14:textId="03B8BA6D"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3,5%</w:t>
            </w:r>
          </w:p>
        </w:tc>
      </w:tr>
      <w:tr w:rsidR="002753DE" w:rsidRPr="00DF7F21" w14:paraId="38EF49DD"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2BC9C920" w14:textId="4B703EA8"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773597CE" w14:textId="79B1C2B2"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Icod de los Vinos</w:t>
            </w:r>
          </w:p>
        </w:tc>
        <w:tc>
          <w:tcPr>
            <w:tcW w:w="1567" w:type="dxa"/>
            <w:vAlign w:val="bottom"/>
          </w:tcPr>
          <w:p w14:paraId="5E0DA91A" w14:textId="54F41D5A"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1.051 €</w:t>
            </w:r>
          </w:p>
        </w:tc>
        <w:tc>
          <w:tcPr>
            <w:tcW w:w="1701" w:type="dxa"/>
            <w:vAlign w:val="bottom"/>
          </w:tcPr>
          <w:p w14:paraId="4D1D409B" w14:textId="61D0C85A"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color w:val="9C0006"/>
                <w:sz w:val="22"/>
                <w:szCs w:val="22"/>
              </w:rPr>
              <w:t>-1,2%</w:t>
            </w:r>
          </w:p>
        </w:tc>
        <w:tc>
          <w:tcPr>
            <w:tcW w:w="1694" w:type="dxa"/>
            <w:vAlign w:val="bottom"/>
          </w:tcPr>
          <w:p w14:paraId="7644654E" w14:textId="0858B96C"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12,9%</w:t>
            </w:r>
          </w:p>
        </w:tc>
      </w:tr>
      <w:tr w:rsidR="002753DE" w:rsidRPr="00DF7F21" w14:paraId="39EEC0D2"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4EF165BF" w14:textId="61587680"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1DD92EA6" w14:textId="7FB2FB70"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Agüimes</w:t>
            </w:r>
          </w:p>
        </w:tc>
        <w:tc>
          <w:tcPr>
            <w:tcW w:w="1567" w:type="dxa"/>
            <w:vAlign w:val="bottom"/>
          </w:tcPr>
          <w:p w14:paraId="2FDF5D1D" w14:textId="6FB4F7F8"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1.619 €</w:t>
            </w:r>
          </w:p>
        </w:tc>
        <w:tc>
          <w:tcPr>
            <w:tcW w:w="1701" w:type="dxa"/>
            <w:vAlign w:val="bottom"/>
          </w:tcPr>
          <w:p w14:paraId="2703EDF7" w14:textId="23BD0C55"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2753DE">
              <w:rPr>
                <w:rFonts w:ascii="Open Sans" w:hAnsi="Open Sans" w:cs="Open Sans"/>
                <w:b/>
                <w:bCs/>
                <w:color w:val="9C0006"/>
                <w:sz w:val="22"/>
                <w:szCs w:val="22"/>
              </w:rPr>
              <w:t>-3,2%</w:t>
            </w:r>
          </w:p>
        </w:tc>
        <w:tc>
          <w:tcPr>
            <w:tcW w:w="1694" w:type="dxa"/>
            <w:vAlign w:val="bottom"/>
          </w:tcPr>
          <w:p w14:paraId="5CCCDAB2" w14:textId="525BED09"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6,5%</w:t>
            </w:r>
          </w:p>
        </w:tc>
      </w:tr>
      <w:tr w:rsidR="002753DE" w:rsidRPr="00DF7F21" w14:paraId="4F102DFD"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1768102F" w14:textId="099E3900"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0E419107" w14:textId="34870E8A"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Santiago del Teide</w:t>
            </w:r>
          </w:p>
        </w:tc>
        <w:tc>
          <w:tcPr>
            <w:tcW w:w="1567" w:type="dxa"/>
            <w:vAlign w:val="bottom"/>
          </w:tcPr>
          <w:p w14:paraId="046564A1" w14:textId="053DFA89"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3.154 €</w:t>
            </w:r>
          </w:p>
        </w:tc>
        <w:tc>
          <w:tcPr>
            <w:tcW w:w="1701" w:type="dxa"/>
            <w:vAlign w:val="bottom"/>
          </w:tcPr>
          <w:p w14:paraId="40D238F9" w14:textId="1CC70B06"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w:t>
            </w:r>
          </w:p>
        </w:tc>
        <w:tc>
          <w:tcPr>
            <w:tcW w:w="1694" w:type="dxa"/>
            <w:vAlign w:val="bottom"/>
          </w:tcPr>
          <w:p w14:paraId="5BE0830B" w14:textId="577517E9"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41,7%</w:t>
            </w:r>
          </w:p>
        </w:tc>
      </w:tr>
      <w:tr w:rsidR="002753DE" w:rsidRPr="00DF7F21" w14:paraId="6C2D12F2"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3AC11974" w14:textId="52633250"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1CFA491D" w14:textId="5FDBEC06"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La Oliva</w:t>
            </w:r>
          </w:p>
        </w:tc>
        <w:tc>
          <w:tcPr>
            <w:tcW w:w="1567" w:type="dxa"/>
            <w:vAlign w:val="bottom"/>
          </w:tcPr>
          <w:p w14:paraId="48D3AC6F" w14:textId="49BBA058"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2.638 €</w:t>
            </w:r>
          </w:p>
        </w:tc>
        <w:tc>
          <w:tcPr>
            <w:tcW w:w="1701" w:type="dxa"/>
          </w:tcPr>
          <w:p w14:paraId="7B8B026D" w14:textId="47672E8C"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A87205">
              <w:rPr>
                <w:rFonts w:ascii="Open Sans" w:hAnsi="Open Sans" w:cs="Open Sans"/>
                <w:sz w:val="22"/>
                <w:szCs w:val="22"/>
              </w:rPr>
              <w:t>-</w:t>
            </w:r>
          </w:p>
        </w:tc>
        <w:tc>
          <w:tcPr>
            <w:tcW w:w="1694" w:type="dxa"/>
            <w:vAlign w:val="bottom"/>
          </w:tcPr>
          <w:p w14:paraId="1EE90337" w14:textId="4E177640"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42,6%</w:t>
            </w:r>
          </w:p>
        </w:tc>
      </w:tr>
      <w:tr w:rsidR="002753DE" w:rsidRPr="00DF7F21" w14:paraId="2D0883D1"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183CB013" w14:textId="3106DFE0"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Santa Cruz de Tenerife</w:t>
            </w:r>
          </w:p>
        </w:tc>
        <w:tc>
          <w:tcPr>
            <w:tcW w:w="2261" w:type="dxa"/>
            <w:vAlign w:val="bottom"/>
          </w:tcPr>
          <w:p w14:paraId="6B3B7A94" w14:textId="4D584E21"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Candelaria</w:t>
            </w:r>
          </w:p>
        </w:tc>
        <w:tc>
          <w:tcPr>
            <w:tcW w:w="1567" w:type="dxa"/>
            <w:vAlign w:val="bottom"/>
          </w:tcPr>
          <w:p w14:paraId="63DA6A03" w14:textId="1A311E55"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2.479 €</w:t>
            </w:r>
          </w:p>
        </w:tc>
        <w:tc>
          <w:tcPr>
            <w:tcW w:w="1701" w:type="dxa"/>
          </w:tcPr>
          <w:p w14:paraId="4D21E4CF" w14:textId="5C7189F3"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A87205">
              <w:rPr>
                <w:rFonts w:ascii="Open Sans" w:hAnsi="Open Sans" w:cs="Open Sans"/>
                <w:sz w:val="22"/>
                <w:szCs w:val="22"/>
              </w:rPr>
              <w:t>-</w:t>
            </w:r>
          </w:p>
        </w:tc>
        <w:tc>
          <w:tcPr>
            <w:tcW w:w="1694" w:type="dxa"/>
            <w:vAlign w:val="bottom"/>
          </w:tcPr>
          <w:p w14:paraId="2853AC5F" w14:textId="6D4EA711"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w:t>
            </w:r>
          </w:p>
        </w:tc>
      </w:tr>
      <w:tr w:rsidR="002753DE" w:rsidRPr="00DF7F21" w14:paraId="039AD513" w14:textId="77777777" w:rsidTr="002753DE">
        <w:trPr>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3AB5B175" w14:textId="36372B14"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6765A8BF" w14:textId="2C93E469" w:rsidR="002753DE" w:rsidRPr="002753DE" w:rsidRDefault="002753DE" w:rsidP="002753DE">
            <w:pPr>
              <w:ind w:right="-115"/>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Ingenio</w:t>
            </w:r>
          </w:p>
        </w:tc>
        <w:tc>
          <w:tcPr>
            <w:tcW w:w="1567" w:type="dxa"/>
            <w:vAlign w:val="bottom"/>
          </w:tcPr>
          <w:p w14:paraId="4207A005" w14:textId="6FD9D0CA" w:rsid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1.400 €</w:t>
            </w:r>
          </w:p>
        </w:tc>
        <w:tc>
          <w:tcPr>
            <w:tcW w:w="1701" w:type="dxa"/>
          </w:tcPr>
          <w:p w14:paraId="3992CA97" w14:textId="0AC607FF" w:rsidR="002753DE" w:rsidRPr="002753DE" w:rsidRDefault="002753DE" w:rsidP="002753DE">
            <w:pPr>
              <w:ind w:right="26"/>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A87205">
              <w:rPr>
                <w:rFonts w:ascii="Open Sans" w:hAnsi="Open Sans" w:cs="Open Sans"/>
                <w:sz w:val="22"/>
                <w:szCs w:val="22"/>
              </w:rPr>
              <w:t>-</w:t>
            </w:r>
          </w:p>
        </w:tc>
        <w:tc>
          <w:tcPr>
            <w:tcW w:w="1694" w:type="dxa"/>
            <w:vAlign w:val="bottom"/>
          </w:tcPr>
          <w:p w14:paraId="4F72D67A" w14:textId="128C0B87" w:rsidR="002753DE" w:rsidRDefault="002753DE" w:rsidP="002753DE">
            <w:pPr>
              <w:ind w:right="3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8,8%</w:t>
            </w:r>
          </w:p>
        </w:tc>
      </w:tr>
      <w:tr w:rsidR="002753DE" w:rsidRPr="00DF7F21" w14:paraId="5562258A" w14:textId="77777777" w:rsidTr="002753D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09" w:type="dxa"/>
            <w:shd w:val="clear" w:color="auto" w:fill="1DBDC5"/>
            <w:vAlign w:val="bottom"/>
          </w:tcPr>
          <w:p w14:paraId="65ECE9B4" w14:textId="7D10C6A1" w:rsidR="002753DE" w:rsidRPr="002753DE" w:rsidRDefault="002753DE" w:rsidP="002753DE">
            <w:pPr>
              <w:rPr>
                <w:rFonts w:ascii="Open Sans" w:hAnsi="Open Sans" w:cs="Open Sans"/>
                <w:b w:val="0"/>
                <w:bCs w:val="0"/>
                <w:sz w:val="22"/>
                <w:szCs w:val="22"/>
              </w:rPr>
            </w:pPr>
            <w:r w:rsidRPr="002753DE">
              <w:rPr>
                <w:rFonts w:ascii="Open Sans" w:hAnsi="Open Sans" w:cs="Open Sans"/>
                <w:b w:val="0"/>
                <w:bCs w:val="0"/>
                <w:sz w:val="22"/>
                <w:szCs w:val="22"/>
              </w:rPr>
              <w:t>Las Palmas</w:t>
            </w:r>
          </w:p>
        </w:tc>
        <w:tc>
          <w:tcPr>
            <w:tcW w:w="2261" w:type="dxa"/>
            <w:vAlign w:val="bottom"/>
          </w:tcPr>
          <w:p w14:paraId="4CCE9A3F" w14:textId="4A781A22" w:rsidR="002753DE" w:rsidRPr="002753DE" w:rsidRDefault="002753DE" w:rsidP="002753DE">
            <w:pPr>
              <w:ind w:right="-115"/>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Teror</w:t>
            </w:r>
          </w:p>
        </w:tc>
        <w:tc>
          <w:tcPr>
            <w:tcW w:w="1567" w:type="dxa"/>
            <w:vAlign w:val="bottom"/>
          </w:tcPr>
          <w:p w14:paraId="2D004665" w14:textId="3318B66C" w:rsid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1.178 €</w:t>
            </w:r>
          </w:p>
        </w:tc>
        <w:tc>
          <w:tcPr>
            <w:tcW w:w="1701" w:type="dxa"/>
          </w:tcPr>
          <w:p w14:paraId="7E994C8E" w14:textId="6A2D7782" w:rsidR="002753DE" w:rsidRPr="002753DE" w:rsidRDefault="002753DE" w:rsidP="002753DE">
            <w:pPr>
              <w:ind w:right="26"/>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A87205">
              <w:rPr>
                <w:rFonts w:ascii="Open Sans" w:hAnsi="Open Sans" w:cs="Open Sans"/>
                <w:sz w:val="22"/>
                <w:szCs w:val="22"/>
              </w:rPr>
              <w:t>-</w:t>
            </w:r>
          </w:p>
        </w:tc>
        <w:tc>
          <w:tcPr>
            <w:tcW w:w="1694" w:type="dxa"/>
            <w:vAlign w:val="bottom"/>
          </w:tcPr>
          <w:p w14:paraId="5A1AE8CF" w14:textId="72685671" w:rsidR="002753DE" w:rsidRDefault="002753DE" w:rsidP="002753DE">
            <w:pPr>
              <w:ind w:right="3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753DE">
              <w:rPr>
                <w:rFonts w:ascii="Open Sans" w:hAnsi="Open Sans" w:cs="Open Sans"/>
                <w:sz w:val="22"/>
                <w:szCs w:val="22"/>
              </w:rPr>
              <w:t>-</w:t>
            </w:r>
          </w:p>
        </w:tc>
      </w:tr>
    </w:tbl>
    <w:p w14:paraId="3C845F9B" w14:textId="3D549E6B" w:rsidR="00B2313D" w:rsidRDefault="00B2313D" w:rsidP="00DC4348">
      <w:pPr>
        <w:spacing w:line="276" w:lineRule="auto"/>
        <w:ind w:right="-433"/>
        <w:jc w:val="right"/>
        <w:rPr>
          <w:rFonts w:ascii="Open Sans Light" w:hAnsi="Open Sans Light" w:cs="Open Sans Light"/>
          <w:b/>
          <w:iCs/>
          <w:color w:val="303AB2"/>
          <w:szCs w:val="20"/>
          <w:lang w:val="es-ES"/>
        </w:rPr>
      </w:pPr>
    </w:p>
    <w:p w14:paraId="00307925" w14:textId="77777777" w:rsidR="00B2313D" w:rsidRDefault="00B2313D" w:rsidP="00DC4348">
      <w:pPr>
        <w:spacing w:line="276" w:lineRule="auto"/>
        <w:ind w:right="-433"/>
        <w:jc w:val="right"/>
        <w:rPr>
          <w:rFonts w:ascii="Open Sans Light" w:hAnsi="Open Sans Light" w:cs="Open Sans Light"/>
          <w:b/>
          <w:iCs/>
          <w:color w:val="303AB2"/>
          <w:szCs w:val="20"/>
          <w:lang w:val="es-ES"/>
        </w:rPr>
      </w:pPr>
    </w:p>
    <w:p w14:paraId="3FE28C73" w14:textId="77777777" w:rsidR="00B20DCA" w:rsidRDefault="00B20DCA" w:rsidP="00B20DC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132F8CF" w14:textId="77777777" w:rsidR="00B20DCA" w:rsidRDefault="00B20DCA" w:rsidP="00B20DCA">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4B7FFFA8" w14:textId="77777777" w:rsidR="00B20DCA" w:rsidRDefault="00B20DCA" w:rsidP="00B20DCA">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87F9D96" w14:textId="77777777" w:rsidR="00B20DCA" w:rsidRDefault="00B20DCA" w:rsidP="00B20DCA">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2CD36E5" w14:textId="77777777" w:rsidR="00B20DCA" w:rsidRDefault="00B20DCA" w:rsidP="00B20DC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35BFB9E5" w14:textId="77777777" w:rsidR="00B20DCA" w:rsidRDefault="00B20DCA" w:rsidP="00B20DCA">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3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74B63B4" w14:textId="77777777" w:rsidR="00B20DCA" w:rsidRDefault="00B20DCA" w:rsidP="00B20DCA">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23CBE3E" w14:textId="77777777" w:rsidR="00B20DCA" w:rsidRDefault="00B20DCA" w:rsidP="00B20DCA">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2F5B1FCD" w14:textId="77777777" w:rsidR="00B20DCA" w:rsidRDefault="00B20DCA" w:rsidP="00B20DCA">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2">
        <w:r>
          <w:rPr>
            <w:rFonts w:ascii="Open Sans" w:eastAsia="Open Sans" w:hAnsi="Open Sans" w:cs="Open Sans"/>
            <w:color w:val="1155CC"/>
            <w:sz w:val="22"/>
            <w:szCs w:val="22"/>
            <w:u w:val="single"/>
          </w:rPr>
          <w:t>adevinta.es</w:t>
        </w:r>
      </w:hyperlink>
    </w:p>
    <w:p w14:paraId="55DFB5B1" w14:textId="77777777" w:rsidR="00B20DCA" w:rsidRDefault="00B20DCA" w:rsidP="00B20DCA">
      <w:pPr>
        <w:spacing w:after="160"/>
        <w:ind w:right="-716"/>
        <w:jc w:val="both"/>
        <w:rPr>
          <w:rFonts w:ascii="Open Sans" w:eastAsia="Open Sans" w:hAnsi="Open Sans" w:cs="Open Sans"/>
        </w:rPr>
      </w:pPr>
    </w:p>
    <w:p w14:paraId="024A2650" w14:textId="77777777" w:rsidR="00B20DCA" w:rsidRDefault="00B20DCA" w:rsidP="00B20DC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1AC8AD3" w14:textId="77777777" w:rsidR="00B20DCA" w:rsidRDefault="00B20DCA" w:rsidP="00B20DCA">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356B09A" w14:textId="77777777" w:rsidR="00B20DCA" w:rsidRDefault="00B20DCA" w:rsidP="00B20DCA">
      <w:pPr>
        <w:shd w:val="clear" w:color="auto" w:fill="FFFFFF"/>
        <w:spacing w:line="276" w:lineRule="auto"/>
        <w:ind w:right="-716"/>
        <w:rPr>
          <w:rFonts w:ascii="Open Sans" w:eastAsia="Open Sans" w:hAnsi="Open Sans" w:cs="Open Sans"/>
          <w:color w:val="0000FF"/>
          <w:sz w:val="22"/>
          <w:szCs w:val="22"/>
          <w:u w:val="single"/>
        </w:rPr>
      </w:pPr>
      <w:hyperlink r:id="rId33">
        <w:r>
          <w:rPr>
            <w:rFonts w:ascii="Open Sans" w:eastAsia="Open Sans" w:hAnsi="Open Sans" w:cs="Open Sans"/>
            <w:color w:val="0000FF"/>
            <w:sz w:val="22"/>
            <w:szCs w:val="22"/>
            <w:u w:val="single"/>
          </w:rPr>
          <w:t>comunicacion@fotocasa.es</w:t>
        </w:r>
      </w:hyperlink>
    </w:p>
    <w:p w14:paraId="2FC1B660" w14:textId="77777777" w:rsidR="00B20DCA" w:rsidRDefault="00B20DCA" w:rsidP="00B20DCA">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57E3DB8" w14:textId="77777777" w:rsidR="00B20DCA" w:rsidRDefault="00B20DCA" w:rsidP="00B20DCA">
      <w:pPr>
        <w:spacing w:line="276" w:lineRule="auto"/>
        <w:ind w:right="-716"/>
        <w:rPr>
          <w:rFonts w:ascii="Open Sans Light" w:eastAsia="Open Sans Light" w:hAnsi="Open Sans Light" w:cs="Open Sans Light"/>
          <w:b/>
          <w:color w:val="303AB2"/>
          <w:sz w:val="22"/>
          <w:szCs w:val="22"/>
        </w:rPr>
      </w:pPr>
    </w:p>
    <w:p w14:paraId="47128234" w14:textId="77777777" w:rsidR="00B20DCA" w:rsidRDefault="00B20DCA" w:rsidP="00B20DC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C19CDDF" w14:textId="77777777" w:rsidR="00B20DCA" w:rsidRDefault="00B20DCA" w:rsidP="00B20DCA">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4FBBAB3" w14:textId="77777777" w:rsidR="00B20DCA" w:rsidRPr="00B136A6" w:rsidRDefault="00B20DCA" w:rsidP="00B20DCA">
      <w:pPr>
        <w:shd w:val="clear" w:color="auto" w:fill="FFFFFF"/>
        <w:spacing w:line="276" w:lineRule="auto"/>
        <w:ind w:right="-716"/>
        <w:rPr>
          <w:rFonts w:ascii="Open Sans" w:eastAsia="Open Sans" w:hAnsi="Open Sans" w:cs="Open Sans"/>
          <w:color w:val="0000FF"/>
          <w:sz w:val="22"/>
          <w:szCs w:val="22"/>
          <w:u w:val="single"/>
          <w:lang w:val="en-US"/>
        </w:rPr>
      </w:pPr>
      <w:hyperlink r:id="rId34">
        <w:r w:rsidRPr="00B136A6">
          <w:rPr>
            <w:rFonts w:ascii="Open Sans" w:eastAsia="Open Sans" w:hAnsi="Open Sans" w:cs="Open Sans"/>
            <w:color w:val="0000FF"/>
            <w:sz w:val="22"/>
            <w:szCs w:val="22"/>
            <w:u w:val="single"/>
            <w:lang w:val="en-US"/>
          </w:rPr>
          <w:t>rtorne@llorenteycuenca.com</w:t>
        </w:r>
      </w:hyperlink>
      <w:r w:rsidRPr="00B136A6">
        <w:rPr>
          <w:rFonts w:ascii="Open Sans" w:eastAsia="Open Sans" w:hAnsi="Open Sans" w:cs="Open Sans"/>
          <w:color w:val="0000FF"/>
          <w:sz w:val="22"/>
          <w:szCs w:val="22"/>
          <w:lang w:val="en-US"/>
        </w:rPr>
        <w:tab/>
      </w:r>
      <w:r w:rsidRPr="00B136A6">
        <w:rPr>
          <w:rFonts w:ascii="Open Sans" w:eastAsia="Open Sans" w:hAnsi="Open Sans" w:cs="Open Sans"/>
          <w:color w:val="0000FF"/>
          <w:sz w:val="22"/>
          <w:szCs w:val="22"/>
          <w:lang w:val="en-US"/>
        </w:rPr>
        <w:tab/>
      </w:r>
      <w:r w:rsidRPr="00B136A6">
        <w:rPr>
          <w:rFonts w:ascii="Open Sans" w:eastAsia="Open Sans" w:hAnsi="Open Sans" w:cs="Open Sans"/>
          <w:color w:val="0000FF"/>
          <w:sz w:val="22"/>
          <w:szCs w:val="22"/>
          <w:lang w:val="en-US"/>
        </w:rPr>
        <w:tab/>
      </w:r>
    </w:p>
    <w:p w14:paraId="78366B4C" w14:textId="77777777" w:rsidR="00B20DCA" w:rsidRPr="00B136A6" w:rsidRDefault="00B20DCA" w:rsidP="00B20DCA">
      <w:pPr>
        <w:shd w:val="clear" w:color="auto" w:fill="FFFFFF"/>
        <w:spacing w:line="276" w:lineRule="auto"/>
        <w:ind w:right="-716"/>
        <w:rPr>
          <w:rFonts w:ascii="Open Sans" w:eastAsia="Open Sans" w:hAnsi="Open Sans" w:cs="Open Sans"/>
          <w:color w:val="000000"/>
          <w:sz w:val="22"/>
          <w:szCs w:val="22"/>
          <w:lang w:val="en-US"/>
        </w:rPr>
      </w:pPr>
      <w:r w:rsidRPr="00B136A6">
        <w:rPr>
          <w:rFonts w:ascii="Open Sans" w:eastAsia="Open Sans" w:hAnsi="Open Sans" w:cs="Open Sans"/>
          <w:color w:val="000000"/>
          <w:sz w:val="22"/>
          <w:szCs w:val="22"/>
          <w:lang w:val="en-US"/>
        </w:rPr>
        <w:t xml:space="preserve">638 68 19 85      </w:t>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r w:rsidRPr="00B136A6">
        <w:rPr>
          <w:rFonts w:ascii="Open Sans" w:eastAsia="Open Sans" w:hAnsi="Open Sans" w:cs="Open Sans"/>
          <w:color w:val="000000"/>
          <w:sz w:val="22"/>
          <w:szCs w:val="22"/>
          <w:lang w:val="en-US"/>
        </w:rPr>
        <w:tab/>
      </w:r>
    </w:p>
    <w:p w14:paraId="5ABF2FA1" w14:textId="77777777" w:rsidR="00B20DCA" w:rsidRPr="00B136A6" w:rsidRDefault="00B20DCA" w:rsidP="00B20DCA">
      <w:pPr>
        <w:shd w:val="clear" w:color="auto" w:fill="FFFFFF"/>
        <w:ind w:right="-716"/>
        <w:rPr>
          <w:rFonts w:ascii="Arial" w:eastAsia="Arial" w:hAnsi="Arial" w:cs="Arial"/>
          <w:color w:val="222222"/>
          <w:sz w:val="22"/>
          <w:szCs w:val="22"/>
          <w:lang w:val="en-US"/>
        </w:rPr>
      </w:pPr>
      <w:r w:rsidRPr="00B136A6">
        <w:rPr>
          <w:rFonts w:ascii="Arial" w:eastAsia="Arial" w:hAnsi="Arial" w:cs="Arial"/>
          <w:color w:val="222222"/>
          <w:sz w:val="22"/>
          <w:szCs w:val="22"/>
          <w:lang w:val="en-US"/>
        </w:rPr>
        <w:tab/>
      </w:r>
    </w:p>
    <w:p w14:paraId="7393186A" w14:textId="77777777" w:rsidR="00B20DCA" w:rsidRPr="00B136A6" w:rsidRDefault="00B20DCA" w:rsidP="00B20DCA">
      <w:pPr>
        <w:shd w:val="clear" w:color="auto" w:fill="FFFFFF"/>
        <w:ind w:right="-716"/>
        <w:rPr>
          <w:rFonts w:ascii="Arial" w:eastAsia="Arial" w:hAnsi="Arial" w:cs="Arial"/>
          <w:color w:val="222222"/>
          <w:sz w:val="22"/>
          <w:szCs w:val="22"/>
          <w:lang w:val="en-US"/>
        </w:rPr>
      </w:pPr>
      <w:r w:rsidRPr="00B136A6">
        <w:rPr>
          <w:rFonts w:ascii="Arial" w:eastAsia="Arial" w:hAnsi="Arial" w:cs="Arial"/>
          <w:color w:val="222222"/>
          <w:sz w:val="22"/>
          <w:szCs w:val="22"/>
          <w:lang w:val="en-US"/>
        </w:rPr>
        <w:tab/>
      </w:r>
      <w:r w:rsidRPr="00B136A6">
        <w:rPr>
          <w:rFonts w:ascii="Arial" w:eastAsia="Arial" w:hAnsi="Arial" w:cs="Arial"/>
          <w:color w:val="222222"/>
          <w:sz w:val="22"/>
          <w:szCs w:val="22"/>
          <w:lang w:val="en-US"/>
        </w:rPr>
        <w:tab/>
      </w:r>
      <w:r w:rsidRPr="00B136A6">
        <w:rPr>
          <w:rFonts w:ascii="Arial" w:eastAsia="Arial" w:hAnsi="Arial" w:cs="Arial"/>
          <w:color w:val="222222"/>
          <w:sz w:val="22"/>
          <w:szCs w:val="22"/>
          <w:lang w:val="en-US"/>
        </w:rPr>
        <w:tab/>
      </w:r>
      <w:r w:rsidRPr="00B136A6">
        <w:rPr>
          <w:rFonts w:ascii="Arial" w:eastAsia="Arial" w:hAnsi="Arial" w:cs="Arial"/>
          <w:color w:val="222222"/>
          <w:sz w:val="22"/>
          <w:szCs w:val="22"/>
          <w:lang w:val="en-US"/>
        </w:rPr>
        <w:tab/>
      </w:r>
      <w:r w:rsidRPr="00B136A6">
        <w:rPr>
          <w:rFonts w:ascii="Arial" w:eastAsia="Arial" w:hAnsi="Arial" w:cs="Arial"/>
          <w:color w:val="222222"/>
          <w:sz w:val="22"/>
          <w:szCs w:val="22"/>
          <w:lang w:val="en-US"/>
        </w:rPr>
        <w:tab/>
      </w:r>
      <w:r w:rsidRPr="00B136A6">
        <w:rPr>
          <w:rFonts w:ascii="Arial" w:eastAsia="Arial" w:hAnsi="Arial" w:cs="Arial"/>
          <w:color w:val="222222"/>
          <w:sz w:val="22"/>
          <w:szCs w:val="22"/>
          <w:lang w:val="en-US"/>
        </w:rPr>
        <w:tab/>
        <w:t xml:space="preserve">     </w:t>
      </w:r>
    </w:p>
    <w:p w14:paraId="6D1C8E0B" w14:textId="77777777" w:rsidR="00B20DCA" w:rsidRPr="00B136A6" w:rsidRDefault="00B20DCA" w:rsidP="00B20DCA">
      <w:pPr>
        <w:shd w:val="clear" w:color="auto" w:fill="FFFFFF"/>
        <w:ind w:right="-716"/>
        <w:rPr>
          <w:rFonts w:ascii="Open Sans" w:eastAsia="Open Sans" w:hAnsi="Open Sans" w:cs="Open Sans"/>
          <w:b/>
          <w:color w:val="000000"/>
          <w:sz w:val="22"/>
          <w:szCs w:val="22"/>
          <w:lang w:val="en-US"/>
        </w:rPr>
      </w:pPr>
      <w:r w:rsidRPr="00B136A6">
        <w:rPr>
          <w:rFonts w:ascii="Open Sans" w:eastAsia="Open Sans" w:hAnsi="Open Sans" w:cs="Open Sans"/>
          <w:b/>
          <w:color w:val="000000"/>
          <w:sz w:val="22"/>
          <w:szCs w:val="22"/>
          <w:lang w:val="en-US"/>
        </w:rPr>
        <w:t>Fanny Merino</w:t>
      </w:r>
    </w:p>
    <w:p w14:paraId="7B823FCB" w14:textId="77777777" w:rsidR="00B20DCA" w:rsidRPr="00B136A6" w:rsidRDefault="00B20DCA" w:rsidP="00B20DCA">
      <w:pPr>
        <w:shd w:val="clear" w:color="auto" w:fill="FFFFFF"/>
        <w:ind w:right="-716"/>
        <w:rPr>
          <w:rFonts w:ascii="Open Sans" w:eastAsia="Open Sans" w:hAnsi="Open Sans" w:cs="Open Sans"/>
          <w:b/>
          <w:color w:val="000000"/>
          <w:sz w:val="22"/>
          <w:szCs w:val="22"/>
          <w:lang w:val="en-US"/>
        </w:rPr>
      </w:pPr>
      <w:hyperlink r:id="rId35">
        <w:r w:rsidRPr="00B136A6">
          <w:rPr>
            <w:rFonts w:ascii="Open Sans" w:eastAsia="Open Sans" w:hAnsi="Open Sans" w:cs="Open Sans"/>
            <w:color w:val="0000FF"/>
            <w:sz w:val="22"/>
            <w:szCs w:val="22"/>
            <w:u w:val="single"/>
            <w:lang w:val="en-US"/>
          </w:rPr>
          <w:t>emerino@llorenteycuenca.com</w:t>
        </w:r>
      </w:hyperlink>
      <w:r w:rsidRPr="00B136A6">
        <w:rPr>
          <w:rFonts w:ascii="Open Sans" w:eastAsia="Open Sans" w:hAnsi="Open Sans" w:cs="Open Sans"/>
          <w:color w:val="0000FF"/>
          <w:sz w:val="22"/>
          <w:szCs w:val="22"/>
          <w:lang w:val="en-US"/>
        </w:rPr>
        <w:tab/>
      </w:r>
      <w:r w:rsidRPr="00B136A6">
        <w:rPr>
          <w:rFonts w:ascii="Open Sans" w:eastAsia="Open Sans" w:hAnsi="Open Sans" w:cs="Open Sans"/>
          <w:color w:val="0000FF"/>
          <w:sz w:val="22"/>
          <w:szCs w:val="22"/>
          <w:lang w:val="en-US"/>
        </w:rPr>
        <w:tab/>
      </w:r>
    </w:p>
    <w:p w14:paraId="4ED63C11" w14:textId="77777777" w:rsidR="00B20DCA" w:rsidRPr="00B136A6" w:rsidRDefault="00B20DCA" w:rsidP="00B20DCA">
      <w:pPr>
        <w:shd w:val="clear" w:color="auto" w:fill="FFFFFF"/>
        <w:ind w:right="-716"/>
        <w:rPr>
          <w:rFonts w:ascii="Open Sans" w:eastAsia="Open Sans" w:hAnsi="Open Sans" w:cs="Open Sans"/>
          <w:color w:val="000000"/>
          <w:sz w:val="22"/>
          <w:szCs w:val="22"/>
          <w:lang w:val="en-US"/>
        </w:rPr>
      </w:pPr>
      <w:r w:rsidRPr="00B136A6">
        <w:rPr>
          <w:rFonts w:ascii="Open Sans" w:eastAsia="Open Sans" w:hAnsi="Open Sans" w:cs="Open Sans"/>
          <w:color w:val="000000"/>
          <w:sz w:val="22"/>
          <w:szCs w:val="22"/>
          <w:lang w:val="en-US"/>
        </w:rPr>
        <w:t>663 35 69 75 </w:t>
      </w:r>
    </w:p>
    <w:p w14:paraId="0BCB329E" w14:textId="77777777" w:rsidR="00B20DCA" w:rsidRPr="00B136A6" w:rsidRDefault="00B20DCA" w:rsidP="00B20DCA">
      <w:pPr>
        <w:shd w:val="clear" w:color="auto" w:fill="FFFFFF"/>
        <w:ind w:right="-716"/>
        <w:rPr>
          <w:rFonts w:ascii="Open Sans" w:eastAsia="Open Sans" w:hAnsi="Open Sans" w:cs="Open Sans"/>
          <w:color w:val="000000"/>
          <w:sz w:val="22"/>
          <w:szCs w:val="22"/>
          <w:lang w:val="en-US"/>
        </w:rPr>
      </w:pPr>
    </w:p>
    <w:p w14:paraId="0D619418" w14:textId="77777777" w:rsidR="00B20DCA" w:rsidRPr="00B136A6" w:rsidRDefault="00B20DCA" w:rsidP="00B20DCA">
      <w:pPr>
        <w:shd w:val="clear" w:color="auto" w:fill="FFFFFF"/>
        <w:ind w:right="-716"/>
        <w:rPr>
          <w:rFonts w:ascii="Open Sans" w:eastAsia="Open Sans" w:hAnsi="Open Sans" w:cs="Open Sans"/>
          <w:color w:val="000000"/>
          <w:sz w:val="22"/>
          <w:szCs w:val="22"/>
          <w:lang w:val="en-US"/>
        </w:rPr>
      </w:pPr>
    </w:p>
    <w:p w14:paraId="737B1523" w14:textId="77777777" w:rsidR="00B20DCA" w:rsidRPr="00B136A6" w:rsidRDefault="00B20DCA" w:rsidP="00B20DCA">
      <w:pPr>
        <w:shd w:val="clear" w:color="auto" w:fill="FFFFFF"/>
        <w:ind w:right="-716"/>
        <w:rPr>
          <w:rFonts w:ascii="Open Sans" w:eastAsia="Open Sans" w:hAnsi="Open Sans" w:cs="Open Sans"/>
          <w:b/>
          <w:color w:val="000000"/>
          <w:sz w:val="22"/>
          <w:szCs w:val="22"/>
          <w:lang w:val="en-US"/>
        </w:rPr>
      </w:pPr>
      <w:r w:rsidRPr="00B136A6">
        <w:rPr>
          <w:rFonts w:ascii="Open Sans" w:eastAsia="Open Sans" w:hAnsi="Open Sans" w:cs="Open Sans"/>
          <w:b/>
          <w:color w:val="000000"/>
          <w:sz w:val="22"/>
          <w:szCs w:val="22"/>
          <w:lang w:val="en-US"/>
        </w:rPr>
        <w:t>Paula Iglesias</w:t>
      </w:r>
    </w:p>
    <w:p w14:paraId="53E6D74D" w14:textId="77777777" w:rsidR="00B20DCA" w:rsidRPr="00B136A6" w:rsidRDefault="00B20DCA" w:rsidP="00B20DCA">
      <w:pPr>
        <w:shd w:val="clear" w:color="auto" w:fill="FFFFFF"/>
        <w:ind w:right="-716"/>
        <w:rPr>
          <w:rFonts w:ascii="Open Sans" w:eastAsia="Open Sans" w:hAnsi="Open Sans" w:cs="Open Sans"/>
          <w:b/>
          <w:color w:val="000000"/>
          <w:sz w:val="22"/>
          <w:szCs w:val="22"/>
          <w:lang w:val="en-US"/>
        </w:rPr>
      </w:pPr>
      <w:hyperlink r:id="rId36">
        <w:r w:rsidRPr="00B136A6">
          <w:rPr>
            <w:rFonts w:ascii="Open Sans" w:eastAsia="Open Sans" w:hAnsi="Open Sans" w:cs="Open Sans"/>
            <w:color w:val="0000FF"/>
            <w:sz w:val="22"/>
            <w:szCs w:val="22"/>
            <w:u w:val="single"/>
            <w:lang w:val="en-US"/>
          </w:rPr>
          <w:t>piglesias@llorenteycuenca.com</w:t>
        </w:r>
      </w:hyperlink>
      <w:r w:rsidRPr="00B136A6">
        <w:rPr>
          <w:rFonts w:ascii="Open Sans" w:eastAsia="Open Sans" w:hAnsi="Open Sans" w:cs="Open Sans"/>
          <w:color w:val="0000FF"/>
          <w:sz w:val="22"/>
          <w:szCs w:val="22"/>
          <w:lang w:val="en-US"/>
        </w:rPr>
        <w:tab/>
      </w:r>
      <w:r w:rsidRPr="00B136A6">
        <w:rPr>
          <w:rFonts w:ascii="Open Sans" w:eastAsia="Open Sans" w:hAnsi="Open Sans" w:cs="Open Sans"/>
          <w:color w:val="0000FF"/>
          <w:sz w:val="22"/>
          <w:szCs w:val="22"/>
          <w:lang w:val="en-US"/>
        </w:rPr>
        <w:tab/>
      </w:r>
    </w:p>
    <w:p w14:paraId="59DE7AEA" w14:textId="77777777" w:rsidR="00B20DCA" w:rsidRDefault="00B20DCA" w:rsidP="00B20DCA">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71E49F6" w14:textId="77777777" w:rsidR="00B20DCA" w:rsidRDefault="00B20DCA" w:rsidP="00B20DCA">
      <w:pPr>
        <w:pBdr>
          <w:top w:val="nil"/>
          <w:left w:val="nil"/>
          <w:bottom w:val="nil"/>
          <w:right w:val="nil"/>
          <w:between w:val="nil"/>
        </w:pBdr>
        <w:shd w:val="clear" w:color="auto" w:fill="FFFFFF"/>
        <w:spacing w:line="276" w:lineRule="auto"/>
        <w:ind w:right="-433"/>
        <w:jc w:val="both"/>
        <w:rPr>
          <w:rFonts w:ascii="Times New Roman" w:eastAsia="Times New Roman" w:hAnsi="Times New Roman" w:cs="Times New Roman"/>
          <w:color w:val="000000"/>
        </w:rPr>
      </w:pPr>
    </w:p>
    <w:p w14:paraId="77F46E5E" w14:textId="77777777" w:rsidR="00C15353" w:rsidRDefault="00C15353" w:rsidP="00B20DCA">
      <w:pPr>
        <w:spacing w:line="276" w:lineRule="auto"/>
        <w:ind w:right="-433"/>
        <w:jc w:val="right"/>
      </w:pPr>
    </w:p>
    <w:sectPr w:rsidR="00C15353" w:rsidSect="00ED33D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5E8D" w14:textId="77777777" w:rsidR="009E0665" w:rsidRDefault="009E0665">
      <w:r>
        <w:separator/>
      </w:r>
    </w:p>
  </w:endnote>
  <w:endnote w:type="continuationSeparator" w:id="0">
    <w:p w14:paraId="356E708D" w14:textId="77777777" w:rsidR="009E0665" w:rsidRDefault="009E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CDA8" w14:textId="77777777" w:rsidR="009E0665" w:rsidRDefault="009E0665">
      <w:r>
        <w:separator/>
      </w:r>
    </w:p>
  </w:footnote>
  <w:footnote w:type="continuationSeparator" w:id="0">
    <w:p w14:paraId="4EEC5422" w14:textId="77777777" w:rsidR="009E0665" w:rsidRDefault="009E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618558">
    <w:abstractNumId w:val="4"/>
  </w:num>
  <w:num w:numId="2" w16cid:durableId="652372978">
    <w:abstractNumId w:val="1"/>
  </w:num>
  <w:num w:numId="3" w16cid:durableId="988708705">
    <w:abstractNumId w:val="3"/>
  </w:num>
  <w:num w:numId="4" w16cid:durableId="1069964435">
    <w:abstractNumId w:val="0"/>
  </w:num>
  <w:num w:numId="5" w16cid:durableId="898400233">
    <w:abstractNumId w:val="2"/>
  </w:num>
  <w:num w:numId="6" w16cid:durableId="196503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3C0A"/>
    <w:rsid w:val="00005993"/>
    <w:rsid w:val="00011B97"/>
    <w:rsid w:val="000135BB"/>
    <w:rsid w:val="00015117"/>
    <w:rsid w:val="0001727C"/>
    <w:rsid w:val="00020B02"/>
    <w:rsid w:val="000220D6"/>
    <w:rsid w:val="00022E9F"/>
    <w:rsid w:val="00024889"/>
    <w:rsid w:val="00041306"/>
    <w:rsid w:val="000437BB"/>
    <w:rsid w:val="000518FE"/>
    <w:rsid w:val="00052C29"/>
    <w:rsid w:val="000561F0"/>
    <w:rsid w:val="00070539"/>
    <w:rsid w:val="00072BA0"/>
    <w:rsid w:val="00073B2D"/>
    <w:rsid w:val="000817A5"/>
    <w:rsid w:val="00087FBC"/>
    <w:rsid w:val="00090B18"/>
    <w:rsid w:val="000924DA"/>
    <w:rsid w:val="000A36B2"/>
    <w:rsid w:val="000B1741"/>
    <w:rsid w:val="000B2CCF"/>
    <w:rsid w:val="000B5ADB"/>
    <w:rsid w:val="000B76BB"/>
    <w:rsid w:val="000C3F40"/>
    <w:rsid w:val="000C74BC"/>
    <w:rsid w:val="000D2F4E"/>
    <w:rsid w:val="000E4F84"/>
    <w:rsid w:val="000E765F"/>
    <w:rsid w:val="000F1542"/>
    <w:rsid w:val="000F19FD"/>
    <w:rsid w:val="000F267F"/>
    <w:rsid w:val="000F30C5"/>
    <w:rsid w:val="000F365F"/>
    <w:rsid w:val="000F6439"/>
    <w:rsid w:val="001012AC"/>
    <w:rsid w:val="0011040A"/>
    <w:rsid w:val="00111938"/>
    <w:rsid w:val="00120DC3"/>
    <w:rsid w:val="00121889"/>
    <w:rsid w:val="00125207"/>
    <w:rsid w:val="00130FF3"/>
    <w:rsid w:val="00131384"/>
    <w:rsid w:val="0013257F"/>
    <w:rsid w:val="00144279"/>
    <w:rsid w:val="001464C5"/>
    <w:rsid w:val="00152FDA"/>
    <w:rsid w:val="00163A4E"/>
    <w:rsid w:val="00170385"/>
    <w:rsid w:val="001721CB"/>
    <w:rsid w:val="001749CB"/>
    <w:rsid w:val="00175288"/>
    <w:rsid w:val="00182399"/>
    <w:rsid w:val="00183761"/>
    <w:rsid w:val="00183A56"/>
    <w:rsid w:val="00187872"/>
    <w:rsid w:val="00193448"/>
    <w:rsid w:val="00193FF1"/>
    <w:rsid w:val="00195F4F"/>
    <w:rsid w:val="00196CEB"/>
    <w:rsid w:val="001A04A8"/>
    <w:rsid w:val="001B2060"/>
    <w:rsid w:val="001C0D8F"/>
    <w:rsid w:val="001C1B1B"/>
    <w:rsid w:val="001D0ACF"/>
    <w:rsid w:val="001D4675"/>
    <w:rsid w:val="001D51ED"/>
    <w:rsid w:val="001E1AEB"/>
    <w:rsid w:val="001E1B46"/>
    <w:rsid w:val="001E7E9B"/>
    <w:rsid w:val="001F1DE2"/>
    <w:rsid w:val="001F2682"/>
    <w:rsid w:val="001F30C8"/>
    <w:rsid w:val="001F34CD"/>
    <w:rsid w:val="001F7462"/>
    <w:rsid w:val="00206EE2"/>
    <w:rsid w:val="00207D55"/>
    <w:rsid w:val="00210071"/>
    <w:rsid w:val="0021075C"/>
    <w:rsid w:val="00210A90"/>
    <w:rsid w:val="00213412"/>
    <w:rsid w:val="00214755"/>
    <w:rsid w:val="002154E8"/>
    <w:rsid w:val="00216B33"/>
    <w:rsid w:val="00220FA3"/>
    <w:rsid w:val="00227C90"/>
    <w:rsid w:val="00231414"/>
    <w:rsid w:val="00236E13"/>
    <w:rsid w:val="00240463"/>
    <w:rsid w:val="00242EA0"/>
    <w:rsid w:val="002451C4"/>
    <w:rsid w:val="00247F7A"/>
    <w:rsid w:val="0025099E"/>
    <w:rsid w:val="00253855"/>
    <w:rsid w:val="00255FC6"/>
    <w:rsid w:val="00261F74"/>
    <w:rsid w:val="002650AB"/>
    <w:rsid w:val="00265E6C"/>
    <w:rsid w:val="002753DE"/>
    <w:rsid w:val="00287E97"/>
    <w:rsid w:val="002B3A02"/>
    <w:rsid w:val="002B40F5"/>
    <w:rsid w:val="002C0EEA"/>
    <w:rsid w:val="002C1729"/>
    <w:rsid w:val="002C49BC"/>
    <w:rsid w:val="002D2954"/>
    <w:rsid w:val="002D75F6"/>
    <w:rsid w:val="002E2CE3"/>
    <w:rsid w:val="002E4898"/>
    <w:rsid w:val="002E7933"/>
    <w:rsid w:val="002F0394"/>
    <w:rsid w:val="002F1942"/>
    <w:rsid w:val="002F4A4C"/>
    <w:rsid w:val="002F5ABB"/>
    <w:rsid w:val="002F62AA"/>
    <w:rsid w:val="0030362C"/>
    <w:rsid w:val="00321698"/>
    <w:rsid w:val="00321E80"/>
    <w:rsid w:val="00326C78"/>
    <w:rsid w:val="00333116"/>
    <w:rsid w:val="00350BA5"/>
    <w:rsid w:val="003551A5"/>
    <w:rsid w:val="00355CEF"/>
    <w:rsid w:val="00356E76"/>
    <w:rsid w:val="00361F83"/>
    <w:rsid w:val="003620C3"/>
    <w:rsid w:val="003656C0"/>
    <w:rsid w:val="0037277E"/>
    <w:rsid w:val="003740F8"/>
    <w:rsid w:val="00374136"/>
    <w:rsid w:val="00385156"/>
    <w:rsid w:val="003856BB"/>
    <w:rsid w:val="0038746E"/>
    <w:rsid w:val="003903D5"/>
    <w:rsid w:val="00390D76"/>
    <w:rsid w:val="0039610D"/>
    <w:rsid w:val="003A3106"/>
    <w:rsid w:val="003A3712"/>
    <w:rsid w:val="003A44BD"/>
    <w:rsid w:val="003C2D46"/>
    <w:rsid w:val="003C3602"/>
    <w:rsid w:val="003C5691"/>
    <w:rsid w:val="003C667B"/>
    <w:rsid w:val="003C7E16"/>
    <w:rsid w:val="003D3019"/>
    <w:rsid w:val="003D3C30"/>
    <w:rsid w:val="003E20A1"/>
    <w:rsid w:val="003E6BD9"/>
    <w:rsid w:val="003F38AC"/>
    <w:rsid w:val="003F3DB5"/>
    <w:rsid w:val="003F73C7"/>
    <w:rsid w:val="0040031E"/>
    <w:rsid w:val="00410E7E"/>
    <w:rsid w:val="00422A2D"/>
    <w:rsid w:val="004256CE"/>
    <w:rsid w:val="00426024"/>
    <w:rsid w:val="004328F3"/>
    <w:rsid w:val="00435846"/>
    <w:rsid w:val="00436B0A"/>
    <w:rsid w:val="00441664"/>
    <w:rsid w:val="004416F3"/>
    <w:rsid w:val="004469C2"/>
    <w:rsid w:val="00450F6F"/>
    <w:rsid w:val="00460C69"/>
    <w:rsid w:val="00472E77"/>
    <w:rsid w:val="004A0272"/>
    <w:rsid w:val="004A18B0"/>
    <w:rsid w:val="004A5450"/>
    <w:rsid w:val="004A7150"/>
    <w:rsid w:val="004B23BF"/>
    <w:rsid w:val="004C0CE4"/>
    <w:rsid w:val="004C1FF5"/>
    <w:rsid w:val="004C3A61"/>
    <w:rsid w:val="004C43DB"/>
    <w:rsid w:val="004C67DE"/>
    <w:rsid w:val="004D3412"/>
    <w:rsid w:val="004D42E4"/>
    <w:rsid w:val="004E52F2"/>
    <w:rsid w:val="004F06DE"/>
    <w:rsid w:val="004F1465"/>
    <w:rsid w:val="004F1813"/>
    <w:rsid w:val="00500E90"/>
    <w:rsid w:val="00501682"/>
    <w:rsid w:val="00504573"/>
    <w:rsid w:val="00521119"/>
    <w:rsid w:val="0052236B"/>
    <w:rsid w:val="00523000"/>
    <w:rsid w:val="00524249"/>
    <w:rsid w:val="00525085"/>
    <w:rsid w:val="0053067E"/>
    <w:rsid w:val="005324D7"/>
    <w:rsid w:val="0053720B"/>
    <w:rsid w:val="005379BC"/>
    <w:rsid w:val="00540243"/>
    <w:rsid w:val="00540362"/>
    <w:rsid w:val="005417E2"/>
    <w:rsid w:val="00543129"/>
    <w:rsid w:val="00555E2A"/>
    <w:rsid w:val="00565ADC"/>
    <w:rsid w:val="005673F2"/>
    <w:rsid w:val="0057644A"/>
    <w:rsid w:val="00581F0C"/>
    <w:rsid w:val="00583F35"/>
    <w:rsid w:val="00595973"/>
    <w:rsid w:val="00596EEE"/>
    <w:rsid w:val="005A4900"/>
    <w:rsid w:val="005B2095"/>
    <w:rsid w:val="005B335C"/>
    <w:rsid w:val="005B5D84"/>
    <w:rsid w:val="005C319D"/>
    <w:rsid w:val="005C6DD9"/>
    <w:rsid w:val="005C7971"/>
    <w:rsid w:val="005E27C8"/>
    <w:rsid w:val="005E6074"/>
    <w:rsid w:val="005F35C3"/>
    <w:rsid w:val="005F47A1"/>
    <w:rsid w:val="005F6017"/>
    <w:rsid w:val="005F60EE"/>
    <w:rsid w:val="00604EAC"/>
    <w:rsid w:val="006052EC"/>
    <w:rsid w:val="00610924"/>
    <w:rsid w:val="00611A77"/>
    <w:rsid w:val="00611AD3"/>
    <w:rsid w:val="00612F8B"/>
    <w:rsid w:val="00614B78"/>
    <w:rsid w:val="006369E1"/>
    <w:rsid w:val="006418B7"/>
    <w:rsid w:val="00643303"/>
    <w:rsid w:val="0064787C"/>
    <w:rsid w:val="00650468"/>
    <w:rsid w:val="00653F3B"/>
    <w:rsid w:val="00654E91"/>
    <w:rsid w:val="006566E9"/>
    <w:rsid w:val="006569B0"/>
    <w:rsid w:val="00662CCB"/>
    <w:rsid w:val="00672079"/>
    <w:rsid w:val="0068178C"/>
    <w:rsid w:val="0068186B"/>
    <w:rsid w:val="00683EC4"/>
    <w:rsid w:val="0068407D"/>
    <w:rsid w:val="00687A7D"/>
    <w:rsid w:val="00696444"/>
    <w:rsid w:val="006A4C92"/>
    <w:rsid w:val="006B0C17"/>
    <w:rsid w:val="006B4463"/>
    <w:rsid w:val="006C5B0E"/>
    <w:rsid w:val="006C6A71"/>
    <w:rsid w:val="006D180D"/>
    <w:rsid w:val="006E44D2"/>
    <w:rsid w:val="006E693E"/>
    <w:rsid w:val="00703722"/>
    <w:rsid w:val="00707D88"/>
    <w:rsid w:val="00711672"/>
    <w:rsid w:val="007145DC"/>
    <w:rsid w:val="00714A4F"/>
    <w:rsid w:val="00723CF7"/>
    <w:rsid w:val="00735DA4"/>
    <w:rsid w:val="00740296"/>
    <w:rsid w:val="007516B4"/>
    <w:rsid w:val="007521EA"/>
    <w:rsid w:val="007639BC"/>
    <w:rsid w:val="00765A19"/>
    <w:rsid w:val="00767901"/>
    <w:rsid w:val="00774B3F"/>
    <w:rsid w:val="0078542A"/>
    <w:rsid w:val="00793FE3"/>
    <w:rsid w:val="007A4490"/>
    <w:rsid w:val="007A5284"/>
    <w:rsid w:val="007B0DF5"/>
    <w:rsid w:val="007B1BC2"/>
    <w:rsid w:val="007B5F84"/>
    <w:rsid w:val="007B68FC"/>
    <w:rsid w:val="007C146A"/>
    <w:rsid w:val="007D2C22"/>
    <w:rsid w:val="007D3906"/>
    <w:rsid w:val="007D4AF8"/>
    <w:rsid w:val="007D7C84"/>
    <w:rsid w:val="007F56C2"/>
    <w:rsid w:val="007F6B60"/>
    <w:rsid w:val="00803103"/>
    <w:rsid w:val="008047CB"/>
    <w:rsid w:val="00810401"/>
    <w:rsid w:val="008126EC"/>
    <w:rsid w:val="008351A6"/>
    <w:rsid w:val="00836C8C"/>
    <w:rsid w:val="00837570"/>
    <w:rsid w:val="00840150"/>
    <w:rsid w:val="00843509"/>
    <w:rsid w:val="00843C6D"/>
    <w:rsid w:val="00843EA5"/>
    <w:rsid w:val="0084531B"/>
    <w:rsid w:val="008462C0"/>
    <w:rsid w:val="00857D8E"/>
    <w:rsid w:val="00866E0D"/>
    <w:rsid w:val="00875D48"/>
    <w:rsid w:val="008764B4"/>
    <w:rsid w:val="00885845"/>
    <w:rsid w:val="008859CD"/>
    <w:rsid w:val="0089491B"/>
    <w:rsid w:val="008A6D2B"/>
    <w:rsid w:val="008B21D9"/>
    <w:rsid w:val="008B228B"/>
    <w:rsid w:val="008C00B6"/>
    <w:rsid w:val="008C0588"/>
    <w:rsid w:val="008C1DEF"/>
    <w:rsid w:val="008C6391"/>
    <w:rsid w:val="008D0AD2"/>
    <w:rsid w:val="008D4B44"/>
    <w:rsid w:val="008E081B"/>
    <w:rsid w:val="008E39FB"/>
    <w:rsid w:val="008E42F0"/>
    <w:rsid w:val="008E471D"/>
    <w:rsid w:val="008E7619"/>
    <w:rsid w:val="008F2E7E"/>
    <w:rsid w:val="008F6C64"/>
    <w:rsid w:val="009015A1"/>
    <w:rsid w:val="009027A5"/>
    <w:rsid w:val="009064C7"/>
    <w:rsid w:val="00911D2E"/>
    <w:rsid w:val="00921DDC"/>
    <w:rsid w:val="00924DF8"/>
    <w:rsid w:val="00925A07"/>
    <w:rsid w:val="00931E1A"/>
    <w:rsid w:val="00932286"/>
    <w:rsid w:val="00934843"/>
    <w:rsid w:val="00935B60"/>
    <w:rsid w:val="00935E62"/>
    <w:rsid w:val="00942EF7"/>
    <w:rsid w:val="0094649A"/>
    <w:rsid w:val="00953F07"/>
    <w:rsid w:val="00954463"/>
    <w:rsid w:val="00956275"/>
    <w:rsid w:val="009624C3"/>
    <w:rsid w:val="00962709"/>
    <w:rsid w:val="009637BF"/>
    <w:rsid w:val="00972CBE"/>
    <w:rsid w:val="0097433A"/>
    <w:rsid w:val="0097797B"/>
    <w:rsid w:val="00983892"/>
    <w:rsid w:val="009916B5"/>
    <w:rsid w:val="00992EFF"/>
    <w:rsid w:val="009938F7"/>
    <w:rsid w:val="00995A4E"/>
    <w:rsid w:val="00995CC7"/>
    <w:rsid w:val="009A0492"/>
    <w:rsid w:val="009A2653"/>
    <w:rsid w:val="009A7A86"/>
    <w:rsid w:val="009B08AE"/>
    <w:rsid w:val="009B0B5F"/>
    <w:rsid w:val="009B182B"/>
    <w:rsid w:val="009B1C80"/>
    <w:rsid w:val="009B246C"/>
    <w:rsid w:val="009B2E5C"/>
    <w:rsid w:val="009B47D8"/>
    <w:rsid w:val="009C0692"/>
    <w:rsid w:val="009C13E0"/>
    <w:rsid w:val="009C2693"/>
    <w:rsid w:val="009C2987"/>
    <w:rsid w:val="009D2E99"/>
    <w:rsid w:val="009D50E4"/>
    <w:rsid w:val="009D5C9B"/>
    <w:rsid w:val="009E0665"/>
    <w:rsid w:val="009E06D1"/>
    <w:rsid w:val="009E0747"/>
    <w:rsid w:val="009E0905"/>
    <w:rsid w:val="009E2084"/>
    <w:rsid w:val="009E295E"/>
    <w:rsid w:val="009E772D"/>
    <w:rsid w:val="009F27BD"/>
    <w:rsid w:val="009F2B2B"/>
    <w:rsid w:val="009F74D0"/>
    <w:rsid w:val="00A02FE5"/>
    <w:rsid w:val="00A11B95"/>
    <w:rsid w:val="00A14848"/>
    <w:rsid w:val="00A3723E"/>
    <w:rsid w:val="00A4207B"/>
    <w:rsid w:val="00A4348A"/>
    <w:rsid w:val="00A4474E"/>
    <w:rsid w:val="00A524EE"/>
    <w:rsid w:val="00A5478B"/>
    <w:rsid w:val="00A56D76"/>
    <w:rsid w:val="00A60BA1"/>
    <w:rsid w:val="00A62E4D"/>
    <w:rsid w:val="00A71AA8"/>
    <w:rsid w:val="00A74535"/>
    <w:rsid w:val="00A80D9C"/>
    <w:rsid w:val="00A80E98"/>
    <w:rsid w:val="00A83E4D"/>
    <w:rsid w:val="00A86265"/>
    <w:rsid w:val="00A86BFF"/>
    <w:rsid w:val="00A95050"/>
    <w:rsid w:val="00A965CA"/>
    <w:rsid w:val="00AA10D5"/>
    <w:rsid w:val="00AA29E1"/>
    <w:rsid w:val="00AB1BAD"/>
    <w:rsid w:val="00AB25F9"/>
    <w:rsid w:val="00AB62B2"/>
    <w:rsid w:val="00AC00BE"/>
    <w:rsid w:val="00AC0629"/>
    <w:rsid w:val="00AC630E"/>
    <w:rsid w:val="00AC7DAB"/>
    <w:rsid w:val="00AD5051"/>
    <w:rsid w:val="00AE6BEB"/>
    <w:rsid w:val="00AF2A08"/>
    <w:rsid w:val="00AF376F"/>
    <w:rsid w:val="00B01FD5"/>
    <w:rsid w:val="00B0315D"/>
    <w:rsid w:val="00B0529A"/>
    <w:rsid w:val="00B11292"/>
    <w:rsid w:val="00B20DCA"/>
    <w:rsid w:val="00B2313D"/>
    <w:rsid w:val="00B24A42"/>
    <w:rsid w:val="00B255E9"/>
    <w:rsid w:val="00B26924"/>
    <w:rsid w:val="00B32341"/>
    <w:rsid w:val="00B3267A"/>
    <w:rsid w:val="00B34326"/>
    <w:rsid w:val="00B369FC"/>
    <w:rsid w:val="00B41B8C"/>
    <w:rsid w:val="00B57515"/>
    <w:rsid w:val="00B7115C"/>
    <w:rsid w:val="00B829CB"/>
    <w:rsid w:val="00B90879"/>
    <w:rsid w:val="00B92B2A"/>
    <w:rsid w:val="00B94675"/>
    <w:rsid w:val="00B95D47"/>
    <w:rsid w:val="00B96A39"/>
    <w:rsid w:val="00BA3A6F"/>
    <w:rsid w:val="00BA69E1"/>
    <w:rsid w:val="00BC300D"/>
    <w:rsid w:val="00BC362C"/>
    <w:rsid w:val="00BC5A56"/>
    <w:rsid w:val="00BD2216"/>
    <w:rsid w:val="00BD7B74"/>
    <w:rsid w:val="00BE53DA"/>
    <w:rsid w:val="00BE620D"/>
    <w:rsid w:val="00BF0E75"/>
    <w:rsid w:val="00C004FE"/>
    <w:rsid w:val="00C0068B"/>
    <w:rsid w:val="00C025C1"/>
    <w:rsid w:val="00C05223"/>
    <w:rsid w:val="00C07FE0"/>
    <w:rsid w:val="00C15353"/>
    <w:rsid w:val="00C34773"/>
    <w:rsid w:val="00C417A8"/>
    <w:rsid w:val="00C4798F"/>
    <w:rsid w:val="00C51956"/>
    <w:rsid w:val="00C55FA5"/>
    <w:rsid w:val="00C5673A"/>
    <w:rsid w:val="00C60642"/>
    <w:rsid w:val="00C701BF"/>
    <w:rsid w:val="00C769F5"/>
    <w:rsid w:val="00C852B3"/>
    <w:rsid w:val="00CB5846"/>
    <w:rsid w:val="00CC5EA9"/>
    <w:rsid w:val="00CC63FC"/>
    <w:rsid w:val="00CC7FC8"/>
    <w:rsid w:val="00CD0169"/>
    <w:rsid w:val="00CD05E6"/>
    <w:rsid w:val="00CD3D75"/>
    <w:rsid w:val="00CE0B7E"/>
    <w:rsid w:val="00CE4FBD"/>
    <w:rsid w:val="00CF1608"/>
    <w:rsid w:val="00D02632"/>
    <w:rsid w:val="00D0280F"/>
    <w:rsid w:val="00D028B2"/>
    <w:rsid w:val="00D16124"/>
    <w:rsid w:val="00D20B75"/>
    <w:rsid w:val="00D241BC"/>
    <w:rsid w:val="00D26D26"/>
    <w:rsid w:val="00D32E53"/>
    <w:rsid w:val="00D41AE7"/>
    <w:rsid w:val="00D423E0"/>
    <w:rsid w:val="00D52986"/>
    <w:rsid w:val="00D532AE"/>
    <w:rsid w:val="00D64DAB"/>
    <w:rsid w:val="00D7428F"/>
    <w:rsid w:val="00D74DA0"/>
    <w:rsid w:val="00D8013F"/>
    <w:rsid w:val="00D840CC"/>
    <w:rsid w:val="00D853F7"/>
    <w:rsid w:val="00D92789"/>
    <w:rsid w:val="00D96B1D"/>
    <w:rsid w:val="00DA5868"/>
    <w:rsid w:val="00DA78AD"/>
    <w:rsid w:val="00DB2030"/>
    <w:rsid w:val="00DB4C11"/>
    <w:rsid w:val="00DB53D4"/>
    <w:rsid w:val="00DC2883"/>
    <w:rsid w:val="00DC4348"/>
    <w:rsid w:val="00DC6442"/>
    <w:rsid w:val="00DD1DD3"/>
    <w:rsid w:val="00DD24C9"/>
    <w:rsid w:val="00DD4D63"/>
    <w:rsid w:val="00DD606B"/>
    <w:rsid w:val="00DE0197"/>
    <w:rsid w:val="00DF1263"/>
    <w:rsid w:val="00DF2637"/>
    <w:rsid w:val="00DF6954"/>
    <w:rsid w:val="00DF7F21"/>
    <w:rsid w:val="00E01B8F"/>
    <w:rsid w:val="00E07F32"/>
    <w:rsid w:val="00E1526B"/>
    <w:rsid w:val="00E238FE"/>
    <w:rsid w:val="00E45120"/>
    <w:rsid w:val="00E52918"/>
    <w:rsid w:val="00E53CBF"/>
    <w:rsid w:val="00E53D07"/>
    <w:rsid w:val="00E552B2"/>
    <w:rsid w:val="00E56726"/>
    <w:rsid w:val="00E60E02"/>
    <w:rsid w:val="00E639C6"/>
    <w:rsid w:val="00E65FF6"/>
    <w:rsid w:val="00E705BB"/>
    <w:rsid w:val="00E753E1"/>
    <w:rsid w:val="00E86CA5"/>
    <w:rsid w:val="00E96A6D"/>
    <w:rsid w:val="00EA1B06"/>
    <w:rsid w:val="00EA35F3"/>
    <w:rsid w:val="00EA67DF"/>
    <w:rsid w:val="00EA6A94"/>
    <w:rsid w:val="00EB31D6"/>
    <w:rsid w:val="00EC014E"/>
    <w:rsid w:val="00EC1AC3"/>
    <w:rsid w:val="00EC3593"/>
    <w:rsid w:val="00EC35A8"/>
    <w:rsid w:val="00EC74D8"/>
    <w:rsid w:val="00ED33D5"/>
    <w:rsid w:val="00ED5014"/>
    <w:rsid w:val="00EE096D"/>
    <w:rsid w:val="00EE2537"/>
    <w:rsid w:val="00EF0EBB"/>
    <w:rsid w:val="00EF3505"/>
    <w:rsid w:val="00EF6E61"/>
    <w:rsid w:val="00F04B8F"/>
    <w:rsid w:val="00F16A77"/>
    <w:rsid w:val="00F16CE3"/>
    <w:rsid w:val="00F21D88"/>
    <w:rsid w:val="00F22AB6"/>
    <w:rsid w:val="00F45729"/>
    <w:rsid w:val="00F50B55"/>
    <w:rsid w:val="00F56BC6"/>
    <w:rsid w:val="00F6074B"/>
    <w:rsid w:val="00F63BE9"/>
    <w:rsid w:val="00F63DF9"/>
    <w:rsid w:val="00F67A53"/>
    <w:rsid w:val="00F67E11"/>
    <w:rsid w:val="00F7080E"/>
    <w:rsid w:val="00F70B83"/>
    <w:rsid w:val="00F743A8"/>
    <w:rsid w:val="00F773FA"/>
    <w:rsid w:val="00F77ADC"/>
    <w:rsid w:val="00F81A4B"/>
    <w:rsid w:val="00F8215F"/>
    <w:rsid w:val="00F82982"/>
    <w:rsid w:val="00F951F9"/>
    <w:rsid w:val="00F970CC"/>
    <w:rsid w:val="00FA19E6"/>
    <w:rsid w:val="00FA1C2E"/>
    <w:rsid w:val="00FA3FEB"/>
    <w:rsid w:val="00FA73A6"/>
    <w:rsid w:val="00FB5BD1"/>
    <w:rsid w:val="00FB6893"/>
    <w:rsid w:val="00FC62CB"/>
    <w:rsid w:val="00FD2030"/>
    <w:rsid w:val="00FE2020"/>
    <w:rsid w:val="00FE4A63"/>
    <w:rsid w:val="00FE5074"/>
    <w:rsid w:val="00FE6035"/>
    <w:rsid w:val="00FE78E2"/>
    <w:rsid w:val="00FF1073"/>
    <w:rsid w:val="00FF211B"/>
    <w:rsid w:val="00FF3ED5"/>
    <w:rsid w:val="00FF4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C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Estilo1">
    <w:name w:val="Estilo1"/>
    <w:basedOn w:val="Tablanormal"/>
    <w:uiPriority w:val="99"/>
    <w:rsid w:val="00B2313D"/>
    <w:pPr>
      <w:spacing w:after="0" w:line="240" w:lineRule="auto"/>
    </w:pPr>
    <w:tblPr/>
  </w:style>
  <w:style w:type="table" w:styleId="Tabladelista4-nfasis3">
    <w:name w:val="List Table 4 Accent 3"/>
    <w:basedOn w:val="Tablanormal"/>
    <w:uiPriority w:val="49"/>
    <w:rsid w:val="00B2313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B2313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BA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9495">
      <w:bodyDiv w:val="1"/>
      <w:marLeft w:val="0"/>
      <w:marRight w:val="0"/>
      <w:marTop w:val="0"/>
      <w:marBottom w:val="0"/>
      <w:divBdr>
        <w:top w:val="none" w:sz="0" w:space="0" w:color="auto"/>
        <w:left w:val="none" w:sz="0" w:space="0" w:color="auto"/>
        <w:bottom w:val="none" w:sz="0" w:space="0" w:color="auto"/>
        <w:right w:val="none" w:sz="0" w:space="0" w:color="auto"/>
      </w:divBdr>
    </w:div>
    <w:div w:id="209074644">
      <w:bodyDiv w:val="1"/>
      <w:marLeft w:val="0"/>
      <w:marRight w:val="0"/>
      <w:marTop w:val="0"/>
      <w:marBottom w:val="0"/>
      <w:divBdr>
        <w:top w:val="none" w:sz="0" w:space="0" w:color="auto"/>
        <w:left w:val="none" w:sz="0" w:space="0" w:color="auto"/>
        <w:bottom w:val="none" w:sz="0" w:space="0" w:color="auto"/>
        <w:right w:val="none" w:sz="0" w:space="0" w:color="auto"/>
      </w:divBdr>
    </w:div>
    <w:div w:id="491721250">
      <w:bodyDiv w:val="1"/>
      <w:marLeft w:val="0"/>
      <w:marRight w:val="0"/>
      <w:marTop w:val="0"/>
      <w:marBottom w:val="0"/>
      <w:divBdr>
        <w:top w:val="none" w:sz="0" w:space="0" w:color="auto"/>
        <w:left w:val="none" w:sz="0" w:space="0" w:color="auto"/>
        <w:bottom w:val="none" w:sz="0" w:space="0" w:color="auto"/>
        <w:right w:val="none" w:sz="0" w:space="0" w:color="auto"/>
      </w:divBdr>
    </w:div>
    <w:div w:id="493647350">
      <w:bodyDiv w:val="1"/>
      <w:marLeft w:val="0"/>
      <w:marRight w:val="0"/>
      <w:marTop w:val="0"/>
      <w:marBottom w:val="0"/>
      <w:divBdr>
        <w:top w:val="none" w:sz="0" w:space="0" w:color="auto"/>
        <w:left w:val="none" w:sz="0" w:space="0" w:color="auto"/>
        <w:bottom w:val="none" w:sz="0" w:space="0" w:color="auto"/>
        <w:right w:val="none" w:sz="0" w:space="0" w:color="auto"/>
      </w:divBdr>
    </w:div>
    <w:div w:id="1440948458">
      <w:bodyDiv w:val="1"/>
      <w:marLeft w:val="0"/>
      <w:marRight w:val="0"/>
      <w:marTop w:val="0"/>
      <w:marBottom w:val="0"/>
      <w:divBdr>
        <w:top w:val="none" w:sz="0" w:space="0" w:color="auto"/>
        <w:left w:val="none" w:sz="0" w:space="0" w:color="auto"/>
        <w:bottom w:val="none" w:sz="0" w:space="0" w:color="auto"/>
        <w:right w:val="none" w:sz="0" w:space="0" w:color="auto"/>
      </w:divBdr>
    </w:div>
    <w:div w:id="18834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https://www.fotocasa.es/es/" TargetMode="External"/><Relationship Id="rId21" Type="http://schemas.openxmlformats.org/officeDocument/2006/relationships/hyperlink" Target="https://www.fotocasa.es" TargetMode="External"/><Relationship Id="rId34"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youtu.be/tgL0Qusn47s" TargetMode="External"/><Relationship Id="rId17" Type="http://schemas.openxmlformats.org/officeDocument/2006/relationships/image" Target="media/image5.png"/><Relationship Id="rId25" Type="http://schemas.openxmlformats.org/officeDocument/2006/relationships/hyperlink" Target="https://www.fotocasa.es/es/quienes-somos/" TargetMode="External"/><Relationship Id="rId33" Type="http://schemas.openxmlformats.org/officeDocument/2006/relationships/hyperlink" Target="mailto:comunicacion@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adevinta.com/" TargetMode="External"/><Relationship Id="rId32" Type="http://schemas.openxmlformats.org/officeDocument/2006/relationships/hyperlink" Target="http://adevint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prensa.fotocasa.es" TargetMode="External"/><Relationship Id="rId28" Type="http://schemas.openxmlformats.org/officeDocument/2006/relationships/hyperlink" Target="https://www.infojobs.net/" TargetMode="External"/><Relationship Id="rId36"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image" Target="media/image7.png"/><Relationship Id="rId31" Type="http://schemas.openxmlformats.org/officeDocument/2006/relationships/hyperlink" Target="https://www.milanuncios.com/" TargetMode="External"/><Relationship Id="rId4" Type="http://schemas.openxmlformats.org/officeDocument/2006/relationships/settings" Target="settings.xml"/><Relationship Id="rId9" Type="http://schemas.openxmlformats.org/officeDocument/2006/relationships/hyperlink" Target="https://youtu.be/tgL0Qusn47s" TargetMode="External"/><Relationship Id="rId14" Type="http://schemas.openxmlformats.org/officeDocument/2006/relationships/chart" Target="charts/chart1.xml"/><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emerino@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H:\Mi%20unidad\01-SCHIBSTED\03-NOTAS%20DE%20PRENSA\01-VENTA\01-NOTAS%20DE%20PRENSA\2023\06-JUNIO\PRENSA%20VENTA%20JUN%202023.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comu!$D$107</c:f>
              <c:strCache>
                <c:ptCount val="1"/>
                <c:pt idx="0">
                  <c:v>  Variación trimestral </c:v>
                </c:pt>
              </c:strCache>
            </c:strRef>
          </c:tx>
          <c:spPr>
            <a:solidFill>
              <a:srgbClr val="61C2C7"/>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Calibri (Cuerpo)"/>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comu!$C$108:$C$120</c:f>
              <c:numCache>
                <c:formatCode>[$-C0A]mmm\-yy;@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comu!$D$108:$D$120</c:f>
              <c:numCache>
                <c:formatCode>#,##0.0"%"</c:formatCode>
                <c:ptCount val="13"/>
                <c:pt idx="0">
                  <c:v>1.5366390252157691</c:v>
                </c:pt>
                <c:pt idx="1">
                  <c:v>4.3751058903258588</c:v>
                </c:pt>
                <c:pt idx="2">
                  <c:v>3.9353111705968002</c:v>
                </c:pt>
                <c:pt idx="3">
                  <c:v>5.0123893018656274</c:v>
                </c:pt>
                <c:pt idx="4">
                  <c:v>2.8514692912448458</c:v>
                </c:pt>
                <c:pt idx="5">
                  <c:v>4.176373779041187</c:v>
                </c:pt>
                <c:pt idx="6">
                  <c:v>4.5694544377195445</c:v>
                </c:pt>
                <c:pt idx="7">
                  <c:v>4.220172868212968</c:v>
                </c:pt>
                <c:pt idx="8">
                  <c:v>2.982601916251193</c:v>
                </c:pt>
                <c:pt idx="9">
                  <c:v>3.6473010781521209</c:v>
                </c:pt>
                <c:pt idx="10">
                  <c:v>4.8685319697742147</c:v>
                </c:pt>
                <c:pt idx="11">
                  <c:v>5.7416363265082593</c:v>
                </c:pt>
                <c:pt idx="12">
                  <c:v>6.9144106764553737</c:v>
                </c:pt>
              </c:numCache>
            </c:numRef>
          </c:val>
          <c:extLst>
            <c:ext xmlns:c16="http://schemas.microsoft.com/office/drawing/2014/chart" uri="{C3380CC4-5D6E-409C-BE32-E72D297353CC}">
              <c16:uniqueId val="{00000000-B7CA-4395-9910-C51301F8B5BE}"/>
            </c:ext>
          </c:extLst>
        </c:ser>
        <c:ser>
          <c:idx val="1"/>
          <c:order val="1"/>
          <c:tx>
            <c:strRef>
              <c:f>comu!$E$107</c:f>
              <c:strCache>
                <c:ptCount val="1"/>
                <c:pt idx="0">
                  <c:v>  Variación interanual </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Calibri (Cuerpo)"/>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comu!$C$108:$C$120</c:f>
              <c:numCache>
                <c:formatCode>[$-C0A]mmm\-yy;@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comu!$E$108:$E$120</c:f>
              <c:numCache>
                <c:formatCode>#,##0.0"%"</c:formatCode>
                <c:ptCount val="13"/>
                <c:pt idx="0">
                  <c:v>1.5664323037163363</c:v>
                </c:pt>
                <c:pt idx="1">
                  <c:v>3.7644852676967488</c:v>
                </c:pt>
                <c:pt idx="2">
                  <c:v>5.3844334575923858</c:v>
                </c:pt>
                <c:pt idx="3">
                  <c:v>6.0184198422759128</c:v>
                </c:pt>
                <c:pt idx="4">
                  <c:v>7.2622829638240072</c:v>
                </c:pt>
                <c:pt idx="5">
                  <c:v>9.3184558019568939</c:v>
                </c:pt>
                <c:pt idx="6">
                  <c:v>10.911406895313336</c:v>
                </c:pt>
                <c:pt idx="7">
                  <c:v>12.121726630105645</c:v>
                </c:pt>
                <c:pt idx="8">
                  <c:v>14.744626498036917</c:v>
                </c:pt>
                <c:pt idx="9">
                  <c:v>15.564957409601154</c:v>
                </c:pt>
                <c:pt idx="10">
                  <c:v>17.328740046309356</c:v>
                </c:pt>
                <c:pt idx="11">
                  <c:v>17.907720673990092</c:v>
                </c:pt>
                <c:pt idx="12">
                  <c:v>21.68572285742858</c:v>
                </c:pt>
              </c:numCache>
            </c:numRef>
          </c:val>
          <c:extLst>
            <c:ext xmlns:c16="http://schemas.microsoft.com/office/drawing/2014/chart" uri="{C3380CC4-5D6E-409C-BE32-E72D297353CC}">
              <c16:uniqueId val="{00000001-B7CA-4395-9910-C51301F8B5BE}"/>
            </c:ext>
          </c:extLst>
        </c:ser>
        <c:dLbls>
          <c:showLegendKey val="0"/>
          <c:showVal val="0"/>
          <c:showCatName val="0"/>
          <c:showSerName val="0"/>
          <c:showPercent val="0"/>
          <c:showBubbleSize val="0"/>
        </c:dLbls>
        <c:gapWidth val="219"/>
        <c:overlap val="-27"/>
        <c:axId val="4006688"/>
        <c:axId val="2135896016"/>
      </c:barChart>
      <c:dateAx>
        <c:axId val="4006688"/>
        <c:scaling>
          <c:orientation val="minMax"/>
        </c:scaling>
        <c:delete val="0"/>
        <c:axPos val="b"/>
        <c:numFmt formatCode="[$-C0A]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Cuerpo)"/>
                <a:ea typeface="+mn-ea"/>
                <a:cs typeface="+mn-cs"/>
              </a:defRPr>
            </a:pPr>
            <a:endParaRPr lang="es-ES"/>
          </a:p>
        </c:txPr>
        <c:crossAx val="2135896016"/>
        <c:crosses val="autoZero"/>
        <c:auto val="1"/>
        <c:lblOffset val="100"/>
        <c:baseTimeUnit val="months"/>
      </c:dateAx>
      <c:valAx>
        <c:axId val="2135896016"/>
        <c:scaling>
          <c:orientation val="minMax"/>
        </c:scaling>
        <c:delete val="1"/>
        <c:axPos val="l"/>
        <c:numFmt formatCode="#,##0.0&quot;%&quot;" sourceLinked="1"/>
        <c:majorTickMark val="none"/>
        <c:minorTickMark val="none"/>
        <c:tickLblPos val="nextTo"/>
        <c:crossAx val="400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Cuerpo)"/>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Calibri (Cuerpo)"/>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2351-DAE5-455F-BF37-9C7D3C00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12</cp:revision>
  <cp:lastPrinted>2019-06-26T12:33:00Z</cp:lastPrinted>
  <dcterms:created xsi:type="dcterms:W3CDTF">2023-06-29T11:09:00Z</dcterms:created>
  <dcterms:modified xsi:type="dcterms:W3CDTF">2023-07-03T11:57:00Z</dcterms:modified>
</cp:coreProperties>
</file>