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E227A" w14:textId="77777777" w:rsidR="00D25912" w:rsidRDefault="00000000">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PERFIL DEL DEMANDANTE DE SEGUNDA RESIDENCIA</w:t>
      </w:r>
    </w:p>
    <w:p w14:paraId="185D7CC3" w14:textId="77777777" w:rsidR="00D25912" w:rsidRPr="000479D9" w:rsidRDefault="00000000">
      <w:pPr>
        <w:shd w:val="clear" w:color="auto" w:fill="FFFFFF"/>
        <w:ind w:right="-574"/>
        <w:jc w:val="center"/>
        <w:rPr>
          <w:rFonts w:ascii="National" w:eastAsia="National" w:hAnsi="National" w:cs="National"/>
          <w:b/>
          <w:color w:val="303AB2"/>
          <w:sz w:val="56"/>
          <w:szCs w:val="56"/>
        </w:rPr>
      </w:pPr>
      <w:r w:rsidRPr="000479D9">
        <w:rPr>
          <w:rFonts w:ascii="National" w:eastAsia="National" w:hAnsi="National" w:cs="National"/>
          <w:b/>
          <w:color w:val="303AB2"/>
          <w:sz w:val="56"/>
          <w:szCs w:val="56"/>
        </w:rPr>
        <w:t>Aumenta la demanda de segunda residencia y se sitúa en niveles máximos desde 2017</w:t>
      </w:r>
    </w:p>
    <w:p w14:paraId="55880188" w14:textId="77777777" w:rsidR="00D25912" w:rsidRDefault="00D25912">
      <w:pPr>
        <w:pBdr>
          <w:top w:val="nil"/>
          <w:left w:val="nil"/>
          <w:bottom w:val="nil"/>
          <w:right w:val="nil"/>
          <w:between w:val="nil"/>
        </w:pBdr>
        <w:spacing w:line="276" w:lineRule="auto"/>
        <w:ind w:right="-574"/>
        <w:jc w:val="both"/>
        <w:rPr>
          <w:rFonts w:ascii="Open Sans" w:eastAsia="Open Sans" w:hAnsi="Open Sans" w:cs="Open Sans"/>
          <w:b/>
          <w:sz w:val="22"/>
          <w:szCs w:val="22"/>
        </w:rPr>
      </w:pPr>
    </w:p>
    <w:p w14:paraId="5DAF9D30" w14:textId="77777777" w:rsidR="00D25912"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Se equilibra la demanda de compra y alquiler de segunda residencia: el 54% busca adquirirla en propiedad, mientras que el 46% se decanta por el alquiler</w:t>
      </w:r>
    </w:p>
    <w:p w14:paraId="352E3206" w14:textId="77777777" w:rsidR="00D25912"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Un tercio de los compradores de segunda residencia se plantea rentabilizar la inversión poniéndola en alquiler: un 23% por estancias cortas o vacacional y un 13% con alquiler de larga duración </w:t>
      </w:r>
    </w:p>
    <w:p w14:paraId="4841E61F" w14:textId="77777777" w:rsidR="00D25912"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41% de los demandantes de compra quiere la vivienda en una provincia diferente a la suya y en el caso de los que alquilan es el 31%</w:t>
      </w:r>
    </w:p>
    <w:p w14:paraId="23261A37" w14:textId="77777777" w:rsidR="00D25912"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Un tercio de las ventas de segunda residencia son de viviendas de obra nueva</w:t>
      </w:r>
    </w:p>
    <w:p w14:paraId="07C8797D" w14:textId="7D58E240" w:rsidR="00D25912" w:rsidRPr="00411D1C"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b/>
          <w:color w:val="000000" w:themeColor="text1"/>
          <w:sz w:val="22"/>
          <w:szCs w:val="22"/>
        </w:rPr>
      </w:pPr>
      <w:hyperlink r:id="rId8" w:history="1">
        <w:r w:rsidR="00411D1C" w:rsidRPr="00411D1C">
          <w:rPr>
            <w:rStyle w:val="Hipervnculo"/>
            <w:rFonts w:ascii="Open Sans" w:eastAsia="Open Sans" w:hAnsi="Open Sans" w:cs="Open Sans"/>
            <w:b/>
            <w:sz w:val="22"/>
            <w:szCs w:val="22"/>
          </w:rPr>
          <w:t>Aquí se puede ver un vídeo con las declaraciones de la directora de Estudios</w:t>
        </w:r>
      </w:hyperlink>
    </w:p>
    <w:p w14:paraId="30E96B28" w14:textId="77777777" w:rsidR="00D25912" w:rsidRDefault="00D25912">
      <w:pPr>
        <w:pBdr>
          <w:top w:val="nil"/>
          <w:left w:val="nil"/>
          <w:bottom w:val="nil"/>
          <w:right w:val="nil"/>
          <w:between w:val="nil"/>
        </w:pBdr>
        <w:spacing w:line="276" w:lineRule="auto"/>
        <w:ind w:right="-574"/>
        <w:jc w:val="both"/>
        <w:rPr>
          <w:rFonts w:ascii="Open Sans" w:eastAsia="Open Sans" w:hAnsi="Open Sans" w:cs="Open Sans"/>
          <w:color w:val="FF0000"/>
          <w:sz w:val="22"/>
          <w:szCs w:val="22"/>
        </w:rPr>
      </w:pPr>
    </w:p>
    <w:p w14:paraId="05C0A099" w14:textId="329F3EF9" w:rsidR="00D25912"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w:t>
      </w:r>
      <w:r w:rsidR="00FC5DC9">
        <w:rPr>
          <w:rFonts w:ascii="Open Sans Light" w:eastAsia="Open Sans Light" w:hAnsi="Open Sans Light" w:cs="Open Sans Light"/>
          <w:b/>
          <w:color w:val="303AB2"/>
        </w:rPr>
        <w:t>7</w:t>
      </w:r>
      <w:r>
        <w:rPr>
          <w:rFonts w:ascii="Open Sans Light" w:eastAsia="Open Sans Light" w:hAnsi="Open Sans Light" w:cs="Open Sans Light"/>
          <w:b/>
          <w:color w:val="303AB2"/>
        </w:rPr>
        <w:t xml:space="preserve"> de julio de 2023</w:t>
      </w:r>
    </w:p>
    <w:p w14:paraId="49DDB080" w14:textId="77777777" w:rsidR="00D25912" w:rsidRDefault="00D25912">
      <w:pPr>
        <w:spacing w:line="276" w:lineRule="auto"/>
        <w:ind w:right="-574"/>
        <w:jc w:val="both"/>
        <w:rPr>
          <w:rFonts w:ascii="Open Sans" w:eastAsia="Open Sans" w:hAnsi="Open Sans" w:cs="Open Sans"/>
          <w:color w:val="000000"/>
          <w:sz w:val="22"/>
          <w:szCs w:val="22"/>
        </w:rPr>
      </w:pPr>
    </w:p>
    <w:p w14:paraId="58C8EAB3" w14:textId="77777777" w:rsidR="00D25912"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b/>
          <w:color w:val="000000"/>
          <w:sz w:val="22"/>
          <w:szCs w:val="22"/>
        </w:rPr>
        <w:t>Continúa el incremento en España en la demanda de vivienda de segunda residencia. Así, en 2023 alcanza ya el 12% del total de demandantes</w:t>
      </w:r>
      <w:r>
        <w:rPr>
          <w:rFonts w:ascii="Open Sans" w:eastAsia="Open Sans" w:hAnsi="Open Sans" w:cs="Open Sans"/>
          <w:color w:val="000000"/>
          <w:sz w:val="22"/>
          <w:szCs w:val="22"/>
        </w:rPr>
        <w:t xml:space="preserve"> que han estado activos durante los últimos 12 meses. Si comparamos con los años anteriores, se observa que este porcentaje ha ido subiendo paulatinamente ejercicio tras ejercicio. Así, en 2020, año del estallido de la crisis sanitaria, era del 9%. Un año después, en 2021, subió al 11%, cifra que se mantuvo, con tendencia al alza, en 2022. Por lo tanto, en estos últimos cuatro años se ha producido un aumento de tres puntos porcentuales en esta demanda y actualmente se sitúa en niveles máximos de demanda desde 2017. Así lo muestra el análisis “</w:t>
      </w:r>
      <w:r w:rsidRPr="004C2CD5">
        <w:rPr>
          <w:rFonts w:ascii="Open Sans" w:eastAsia="Open Sans" w:hAnsi="Open Sans" w:cs="Open Sans"/>
          <w:b/>
          <w:bCs/>
          <w:i/>
          <w:color w:val="000000"/>
          <w:sz w:val="22"/>
          <w:szCs w:val="22"/>
        </w:rPr>
        <w:t>Perfil del demandante de segunda residencia</w:t>
      </w:r>
      <w:r>
        <w:rPr>
          <w:rFonts w:ascii="Open Sans" w:eastAsia="Open Sans" w:hAnsi="Open Sans" w:cs="Open Sans"/>
          <w:color w:val="000000"/>
          <w:sz w:val="22"/>
          <w:szCs w:val="22"/>
        </w:rPr>
        <w:t xml:space="preserve">” que realiza cada año </w:t>
      </w:r>
      <w:hyperlink r:id="rId9">
        <w:r>
          <w:rPr>
            <w:rFonts w:ascii="Open Sans" w:eastAsia="Open Sans" w:hAnsi="Open Sans" w:cs="Open Sans"/>
            <w:color w:val="1155CC"/>
            <w:sz w:val="22"/>
            <w:szCs w:val="22"/>
            <w:u w:val="single"/>
          </w:rPr>
          <w:t xml:space="preserve">Fotocasa </w:t>
        </w:r>
        <w:proofErr w:type="spellStart"/>
        <w:r>
          <w:rPr>
            <w:rFonts w:ascii="Open Sans" w:eastAsia="Open Sans" w:hAnsi="Open Sans" w:cs="Open Sans"/>
            <w:color w:val="1155CC"/>
            <w:sz w:val="22"/>
            <w:szCs w:val="22"/>
            <w:u w:val="single"/>
          </w:rPr>
          <w:t>Research</w:t>
        </w:r>
        <w:proofErr w:type="spellEnd"/>
      </w:hyperlink>
      <w:r>
        <w:rPr>
          <w:rFonts w:ascii="Open Sans" w:eastAsia="Open Sans" w:hAnsi="Open Sans" w:cs="Open Sans"/>
          <w:color w:val="000000"/>
          <w:sz w:val="22"/>
          <w:szCs w:val="22"/>
        </w:rPr>
        <w:t>.</w:t>
      </w:r>
    </w:p>
    <w:p w14:paraId="2EE0CAD1" w14:textId="77777777" w:rsidR="00D25912" w:rsidRDefault="00D25912">
      <w:pPr>
        <w:spacing w:line="276" w:lineRule="auto"/>
        <w:ind w:right="-574"/>
        <w:jc w:val="both"/>
        <w:rPr>
          <w:rFonts w:ascii="Open Sans" w:eastAsia="Open Sans" w:hAnsi="Open Sans" w:cs="Open Sans"/>
          <w:color w:val="000000"/>
          <w:sz w:val="22"/>
          <w:szCs w:val="22"/>
        </w:rPr>
      </w:pPr>
    </w:p>
    <w:p w14:paraId="5FD9A11F" w14:textId="4555541A" w:rsidR="002C2BAE"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“Tras el freno del boom por comprar vivienda vivido en 2021 y 2022, era de esperar que la compra de vivienda de segunda residencia también se resintiese en 2023 con la escalada de los tipos de interés y el endurecimiento hipotecario. Sin embargo, el interés por esta tipología continúa adquiriendo fuerza, impulsado por una mejora de las condiciones habitacionales, ya que buscan terraza o plaza de garaje, y por un periodo de incertidumbre económica en el que la inversión como valor refugio tiene más </w:t>
      </w:r>
      <w:r>
        <w:rPr>
          <w:rFonts w:ascii="Open Sans" w:eastAsia="Open Sans" w:hAnsi="Open Sans" w:cs="Open Sans"/>
          <w:sz w:val="22"/>
          <w:szCs w:val="22"/>
        </w:rPr>
        <w:lastRenderedPageBreak/>
        <w:t xml:space="preserve">protagonismo que nunca. Un tercio de los compradores se decantan por poner en alquiler esta segunda vivienda por el rendimiento que aporta”, comenta María Matos, directora de Estudios y portavoz de </w:t>
      </w:r>
      <w:hyperlink r:id="rId10" w:history="1">
        <w:r w:rsidRPr="004C2CD5">
          <w:rPr>
            <w:rStyle w:val="Hipervnculo"/>
            <w:rFonts w:ascii="Open Sans" w:eastAsia="Open Sans" w:hAnsi="Open Sans" w:cs="Open Sans"/>
            <w:sz w:val="22"/>
            <w:szCs w:val="22"/>
          </w:rPr>
          <w:t>Fotocasa</w:t>
        </w:r>
      </w:hyperlink>
      <w:r>
        <w:rPr>
          <w:rFonts w:ascii="Open Sans" w:eastAsia="Open Sans" w:hAnsi="Open Sans" w:cs="Open Sans"/>
          <w:sz w:val="22"/>
          <w:szCs w:val="22"/>
        </w:rPr>
        <w:t>.</w:t>
      </w:r>
    </w:p>
    <w:p w14:paraId="5BEEF1E1" w14:textId="77777777" w:rsidR="002C2BAE" w:rsidRDefault="002C2BAE">
      <w:pPr>
        <w:spacing w:line="276" w:lineRule="auto"/>
        <w:ind w:right="-574"/>
        <w:jc w:val="both"/>
        <w:rPr>
          <w:rFonts w:ascii="Open Sans" w:eastAsia="Open Sans" w:hAnsi="Open Sans" w:cs="Open Sans"/>
          <w:sz w:val="22"/>
          <w:szCs w:val="22"/>
        </w:rPr>
      </w:pPr>
    </w:p>
    <w:p w14:paraId="17F160CD" w14:textId="376093E9" w:rsidR="002C2BAE" w:rsidRPr="002C2BAE" w:rsidRDefault="002C2BAE" w:rsidP="002C2BAE">
      <w:pPr>
        <w:spacing w:line="276" w:lineRule="auto"/>
        <w:ind w:right="-574"/>
        <w:jc w:val="center"/>
        <w:rPr>
          <w:rFonts w:ascii="Open Sans Light" w:eastAsia="Open Sans Light" w:hAnsi="Open Sans Light" w:cs="Open Sans Light"/>
          <w:b/>
          <w:color w:val="303AB2"/>
        </w:rPr>
      </w:pPr>
      <w:r w:rsidRPr="002C2BAE">
        <w:rPr>
          <w:rFonts w:ascii="Open Sans Light" w:eastAsia="Open Sans Light" w:hAnsi="Open Sans Light" w:cs="Open Sans Light"/>
          <w:b/>
          <w:color w:val="303AB2"/>
        </w:rPr>
        <w:t>% que representa</w:t>
      </w:r>
      <w:r w:rsidRPr="002C2BAE">
        <w:rPr>
          <w:rFonts w:ascii="Open Sans Light" w:eastAsia="Open Sans Light" w:hAnsi="Open Sans Light" w:cs="Open Sans Light"/>
          <w:b/>
          <w:color w:val="303AB2"/>
        </w:rPr>
        <w:t xml:space="preserve"> la segunda residencia sobre la demanda de vivienda</w:t>
      </w:r>
    </w:p>
    <w:p w14:paraId="4C6EEAAB" w14:textId="77777777" w:rsidR="002C2BAE" w:rsidRDefault="002C2BAE">
      <w:pPr>
        <w:spacing w:line="276" w:lineRule="auto"/>
        <w:ind w:right="-574"/>
        <w:jc w:val="both"/>
        <w:rPr>
          <w:rFonts w:ascii="Open Sans" w:eastAsia="Open Sans" w:hAnsi="Open Sans" w:cs="Open Sans"/>
          <w:sz w:val="22"/>
          <w:szCs w:val="22"/>
        </w:rPr>
      </w:pPr>
    </w:p>
    <w:p w14:paraId="749C7698" w14:textId="1034B320" w:rsidR="002C2BAE" w:rsidRDefault="002C2BAE" w:rsidP="002C2BAE">
      <w:pPr>
        <w:spacing w:line="276" w:lineRule="auto"/>
        <w:ind w:right="-574"/>
        <w:jc w:val="center"/>
        <w:rPr>
          <w:rFonts w:ascii="Open Sans" w:eastAsia="Open Sans" w:hAnsi="Open Sans" w:cs="Open Sans"/>
          <w:sz w:val="22"/>
          <w:szCs w:val="22"/>
        </w:rPr>
      </w:pPr>
      <w:r>
        <w:rPr>
          <w:noProof/>
        </w:rPr>
        <w:drawing>
          <wp:inline distT="0" distB="0" distL="0" distR="0" wp14:anchorId="50C882CE" wp14:editId="0197CB58">
            <wp:extent cx="5396230" cy="2982595"/>
            <wp:effectExtent l="0" t="0" r="0" b="8255"/>
            <wp:docPr id="996537270"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37270" name="Imagen 1" descr="Gráfico, Gráfico de líneas&#10;&#10;Descripción generada automáticamente"/>
                    <pic:cNvPicPr/>
                  </pic:nvPicPr>
                  <pic:blipFill>
                    <a:blip r:embed="rId11"/>
                    <a:stretch>
                      <a:fillRect/>
                    </a:stretch>
                  </pic:blipFill>
                  <pic:spPr>
                    <a:xfrm>
                      <a:off x="0" y="0"/>
                      <a:ext cx="5396230" cy="2982595"/>
                    </a:xfrm>
                    <a:prstGeom prst="rect">
                      <a:avLst/>
                    </a:prstGeom>
                  </pic:spPr>
                </pic:pic>
              </a:graphicData>
            </a:graphic>
          </wp:inline>
        </w:drawing>
      </w:r>
    </w:p>
    <w:p w14:paraId="3FAE33EC" w14:textId="77777777" w:rsidR="00411D1C" w:rsidRDefault="00411D1C">
      <w:pPr>
        <w:spacing w:line="276" w:lineRule="auto"/>
        <w:ind w:right="-574"/>
        <w:jc w:val="both"/>
        <w:rPr>
          <w:rFonts w:ascii="Open Sans" w:eastAsia="Open Sans" w:hAnsi="Open Sans" w:cs="Open Sans"/>
          <w:sz w:val="22"/>
          <w:szCs w:val="22"/>
        </w:rPr>
      </w:pPr>
    </w:p>
    <w:p w14:paraId="4B100CA7" w14:textId="27CEF4A8" w:rsidR="00411D1C" w:rsidRPr="00411D1C" w:rsidRDefault="00000000" w:rsidP="00411D1C">
      <w:pPr>
        <w:spacing w:line="276" w:lineRule="auto"/>
        <w:ind w:right="-574"/>
        <w:jc w:val="center"/>
        <w:rPr>
          <w:rFonts w:ascii="Open Sans" w:eastAsia="Open Sans" w:hAnsi="Open Sans" w:cs="Open Sans"/>
          <w:b/>
          <w:bCs/>
        </w:rPr>
      </w:pPr>
      <w:hyperlink r:id="rId12" w:history="1">
        <w:r w:rsidR="00411D1C" w:rsidRPr="00411D1C">
          <w:rPr>
            <w:rStyle w:val="Hipervnculo"/>
            <w:rFonts w:ascii="Open Sans" w:eastAsia="Open Sans" w:hAnsi="Open Sans" w:cs="Open Sans"/>
            <w:b/>
            <w:bCs/>
          </w:rPr>
          <w:t>Declaraciones de María Matos, directora de Estudios de Fotocasa</w:t>
        </w:r>
      </w:hyperlink>
    </w:p>
    <w:p w14:paraId="73B128D9" w14:textId="77777777" w:rsidR="00411D1C" w:rsidRDefault="00411D1C">
      <w:pPr>
        <w:spacing w:line="276" w:lineRule="auto"/>
        <w:ind w:right="-574"/>
        <w:jc w:val="both"/>
        <w:rPr>
          <w:rFonts w:ascii="Open Sans" w:eastAsia="Open Sans" w:hAnsi="Open Sans" w:cs="Open Sans"/>
          <w:sz w:val="22"/>
          <w:szCs w:val="22"/>
        </w:rPr>
      </w:pPr>
    </w:p>
    <w:p w14:paraId="0F383C31" w14:textId="38365FC7" w:rsidR="00D25912" w:rsidRDefault="00411D1C">
      <w:pPr>
        <w:spacing w:line="276" w:lineRule="auto"/>
        <w:ind w:right="-574"/>
        <w:jc w:val="both"/>
        <w:rPr>
          <w:rFonts w:ascii="Open Sans" w:eastAsia="Open Sans" w:hAnsi="Open Sans" w:cs="Open Sans"/>
          <w:color w:val="000000"/>
          <w:sz w:val="22"/>
          <w:szCs w:val="22"/>
        </w:rPr>
      </w:pPr>
      <w:r>
        <w:rPr>
          <w:noProof/>
        </w:rPr>
        <w:drawing>
          <wp:inline distT="0" distB="0" distL="0" distR="0" wp14:anchorId="331C6343" wp14:editId="498C9537">
            <wp:extent cx="5755645" cy="2918460"/>
            <wp:effectExtent l="0" t="0" r="0" b="0"/>
            <wp:docPr id="516157428" name="Imagen 1" descr="Interfaz de usuario gráfica, Aplicación, Teams&#10;&#10;Descripción generada automáticamen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57428" name="Imagen 1" descr="Interfaz de usuario gráfica, Aplicación, Teams&#10;&#10;Descripción generada automáticamente">
                      <a:hlinkClick r:id="rId8"/>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528" cy="2919922"/>
                    </a:xfrm>
                    <a:prstGeom prst="rect">
                      <a:avLst/>
                    </a:prstGeom>
                    <a:noFill/>
                    <a:ln>
                      <a:noFill/>
                    </a:ln>
                  </pic:spPr>
                </pic:pic>
              </a:graphicData>
            </a:graphic>
          </wp:inline>
        </w:drawing>
      </w:r>
    </w:p>
    <w:p w14:paraId="7B69E895" w14:textId="77777777" w:rsidR="00D25912"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Además, </w:t>
      </w:r>
      <w:r>
        <w:rPr>
          <w:rFonts w:ascii="Open Sans" w:eastAsia="Open Sans" w:hAnsi="Open Sans" w:cs="Open Sans"/>
          <w:b/>
          <w:color w:val="000000"/>
          <w:sz w:val="22"/>
          <w:szCs w:val="22"/>
        </w:rPr>
        <w:t xml:space="preserve">se estrecha la diferencia entre los que buscan comprar respecto a los que pretenden </w:t>
      </w:r>
      <w:r>
        <w:rPr>
          <w:rFonts w:ascii="Open Sans" w:eastAsia="Open Sans" w:hAnsi="Open Sans" w:cs="Open Sans"/>
          <w:b/>
          <w:sz w:val="22"/>
          <w:szCs w:val="22"/>
        </w:rPr>
        <w:t>alquilar una segunda</w:t>
      </w:r>
      <w:r>
        <w:rPr>
          <w:rFonts w:ascii="Open Sans" w:eastAsia="Open Sans" w:hAnsi="Open Sans" w:cs="Open Sans"/>
          <w:b/>
          <w:color w:val="000000"/>
          <w:sz w:val="22"/>
          <w:szCs w:val="22"/>
        </w:rPr>
        <w:t xml:space="preserve"> vivienda</w:t>
      </w:r>
      <w:r>
        <w:rPr>
          <w:rFonts w:ascii="Open Sans" w:eastAsia="Open Sans" w:hAnsi="Open Sans" w:cs="Open Sans"/>
          <w:color w:val="000000"/>
          <w:sz w:val="22"/>
          <w:szCs w:val="22"/>
        </w:rPr>
        <w:t xml:space="preserve">. Tras ampliarse en 2022 la brecha entre ambos grupos —con un 65% del lado de la compra frente al 35 % del alquiler— un año después la proporción es de 54% </w:t>
      </w:r>
      <w:r>
        <w:rPr>
          <w:rFonts w:ascii="Open Sans" w:eastAsia="Open Sans" w:hAnsi="Open Sans" w:cs="Open Sans"/>
          <w:sz w:val="22"/>
          <w:szCs w:val="22"/>
        </w:rPr>
        <w:t>y 46</w:t>
      </w:r>
      <w:r>
        <w:rPr>
          <w:rFonts w:ascii="Open Sans" w:eastAsia="Open Sans" w:hAnsi="Open Sans" w:cs="Open Sans"/>
          <w:color w:val="000000"/>
          <w:sz w:val="22"/>
          <w:szCs w:val="22"/>
        </w:rPr>
        <w:t xml:space="preserve">%. Pese a este acercamiento </w:t>
      </w:r>
      <w:r>
        <w:rPr>
          <w:rFonts w:ascii="Open Sans" w:eastAsia="Open Sans" w:hAnsi="Open Sans" w:cs="Open Sans"/>
          <w:b/>
          <w:color w:val="000000"/>
          <w:sz w:val="22"/>
          <w:szCs w:val="22"/>
        </w:rPr>
        <w:t>se mantiene el cambio de tendencia experimentado a lo largo de los últimos años, dado que en la tendencia de la demanda era un 40% compra frente al 60% del alquiler</w:t>
      </w:r>
      <w:r>
        <w:rPr>
          <w:rFonts w:ascii="Open Sans" w:eastAsia="Open Sans" w:hAnsi="Open Sans" w:cs="Open Sans"/>
          <w:color w:val="000000"/>
          <w:sz w:val="22"/>
          <w:szCs w:val="22"/>
        </w:rPr>
        <w:t>. Es decir, porcentajes inversos a los actuales. Un cambio que ya empezó a apreciarse en 2021, cuando el alquiler comenzó a ‘adelgazar’ con un 56% frente a una compra que, con el 44%, comenzaba a sacar músculo.</w:t>
      </w:r>
    </w:p>
    <w:p w14:paraId="704A755B" w14:textId="77777777" w:rsidR="002C2BAE" w:rsidRDefault="002C2BAE" w:rsidP="002C2BAE">
      <w:pPr>
        <w:spacing w:line="276" w:lineRule="auto"/>
        <w:ind w:right="-574"/>
        <w:jc w:val="both"/>
        <w:rPr>
          <w:rFonts w:ascii="Open Sans Light" w:eastAsia="Open Sans Light" w:hAnsi="Open Sans Light" w:cs="Open Sans Light"/>
          <w:b/>
          <w:color w:val="303AB2"/>
        </w:rPr>
      </w:pPr>
      <w:bookmarkStart w:id="0" w:name="_heading=h.gjdgxs" w:colFirst="0" w:colLast="0"/>
      <w:bookmarkEnd w:id="0"/>
    </w:p>
    <w:p w14:paraId="290C9298" w14:textId="7722D0CC" w:rsidR="00D25912" w:rsidRPr="002C2BAE" w:rsidRDefault="002C2BAE" w:rsidP="002C2BAE">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 </w:t>
      </w:r>
      <w:r w:rsidR="00000000" w:rsidRPr="002C2BAE">
        <w:rPr>
          <w:rFonts w:ascii="Open Sans Light" w:eastAsia="Open Sans Light" w:hAnsi="Open Sans Light" w:cs="Open Sans Light"/>
          <w:b/>
          <w:color w:val="303AB2"/>
        </w:rPr>
        <w:t>que representan compradores e inquilinos sobre la demanda de 2ª residencia</w:t>
      </w:r>
    </w:p>
    <w:p w14:paraId="62608B70" w14:textId="5828F639" w:rsidR="00D25912" w:rsidRDefault="002C2BAE">
      <w:pPr>
        <w:spacing w:before="280" w:after="280" w:line="276" w:lineRule="auto"/>
        <w:jc w:val="center"/>
        <w:rPr>
          <w:sz w:val="22"/>
          <w:szCs w:val="22"/>
        </w:rPr>
      </w:pPr>
      <w:r>
        <w:rPr>
          <w:noProof/>
        </w:rPr>
        <w:drawing>
          <wp:inline distT="0" distB="0" distL="0" distR="0" wp14:anchorId="367ABECD" wp14:editId="0AA6EF67">
            <wp:extent cx="5775960" cy="3168690"/>
            <wp:effectExtent l="0" t="0" r="0" b="0"/>
            <wp:docPr id="1347604164"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04164" name="Imagen 1" descr="Gráfico, Gráfico de líneas&#10;&#10;Descripción generada automáticamente"/>
                    <pic:cNvPicPr/>
                  </pic:nvPicPr>
                  <pic:blipFill>
                    <a:blip r:embed="rId14"/>
                    <a:stretch>
                      <a:fillRect/>
                    </a:stretch>
                  </pic:blipFill>
                  <pic:spPr>
                    <a:xfrm>
                      <a:off x="0" y="0"/>
                      <a:ext cx="5788366" cy="3175496"/>
                    </a:xfrm>
                    <a:prstGeom prst="rect">
                      <a:avLst/>
                    </a:prstGeom>
                  </pic:spPr>
                </pic:pic>
              </a:graphicData>
            </a:graphic>
          </wp:inline>
        </w:drawing>
      </w:r>
    </w:p>
    <w:p w14:paraId="2CD226B3" w14:textId="77777777" w:rsidR="00D25912"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Un tercio de los compradores se plantean ponerla en alquiler</w:t>
      </w:r>
    </w:p>
    <w:p w14:paraId="152360CB" w14:textId="77777777" w:rsidR="00D25912" w:rsidRDefault="00D25912">
      <w:pPr>
        <w:spacing w:line="276" w:lineRule="auto"/>
        <w:ind w:right="-574"/>
        <w:jc w:val="both"/>
        <w:rPr>
          <w:rFonts w:ascii="Open Sans" w:eastAsia="Open Sans" w:hAnsi="Open Sans" w:cs="Open Sans"/>
          <w:color w:val="000000"/>
          <w:sz w:val="22"/>
          <w:szCs w:val="22"/>
        </w:rPr>
      </w:pPr>
    </w:p>
    <w:p w14:paraId="09451554" w14:textId="77777777" w:rsidR="00D25912"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Existe un gran consenso entre los compradores (o aspirantes a serlo) de segunda residencia de </w:t>
      </w:r>
      <w:r>
        <w:rPr>
          <w:rFonts w:ascii="Open Sans" w:eastAsia="Open Sans" w:hAnsi="Open Sans" w:cs="Open Sans"/>
          <w:sz w:val="22"/>
          <w:szCs w:val="22"/>
        </w:rPr>
        <w:t>que</w:t>
      </w:r>
      <w:r>
        <w:rPr>
          <w:rFonts w:ascii="Open Sans" w:eastAsia="Open Sans" w:hAnsi="Open Sans" w:cs="Open Sans"/>
          <w:color w:val="000000"/>
          <w:sz w:val="22"/>
          <w:szCs w:val="22"/>
        </w:rPr>
        <w:t xml:space="preserve"> constituye una buena inversión y compensa más que alquilar. Y esto lleva a hacerse otra pregunta: ¿qué uso se plantean darle a la vivienda los compradores? En este sentido, y aunque el uso mayoritario continúa siendo el de segunda residencia (64%), </w:t>
      </w:r>
      <w:r>
        <w:rPr>
          <w:rFonts w:ascii="Open Sans" w:eastAsia="Open Sans" w:hAnsi="Open Sans" w:cs="Open Sans"/>
          <w:b/>
          <w:color w:val="000000"/>
          <w:sz w:val="22"/>
          <w:szCs w:val="22"/>
        </w:rPr>
        <w:t xml:space="preserve">hay aproximadamente un tercio (36%, frente al 30% de 2022) que estaría dispuesto a alquilarla, principalmente para estancias cortas o vacacionales (23%). </w:t>
      </w:r>
      <w:r>
        <w:rPr>
          <w:rFonts w:ascii="Open Sans" w:eastAsia="Open Sans" w:hAnsi="Open Sans" w:cs="Open Sans"/>
          <w:color w:val="000000"/>
          <w:sz w:val="22"/>
          <w:szCs w:val="22"/>
        </w:rPr>
        <w:t xml:space="preserve">También hay un 13% que apuesta por el de larga duración. </w:t>
      </w:r>
    </w:p>
    <w:p w14:paraId="4A5F8E2B" w14:textId="4EDDE9DA" w:rsidR="00832DC8" w:rsidRPr="00832DC8" w:rsidRDefault="00832DC8" w:rsidP="00832DC8">
      <w:pPr>
        <w:spacing w:before="280" w:after="280" w:line="276" w:lineRule="auto"/>
        <w:rPr>
          <w:b/>
          <w:smallCaps/>
          <w:color w:val="4472C4"/>
          <w:sz w:val="28"/>
          <w:szCs w:val="28"/>
        </w:rPr>
      </w:pPr>
      <w:bookmarkStart w:id="1" w:name="_heading=h.30j0zll" w:colFirst="0" w:colLast="0"/>
      <w:bookmarkEnd w:id="1"/>
      <w:r>
        <w:rPr>
          <w:noProof/>
        </w:rPr>
        <w:lastRenderedPageBreak/>
        <w:drawing>
          <wp:inline distT="0" distB="0" distL="0" distR="0" wp14:anchorId="1FB71620" wp14:editId="6F108A22">
            <wp:extent cx="5516880" cy="3341419"/>
            <wp:effectExtent l="0" t="0" r="7620" b="0"/>
            <wp:docPr id="19516071"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071" name="Imagen 1" descr="Gráfico, Gráfico circular&#10;&#10;Descripción generada automáticamente"/>
                    <pic:cNvPicPr/>
                  </pic:nvPicPr>
                  <pic:blipFill>
                    <a:blip r:embed="rId15"/>
                    <a:stretch>
                      <a:fillRect/>
                    </a:stretch>
                  </pic:blipFill>
                  <pic:spPr>
                    <a:xfrm>
                      <a:off x="0" y="0"/>
                      <a:ext cx="5526557" cy="3347280"/>
                    </a:xfrm>
                    <a:prstGeom prst="rect">
                      <a:avLst/>
                    </a:prstGeom>
                  </pic:spPr>
                </pic:pic>
              </a:graphicData>
            </a:graphic>
          </wp:inline>
        </w:drawing>
      </w:r>
    </w:p>
    <w:p w14:paraId="7350C915" w14:textId="77777777" w:rsidR="00D25912"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su decisión de poner en alquiler la vivienda, </w:t>
      </w:r>
      <w:r>
        <w:rPr>
          <w:rFonts w:ascii="Open Sans" w:eastAsia="Open Sans" w:hAnsi="Open Sans" w:cs="Open Sans"/>
          <w:b/>
          <w:color w:val="000000"/>
          <w:sz w:val="22"/>
          <w:szCs w:val="22"/>
        </w:rPr>
        <w:t>el 68% está motivado por la rentabilidad que proporciona, mientras que el 29% afirma que lo hace para suavizar el gasto que acarrea la hipoteca de este inmueble.</w:t>
      </w:r>
      <w:r>
        <w:rPr>
          <w:rFonts w:ascii="Open Sans" w:eastAsia="Open Sans" w:hAnsi="Open Sans" w:cs="Open Sans"/>
          <w:color w:val="000000"/>
          <w:sz w:val="22"/>
          <w:szCs w:val="22"/>
        </w:rPr>
        <w:t xml:space="preserve"> También hay un 9% que quiere esperar a venderla a que el mercado mejore y crezca por tanto el valor del inmueble. </w:t>
      </w:r>
    </w:p>
    <w:p w14:paraId="7D3F322C" w14:textId="77777777" w:rsidR="00D25912" w:rsidRDefault="00D25912">
      <w:pPr>
        <w:spacing w:line="276" w:lineRule="auto"/>
        <w:ind w:right="-574"/>
        <w:jc w:val="both"/>
        <w:rPr>
          <w:rFonts w:ascii="Open Sans" w:eastAsia="Open Sans" w:hAnsi="Open Sans" w:cs="Open Sans"/>
          <w:color w:val="000000"/>
          <w:sz w:val="22"/>
          <w:szCs w:val="22"/>
        </w:rPr>
      </w:pPr>
    </w:p>
    <w:p w14:paraId="7C74B273" w14:textId="77777777" w:rsidR="00D25912"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Del 64% que no contempla poner en alquiler esa segunda vivienda, un 81% prevé su uso propio, mientras que existen otras razones como el temor a que los inquilinos estropeen la vivienda (18%) o tener problemas de impagos de la renta que les hacen desestimar la idea del alquiler (13%). </w:t>
      </w:r>
    </w:p>
    <w:p w14:paraId="23EED858" w14:textId="77777777" w:rsidR="00D25912" w:rsidRDefault="00D25912">
      <w:pPr>
        <w:spacing w:line="276" w:lineRule="auto"/>
        <w:ind w:right="-574"/>
        <w:jc w:val="both"/>
        <w:rPr>
          <w:rFonts w:ascii="Open Sans Light" w:eastAsia="Open Sans Light" w:hAnsi="Open Sans Light" w:cs="Open Sans Light"/>
          <w:b/>
          <w:color w:val="303AB2"/>
          <w:sz w:val="26"/>
          <w:szCs w:val="26"/>
        </w:rPr>
      </w:pPr>
    </w:p>
    <w:p w14:paraId="1CEE7778" w14:textId="77777777" w:rsidR="00D25912" w:rsidRDefault="00000000">
      <w:pPr>
        <w:spacing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¿Cómo es la vivienda que buscan los demandantes de segunda residencia?</w:t>
      </w:r>
    </w:p>
    <w:p w14:paraId="036A05B9" w14:textId="77777777" w:rsidR="00D25912" w:rsidRDefault="00D25912"/>
    <w:p w14:paraId="156A367E" w14:textId="77777777" w:rsidR="00D25912" w:rsidRDefault="00000000">
      <w:pPr>
        <w:spacing w:line="276" w:lineRule="auto"/>
        <w:ind w:right="-574"/>
        <w:jc w:val="both"/>
      </w:pPr>
      <w:r>
        <w:rPr>
          <w:rFonts w:ascii="Open Sans" w:eastAsia="Open Sans" w:hAnsi="Open Sans" w:cs="Open Sans"/>
          <w:color w:val="000000"/>
          <w:sz w:val="22"/>
          <w:szCs w:val="22"/>
        </w:rPr>
        <w:t xml:space="preserve">Las consideraciones que hacen los demandantes de segunda residencia en compra o alquiler son diferentes. Una característica común en ambos casos es la ubicación. Y es que, en este sentido, predominan los inmuebles situados en otra localidad diferente a la que se reside. En el caso de los compradores, el 79% de quienes efectivamente </w:t>
      </w:r>
      <w:r>
        <w:rPr>
          <w:rFonts w:ascii="Open Sans" w:eastAsia="Open Sans" w:hAnsi="Open Sans" w:cs="Open Sans"/>
          <w:b/>
          <w:color w:val="000000"/>
          <w:sz w:val="22"/>
          <w:szCs w:val="22"/>
        </w:rPr>
        <w:t>han comprado una segunda residencia lo ha hecho en una localidad distinta de donde vive habitualmente. Y, de estos, el 41% lo hace en una provincia distinta</w:t>
      </w:r>
      <w:r>
        <w:rPr>
          <w:rFonts w:ascii="Open Sans" w:eastAsia="Open Sans" w:hAnsi="Open Sans" w:cs="Open Sans"/>
          <w:color w:val="000000"/>
          <w:sz w:val="22"/>
          <w:szCs w:val="22"/>
        </w:rPr>
        <w:t xml:space="preserve">. </w:t>
      </w:r>
      <w:r>
        <w:rPr>
          <w:rFonts w:ascii="Open Sans" w:eastAsia="Open Sans" w:hAnsi="Open Sans" w:cs="Open Sans"/>
          <w:b/>
          <w:color w:val="000000"/>
          <w:sz w:val="22"/>
          <w:szCs w:val="22"/>
        </w:rPr>
        <w:t>En el caso de los inquilinos</w:t>
      </w:r>
      <w:r>
        <w:rPr>
          <w:rFonts w:ascii="Open Sans" w:eastAsia="Open Sans" w:hAnsi="Open Sans" w:cs="Open Sans"/>
          <w:color w:val="000000"/>
          <w:sz w:val="22"/>
          <w:szCs w:val="22"/>
        </w:rPr>
        <w:t xml:space="preserve">, son el 73% los que alquilan segunda residencia en otra localidad distinta a la habitual. </w:t>
      </w:r>
      <w:r>
        <w:rPr>
          <w:rFonts w:ascii="Open Sans" w:eastAsia="Open Sans" w:hAnsi="Open Sans" w:cs="Open Sans"/>
          <w:b/>
          <w:color w:val="000000"/>
          <w:sz w:val="22"/>
          <w:szCs w:val="22"/>
        </w:rPr>
        <w:t>Los que cambian provincia representan un 31%.</w:t>
      </w:r>
      <w:r>
        <w:t xml:space="preserve"> </w:t>
      </w:r>
    </w:p>
    <w:p w14:paraId="26B940AA" w14:textId="127BA8FF" w:rsidR="00D25912" w:rsidRDefault="00832DC8">
      <w:pPr>
        <w:spacing w:line="276" w:lineRule="auto"/>
        <w:ind w:right="-574"/>
        <w:jc w:val="both"/>
      </w:pPr>
      <w:r>
        <w:rPr>
          <w:noProof/>
        </w:rPr>
        <w:lastRenderedPageBreak/>
        <w:drawing>
          <wp:inline distT="0" distB="0" distL="0" distR="0" wp14:anchorId="2D0EF08A" wp14:editId="0C08F6D6">
            <wp:extent cx="5396230" cy="3830955"/>
            <wp:effectExtent l="0" t="0" r="0" b="0"/>
            <wp:docPr id="1907796784" name="Imagen 1" descr="Imagen que contiene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96784" name="Imagen 1" descr="Imagen que contiene Gráfico de barras&#10;&#10;Descripción generada automáticamente"/>
                    <pic:cNvPicPr/>
                  </pic:nvPicPr>
                  <pic:blipFill>
                    <a:blip r:embed="rId16"/>
                    <a:stretch>
                      <a:fillRect/>
                    </a:stretch>
                  </pic:blipFill>
                  <pic:spPr>
                    <a:xfrm>
                      <a:off x="0" y="0"/>
                      <a:ext cx="5396230" cy="3830955"/>
                    </a:xfrm>
                    <a:prstGeom prst="rect">
                      <a:avLst/>
                    </a:prstGeom>
                  </pic:spPr>
                </pic:pic>
              </a:graphicData>
            </a:graphic>
          </wp:inline>
        </w:drawing>
      </w:r>
    </w:p>
    <w:p w14:paraId="4D1C402D" w14:textId="77777777" w:rsidR="00832DC8" w:rsidRDefault="00832DC8">
      <w:pPr>
        <w:spacing w:line="276" w:lineRule="auto"/>
        <w:ind w:right="-574"/>
        <w:jc w:val="both"/>
        <w:rPr>
          <w:b/>
          <w:smallCaps/>
          <w:color w:val="4472C4"/>
        </w:rPr>
      </w:pPr>
      <w:bookmarkStart w:id="2" w:name="_heading=h.1fob9te" w:colFirst="0" w:colLast="0"/>
      <w:bookmarkEnd w:id="2"/>
    </w:p>
    <w:p w14:paraId="53F15025" w14:textId="77777777" w:rsidR="00D25912" w:rsidRDefault="00D25912">
      <w:pPr>
        <w:spacing w:line="276" w:lineRule="auto"/>
        <w:ind w:right="-574"/>
        <w:jc w:val="both"/>
        <w:rPr>
          <w:rFonts w:ascii="Open Sans" w:eastAsia="Open Sans" w:hAnsi="Open Sans" w:cs="Open Sans"/>
          <w:color w:val="000000"/>
          <w:sz w:val="22"/>
          <w:szCs w:val="22"/>
        </w:rPr>
      </w:pPr>
    </w:p>
    <w:p w14:paraId="1D4F6539" w14:textId="1730224E" w:rsidR="00D25912" w:rsidRDefault="00DE0616">
      <w:pPr>
        <w:spacing w:line="276" w:lineRule="auto"/>
        <w:ind w:right="-574"/>
        <w:jc w:val="both"/>
        <w:rPr>
          <w:rFonts w:ascii="Open Sans" w:eastAsia="Open Sans" w:hAnsi="Open Sans" w:cs="Open Sans"/>
          <w:color w:val="000000"/>
          <w:sz w:val="22"/>
          <w:szCs w:val="22"/>
        </w:rPr>
      </w:pPr>
      <w:r>
        <w:rPr>
          <w:noProof/>
        </w:rPr>
        <w:drawing>
          <wp:inline distT="0" distB="0" distL="0" distR="0" wp14:anchorId="2CA0D08C" wp14:editId="25BA7DCB">
            <wp:extent cx="5905308" cy="2872740"/>
            <wp:effectExtent l="0" t="0" r="635" b="3810"/>
            <wp:docPr id="111853445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34452" name="Imagen 1" descr="Imagen que contiene Interfaz de usuario gráfica&#10;&#10;Descripción generada automáticamente"/>
                    <pic:cNvPicPr/>
                  </pic:nvPicPr>
                  <pic:blipFill>
                    <a:blip r:embed="rId17"/>
                    <a:stretch>
                      <a:fillRect/>
                    </a:stretch>
                  </pic:blipFill>
                  <pic:spPr>
                    <a:xfrm>
                      <a:off x="0" y="0"/>
                      <a:ext cx="5913511" cy="2876730"/>
                    </a:xfrm>
                    <a:prstGeom prst="rect">
                      <a:avLst/>
                    </a:prstGeom>
                  </pic:spPr>
                </pic:pic>
              </a:graphicData>
            </a:graphic>
          </wp:inline>
        </w:drawing>
      </w:r>
    </w:p>
    <w:p w14:paraId="15E44510" w14:textId="77777777" w:rsidR="00DE0616" w:rsidRDefault="00DE0616">
      <w:pPr>
        <w:spacing w:line="276" w:lineRule="auto"/>
        <w:ind w:right="-574"/>
        <w:jc w:val="both"/>
        <w:rPr>
          <w:rFonts w:ascii="Open Sans Light" w:eastAsia="Open Sans Light" w:hAnsi="Open Sans Light" w:cs="Open Sans Light"/>
          <w:b/>
          <w:color w:val="303AB2"/>
          <w:sz w:val="26"/>
          <w:szCs w:val="26"/>
        </w:rPr>
      </w:pPr>
      <w:bookmarkStart w:id="3" w:name="_heading=h.3znysh7" w:colFirst="0" w:colLast="0"/>
      <w:bookmarkEnd w:id="3"/>
    </w:p>
    <w:p w14:paraId="62384ABD" w14:textId="77777777" w:rsidR="00DE0616" w:rsidRDefault="00DE0616">
      <w:pPr>
        <w:spacing w:line="276" w:lineRule="auto"/>
        <w:ind w:right="-574"/>
        <w:jc w:val="both"/>
        <w:rPr>
          <w:rFonts w:ascii="Open Sans Light" w:eastAsia="Open Sans Light" w:hAnsi="Open Sans Light" w:cs="Open Sans Light"/>
          <w:b/>
          <w:color w:val="303AB2"/>
          <w:sz w:val="26"/>
          <w:szCs w:val="26"/>
        </w:rPr>
      </w:pPr>
    </w:p>
    <w:p w14:paraId="2BC621ED" w14:textId="77777777" w:rsidR="00DE0616" w:rsidRDefault="00DE0616">
      <w:pPr>
        <w:spacing w:line="276" w:lineRule="auto"/>
        <w:ind w:right="-574"/>
        <w:jc w:val="both"/>
        <w:rPr>
          <w:rFonts w:ascii="Open Sans Light" w:eastAsia="Open Sans Light" w:hAnsi="Open Sans Light" w:cs="Open Sans Light"/>
          <w:b/>
          <w:color w:val="303AB2"/>
          <w:sz w:val="26"/>
          <w:szCs w:val="26"/>
        </w:rPr>
      </w:pPr>
    </w:p>
    <w:p w14:paraId="09EAEAD7" w14:textId="713A3CB8" w:rsidR="00D25912" w:rsidRDefault="00000000">
      <w:pPr>
        <w:spacing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lastRenderedPageBreak/>
        <w:t>Obra nueva: un tercio de las ventas de segunda residencia</w:t>
      </w:r>
    </w:p>
    <w:p w14:paraId="143FF740" w14:textId="77777777" w:rsidR="00D25912" w:rsidRDefault="00D25912">
      <w:pPr>
        <w:spacing w:line="276" w:lineRule="auto"/>
        <w:ind w:right="-574"/>
        <w:jc w:val="both"/>
        <w:rPr>
          <w:rFonts w:ascii="Open Sans" w:eastAsia="Open Sans" w:hAnsi="Open Sans" w:cs="Open Sans"/>
          <w:color w:val="000000"/>
          <w:sz w:val="22"/>
          <w:szCs w:val="22"/>
        </w:rPr>
      </w:pPr>
    </w:p>
    <w:p w14:paraId="74FD0E1D" w14:textId="77777777" w:rsidR="00D25912"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obra nueva mantiene el interés en el mercado de compraventa de segunda residencia. Más de la mitad (un 53%) de quienes han comprado una casa de vacaciones contemplaba la opción de obra nueva cuando comenzó su búsqueda. Este porcentaje se desglosa en un 18% que solo consideró la opción de nuevas construcciones y un relevante 35% que compaginó esa opción con la de vivienda usada. </w:t>
      </w:r>
    </w:p>
    <w:p w14:paraId="2B1373C2" w14:textId="77777777" w:rsidR="00D25912" w:rsidRDefault="00D25912">
      <w:pPr>
        <w:spacing w:line="276" w:lineRule="auto"/>
        <w:ind w:right="-574"/>
        <w:jc w:val="both"/>
        <w:rPr>
          <w:rFonts w:ascii="Open Sans" w:eastAsia="Open Sans" w:hAnsi="Open Sans" w:cs="Open Sans"/>
          <w:color w:val="000000"/>
          <w:sz w:val="22"/>
          <w:szCs w:val="22"/>
        </w:rPr>
      </w:pPr>
    </w:p>
    <w:p w14:paraId="244CB1D2" w14:textId="77777777" w:rsidR="00D25912"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Pero incluso más significativo es que un 31% de estos compradores de segunda residencia hayan adquirido obra nueva, un porcentaje que en dos años ha crecido casi 10 puntos. </w:t>
      </w:r>
    </w:p>
    <w:p w14:paraId="2D4E7EB0" w14:textId="77777777" w:rsidR="00D25912" w:rsidRDefault="00D25912">
      <w:pPr>
        <w:spacing w:line="276" w:lineRule="auto"/>
        <w:ind w:right="-574"/>
        <w:jc w:val="both"/>
        <w:rPr>
          <w:rFonts w:ascii="Open Sans" w:eastAsia="Open Sans" w:hAnsi="Open Sans" w:cs="Open Sans"/>
          <w:color w:val="000000"/>
          <w:sz w:val="22"/>
          <w:szCs w:val="22"/>
        </w:rPr>
      </w:pPr>
    </w:p>
    <w:p w14:paraId="375EDEA9" w14:textId="3FBF4739" w:rsidR="00D25912" w:rsidRDefault="005A23A4">
      <w:pPr>
        <w:spacing w:line="276" w:lineRule="auto"/>
        <w:ind w:right="-574"/>
        <w:jc w:val="both"/>
        <w:rPr>
          <w:rFonts w:ascii="Open Sans" w:eastAsia="Open Sans" w:hAnsi="Open Sans" w:cs="Open Sans"/>
          <w:color w:val="000000"/>
          <w:sz w:val="22"/>
          <w:szCs w:val="22"/>
        </w:rPr>
      </w:pPr>
      <w:r>
        <w:rPr>
          <w:noProof/>
        </w:rPr>
        <w:drawing>
          <wp:inline distT="0" distB="0" distL="0" distR="0" wp14:anchorId="281C2C2D" wp14:editId="05CBB37B">
            <wp:extent cx="5760225" cy="3215640"/>
            <wp:effectExtent l="0" t="0" r="0" b="3810"/>
            <wp:docPr id="1272158361"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58361" name="Imagen 1" descr="Gráfico, Gráfico de barras&#10;&#10;Descripción generada automáticamente"/>
                    <pic:cNvPicPr/>
                  </pic:nvPicPr>
                  <pic:blipFill>
                    <a:blip r:embed="rId18"/>
                    <a:stretch>
                      <a:fillRect/>
                    </a:stretch>
                  </pic:blipFill>
                  <pic:spPr>
                    <a:xfrm>
                      <a:off x="0" y="0"/>
                      <a:ext cx="5763120" cy="3217256"/>
                    </a:xfrm>
                    <a:prstGeom prst="rect">
                      <a:avLst/>
                    </a:prstGeom>
                  </pic:spPr>
                </pic:pic>
              </a:graphicData>
            </a:graphic>
          </wp:inline>
        </w:drawing>
      </w:r>
    </w:p>
    <w:p w14:paraId="4D90C020" w14:textId="77777777" w:rsidR="00D25912" w:rsidRDefault="00D25912">
      <w:pPr>
        <w:spacing w:line="276" w:lineRule="auto"/>
        <w:ind w:right="-574"/>
        <w:jc w:val="both"/>
        <w:rPr>
          <w:rFonts w:ascii="Open Sans" w:eastAsia="Open Sans" w:hAnsi="Open Sans" w:cs="Open Sans"/>
          <w:color w:val="000000"/>
          <w:sz w:val="22"/>
          <w:szCs w:val="22"/>
        </w:rPr>
      </w:pPr>
    </w:p>
    <w:p w14:paraId="45277772" w14:textId="77777777" w:rsidR="00D25912" w:rsidRDefault="00D25912">
      <w:pPr>
        <w:spacing w:line="276" w:lineRule="auto"/>
        <w:ind w:right="-574"/>
        <w:jc w:val="both"/>
        <w:rPr>
          <w:rFonts w:ascii="Open Sans" w:eastAsia="Open Sans" w:hAnsi="Open Sans" w:cs="Open Sans"/>
          <w:color w:val="000000"/>
          <w:sz w:val="22"/>
          <w:szCs w:val="22"/>
        </w:rPr>
      </w:pPr>
    </w:p>
    <w:p w14:paraId="161E38DE" w14:textId="77777777" w:rsidR="00D25912" w:rsidRDefault="00D25912">
      <w:pPr>
        <w:spacing w:line="276" w:lineRule="auto"/>
        <w:ind w:right="-574"/>
        <w:jc w:val="both"/>
        <w:rPr>
          <w:rFonts w:ascii="Open Sans" w:eastAsia="Open Sans" w:hAnsi="Open Sans" w:cs="Open Sans"/>
          <w:color w:val="000000"/>
          <w:sz w:val="22"/>
          <w:szCs w:val="22"/>
        </w:rPr>
      </w:pPr>
    </w:p>
    <w:p w14:paraId="20785812" w14:textId="77777777" w:rsidR="00D25912" w:rsidRDefault="00D25912">
      <w:pPr>
        <w:spacing w:line="276" w:lineRule="auto"/>
        <w:ind w:right="-574"/>
        <w:jc w:val="both"/>
        <w:rPr>
          <w:rFonts w:ascii="Open Sans" w:eastAsia="Open Sans" w:hAnsi="Open Sans" w:cs="Open Sans"/>
          <w:color w:val="000000"/>
          <w:sz w:val="22"/>
          <w:szCs w:val="22"/>
        </w:rPr>
      </w:pPr>
    </w:p>
    <w:p w14:paraId="43D75F97" w14:textId="77777777" w:rsidR="00D25912" w:rsidRDefault="00D25912">
      <w:pPr>
        <w:spacing w:line="276" w:lineRule="auto"/>
        <w:ind w:right="-574"/>
        <w:jc w:val="both"/>
        <w:rPr>
          <w:rFonts w:ascii="Open Sans" w:eastAsia="Open Sans" w:hAnsi="Open Sans" w:cs="Open Sans"/>
          <w:color w:val="000000"/>
          <w:sz w:val="22"/>
          <w:szCs w:val="22"/>
        </w:rPr>
      </w:pPr>
    </w:p>
    <w:p w14:paraId="1128DFB5" w14:textId="77777777" w:rsidR="005A23A4" w:rsidRDefault="005A23A4">
      <w:pPr>
        <w:spacing w:line="276" w:lineRule="auto"/>
        <w:ind w:right="-716"/>
        <w:jc w:val="right"/>
        <w:rPr>
          <w:rFonts w:ascii="Open Sans Light" w:eastAsia="Open Sans Light" w:hAnsi="Open Sans Light" w:cs="Open Sans Light"/>
          <w:b/>
          <w:color w:val="303AB2"/>
        </w:rPr>
      </w:pPr>
    </w:p>
    <w:p w14:paraId="6B11CAA7" w14:textId="77777777" w:rsidR="005A23A4" w:rsidRDefault="005A23A4">
      <w:pPr>
        <w:spacing w:line="276" w:lineRule="auto"/>
        <w:ind w:right="-716"/>
        <w:jc w:val="right"/>
        <w:rPr>
          <w:rFonts w:ascii="Open Sans Light" w:eastAsia="Open Sans Light" w:hAnsi="Open Sans Light" w:cs="Open Sans Light"/>
          <w:b/>
          <w:color w:val="303AB2"/>
        </w:rPr>
      </w:pPr>
    </w:p>
    <w:p w14:paraId="02476F71" w14:textId="77777777" w:rsidR="005A23A4" w:rsidRDefault="005A23A4">
      <w:pPr>
        <w:spacing w:line="276" w:lineRule="auto"/>
        <w:ind w:right="-716"/>
        <w:jc w:val="right"/>
        <w:rPr>
          <w:rFonts w:ascii="Open Sans Light" w:eastAsia="Open Sans Light" w:hAnsi="Open Sans Light" w:cs="Open Sans Light"/>
          <w:b/>
          <w:color w:val="303AB2"/>
        </w:rPr>
      </w:pPr>
    </w:p>
    <w:p w14:paraId="30C986F0" w14:textId="77777777" w:rsidR="005A23A4" w:rsidRDefault="005A23A4">
      <w:pPr>
        <w:spacing w:line="276" w:lineRule="auto"/>
        <w:ind w:right="-716"/>
        <w:jc w:val="right"/>
        <w:rPr>
          <w:rFonts w:ascii="Open Sans Light" w:eastAsia="Open Sans Light" w:hAnsi="Open Sans Light" w:cs="Open Sans Light"/>
          <w:b/>
          <w:color w:val="303AB2"/>
        </w:rPr>
      </w:pPr>
    </w:p>
    <w:p w14:paraId="03CCF3AF" w14:textId="098AE6EB" w:rsidR="00D25912"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68AD4176" w14:textId="77777777" w:rsidR="00D25912"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9">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20">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4" w:name="_heading=h.2s8eyo1" w:colFirst="0" w:colLast="0"/>
    <w:bookmarkEnd w:id="4"/>
    <w:p w14:paraId="59B5313E" w14:textId="77777777" w:rsidR="00D25912"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p>
    <w:p w14:paraId="172F0E83" w14:textId="77777777" w:rsidR="00D25912" w:rsidRDefault="00000000">
      <w:pPr>
        <w:shd w:val="clear" w:color="auto" w:fill="FFFFFF"/>
        <w:spacing w:before="280" w:after="280" w:line="276" w:lineRule="auto"/>
        <w:ind w:right="-716"/>
        <w:jc w:val="both"/>
        <w:rPr>
          <w:rFonts w:ascii="Open Sans" w:eastAsia="Open Sans" w:hAnsi="Open Sans" w:cs="Open Sans"/>
          <w:color w:val="000000"/>
          <w:sz w:val="22"/>
          <w:szCs w:val="22"/>
        </w:rPr>
      </w:pPr>
      <w:hyperlink r:id="rId21">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034C7C27" w14:textId="77777777" w:rsidR="00D25912"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28439F5D" w14:textId="77777777" w:rsidR="00D25912" w:rsidRDefault="00000000">
      <w:pPr>
        <w:spacing w:before="143" w:after="200"/>
        <w:ind w:right="-716"/>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2">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4">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5">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6">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4545794C" w14:textId="77777777" w:rsidR="00D25912" w:rsidRDefault="00000000">
      <w:pPr>
        <w:spacing w:before="143" w:after="20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154B202B" w14:textId="77777777" w:rsidR="00D25912" w:rsidRDefault="00000000">
      <w:pPr>
        <w:spacing w:before="143" w:after="200"/>
        <w:ind w:right="-716"/>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11 países. El conjunto de sus plataformas locales recibe un promedio de 3.000 millones de visitas cada mes. </w:t>
      </w:r>
    </w:p>
    <w:p w14:paraId="7E1DD700" w14:textId="77777777" w:rsidR="00D25912" w:rsidRDefault="00000000">
      <w:pPr>
        <w:spacing w:after="160"/>
        <w:ind w:right="-716"/>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7">
        <w:r>
          <w:rPr>
            <w:rFonts w:ascii="Open Sans" w:eastAsia="Open Sans" w:hAnsi="Open Sans" w:cs="Open Sans"/>
            <w:color w:val="1155CC"/>
            <w:sz w:val="22"/>
            <w:szCs w:val="22"/>
            <w:u w:val="single"/>
          </w:rPr>
          <w:t>adevinta.es</w:t>
        </w:r>
      </w:hyperlink>
    </w:p>
    <w:p w14:paraId="59CE22D8" w14:textId="77777777" w:rsidR="00D25912" w:rsidRDefault="00D25912">
      <w:pPr>
        <w:spacing w:after="160"/>
        <w:ind w:right="-716"/>
        <w:jc w:val="both"/>
        <w:rPr>
          <w:rFonts w:ascii="Open Sans" w:eastAsia="Open Sans" w:hAnsi="Open Sans" w:cs="Open Sans"/>
        </w:rPr>
      </w:pPr>
    </w:p>
    <w:p w14:paraId="541B9E72" w14:textId="77777777" w:rsidR="00D25912"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29A5D6C" w14:textId="77777777" w:rsidR="00D25912"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6FEC231" w14:textId="77777777" w:rsidR="00D25912" w:rsidRDefault="00000000">
      <w:pPr>
        <w:shd w:val="clear" w:color="auto" w:fill="FFFFFF"/>
        <w:spacing w:line="276" w:lineRule="auto"/>
        <w:ind w:right="-716"/>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comunicacion@fotocasa.es</w:t>
        </w:r>
      </w:hyperlink>
    </w:p>
    <w:p w14:paraId="666C8FFD" w14:textId="77777777" w:rsidR="00D25912" w:rsidRDefault="00000000">
      <w:pPr>
        <w:shd w:val="clear" w:color="auto" w:fill="FFFFFF"/>
        <w:spacing w:line="276" w:lineRule="auto"/>
        <w:ind w:right="-71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6DDCD3F8" w14:textId="77777777" w:rsidR="00D25912" w:rsidRDefault="00D25912">
      <w:pPr>
        <w:spacing w:line="276" w:lineRule="auto"/>
        <w:ind w:right="-716"/>
        <w:rPr>
          <w:rFonts w:ascii="Open Sans Light" w:eastAsia="Open Sans Light" w:hAnsi="Open Sans Light" w:cs="Open Sans Light"/>
          <w:b/>
          <w:color w:val="303AB2"/>
          <w:sz w:val="22"/>
          <w:szCs w:val="22"/>
        </w:rPr>
      </w:pPr>
    </w:p>
    <w:p w14:paraId="4BBCC2FC" w14:textId="77777777" w:rsidR="00D25912"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23911AFC" w14:textId="77777777" w:rsidR="00D25912"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10C4FC6F" w14:textId="77777777" w:rsidR="00D25912" w:rsidRPr="004C2CD5" w:rsidRDefault="00000000">
      <w:pPr>
        <w:shd w:val="clear" w:color="auto" w:fill="FFFFFF"/>
        <w:spacing w:line="276" w:lineRule="auto"/>
        <w:ind w:right="-716"/>
        <w:rPr>
          <w:rFonts w:ascii="Open Sans" w:eastAsia="Open Sans" w:hAnsi="Open Sans" w:cs="Open Sans"/>
          <w:color w:val="0000FF"/>
          <w:sz w:val="22"/>
          <w:szCs w:val="22"/>
          <w:u w:val="single"/>
          <w:lang w:val="en-US"/>
        </w:rPr>
      </w:pPr>
      <w:hyperlink r:id="rId29">
        <w:r w:rsidRPr="004C2CD5">
          <w:rPr>
            <w:rFonts w:ascii="Open Sans" w:eastAsia="Open Sans" w:hAnsi="Open Sans" w:cs="Open Sans"/>
            <w:color w:val="0000FF"/>
            <w:sz w:val="22"/>
            <w:szCs w:val="22"/>
            <w:u w:val="single"/>
            <w:lang w:val="en-US"/>
          </w:rPr>
          <w:t>rtorne@llorenteycuenca.com</w:t>
        </w:r>
      </w:hyperlink>
      <w:r w:rsidRPr="004C2CD5">
        <w:rPr>
          <w:rFonts w:ascii="Open Sans" w:eastAsia="Open Sans" w:hAnsi="Open Sans" w:cs="Open Sans"/>
          <w:color w:val="0000FF"/>
          <w:sz w:val="22"/>
          <w:szCs w:val="22"/>
          <w:lang w:val="en-US"/>
        </w:rPr>
        <w:tab/>
      </w:r>
      <w:r w:rsidRPr="004C2CD5">
        <w:rPr>
          <w:rFonts w:ascii="Open Sans" w:eastAsia="Open Sans" w:hAnsi="Open Sans" w:cs="Open Sans"/>
          <w:color w:val="0000FF"/>
          <w:sz w:val="22"/>
          <w:szCs w:val="22"/>
          <w:lang w:val="en-US"/>
        </w:rPr>
        <w:tab/>
      </w:r>
      <w:r w:rsidRPr="004C2CD5">
        <w:rPr>
          <w:rFonts w:ascii="Open Sans" w:eastAsia="Open Sans" w:hAnsi="Open Sans" w:cs="Open Sans"/>
          <w:color w:val="0000FF"/>
          <w:sz w:val="22"/>
          <w:szCs w:val="22"/>
          <w:lang w:val="en-US"/>
        </w:rPr>
        <w:tab/>
      </w:r>
    </w:p>
    <w:p w14:paraId="7014DB5B" w14:textId="77777777" w:rsidR="00D25912" w:rsidRPr="004C2CD5" w:rsidRDefault="00000000">
      <w:pPr>
        <w:shd w:val="clear" w:color="auto" w:fill="FFFFFF"/>
        <w:spacing w:line="276" w:lineRule="auto"/>
        <w:ind w:right="-716"/>
        <w:rPr>
          <w:rFonts w:ascii="Open Sans" w:eastAsia="Open Sans" w:hAnsi="Open Sans" w:cs="Open Sans"/>
          <w:color w:val="000000"/>
          <w:sz w:val="22"/>
          <w:szCs w:val="22"/>
          <w:lang w:val="en-US"/>
        </w:rPr>
      </w:pPr>
      <w:r w:rsidRPr="004C2CD5">
        <w:rPr>
          <w:rFonts w:ascii="Open Sans" w:eastAsia="Open Sans" w:hAnsi="Open Sans" w:cs="Open Sans"/>
          <w:color w:val="000000"/>
          <w:sz w:val="22"/>
          <w:szCs w:val="22"/>
          <w:lang w:val="en-US"/>
        </w:rPr>
        <w:t xml:space="preserve">638 68 19 85      </w:t>
      </w:r>
      <w:r w:rsidRPr="004C2CD5">
        <w:rPr>
          <w:rFonts w:ascii="Open Sans" w:eastAsia="Open Sans" w:hAnsi="Open Sans" w:cs="Open Sans"/>
          <w:color w:val="000000"/>
          <w:sz w:val="22"/>
          <w:szCs w:val="22"/>
          <w:lang w:val="en-US"/>
        </w:rPr>
        <w:tab/>
      </w:r>
      <w:r w:rsidRPr="004C2CD5">
        <w:rPr>
          <w:rFonts w:ascii="Open Sans" w:eastAsia="Open Sans" w:hAnsi="Open Sans" w:cs="Open Sans"/>
          <w:color w:val="000000"/>
          <w:sz w:val="22"/>
          <w:szCs w:val="22"/>
          <w:lang w:val="en-US"/>
        </w:rPr>
        <w:tab/>
      </w:r>
      <w:r w:rsidRPr="004C2CD5">
        <w:rPr>
          <w:rFonts w:ascii="Open Sans" w:eastAsia="Open Sans" w:hAnsi="Open Sans" w:cs="Open Sans"/>
          <w:color w:val="000000"/>
          <w:sz w:val="22"/>
          <w:szCs w:val="22"/>
          <w:lang w:val="en-US"/>
        </w:rPr>
        <w:tab/>
      </w:r>
      <w:r w:rsidRPr="004C2CD5">
        <w:rPr>
          <w:rFonts w:ascii="Open Sans" w:eastAsia="Open Sans" w:hAnsi="Open Sans" w:cs="Open Sans"/>
          <w:color w:val="000000"/>
          <w:sz w:val="22"/>
          <w:szCs w:val="22"/>
          <w:lang w:val="en-US"/>
        </w:rPr>
        <w:tab/>
      </w:r>
      <w:r w:rsidRPr="004C2CD5">
        <w:rPr>
          <w:rFonts w:ascii="Open Sans" w:eastAsia="Open Sans" w:hAnsi="Open Sans" w:cs="Open Sans"/>
          <w:color w:val="000000"/>
          <w:sz w:val="22"/>
          <w:szCs w:val="22"/>
          <w:lang w:val="en-US"/>
        </w:rPr>
        <w:tab/>
      </w:r>
      <w:r w:rsidRPr="004C2CD5">
        <w:rPr>
          <w:rFonts w:ascii="Open Sans" w:eastAsia="Open Sans" w:hAnsi="Open Sans" w:cs="Open Sans"/>
          <w:color w:val="000000"/>
          <w:sz w:val="22"/>
          <w:szCs w:val="22"/>
          <w:lang w:val="en-US"/>
        </w:rPr>
        <w:tab/>
      </w:r>
      <w:r w:rsidRPr="004C2CD5">
        <w:rPr>
          <w:rFonts w:ascii="Open Sans" w:eastAsia="Open Sans" w:hAnsi="Open Sans" w:cs="Open Sans"/>
          <w:color w:val="000000"/>
          <w:sz w:val="22"/>
          <w:szCs w:val="22"/>
          <w:lang w:val="en-US"/>
        </w:rPr>
        <w:tab/>
      </w:r>
      <w:r w:rsidRPr="004C2CD5">
        <w:rPr>
          <w:rFonts w:ascii="Open Sans" w:eastAsia="Open Sans" w:hAnsi="Open Sans" w:cs="Open Sans"/>
          <w:color w:val="000000"/>
          <w:sz w:val="22"/>
          <w:szCs w:val="22"/>
          <w:lang w:val="en-US"/>
        </w:rPr>
        <w:tab/>
      </w:r>
    </w:p>
    <w:p w14:paraId="6B301244" w14:textId="77777777" w:rsidR="00D25912" w:rsidRPr="004C2CD5" w:rsidRDefault="00000000">
      <w:pPr>
        <w:shd w:val="clear" w:color="auto" w:fill="FFFFFF"/>
        <w:ind w:right="-716"/>
        <w:rPr>
          <w:rFonts w:ascii="Arial" w:eastAsia="Arial" w:hAnsi="Arial" w:cs="Arial"/>
          <w:color w:val="222222"/>
          <w:sz w:val="22"/>
          <w:szCs w:val="22"/>
          <w:lang w:val="en-US"/>
        </w:rPr>
      </w:pPr>
      <w:r w:rsidRPr="004C2CD5">
        <w:rPr>
          <w:rFonts w:ascii="Arial" w:eastAsia="Arial" w:hAnsi="Arial" w:cs="Arial"/>
          <w:color w:val="222222"/>
          <w:sz w:val="22"/>
          <w:szCs w:val="22"/>
          <w:lang w:val="en-US"/>
        </w:rPr>
        <w:tab/>
      </w:r>
    </w:p>
    <w:p w14:paraId="2E399D3C" w14:textId="77777777" w:rsidR="00D25912" w:rsidRPr="004C2CD5" w:rsidRDefault="00000000">
      <w:pPr>
        <w:shd w:val="clear" w:color="auto" w:fill="FFFFFF"/>
        <w:ind w:right="-716"/>
        <w:rPr>
          <w:rFonts w:ascii="Arial" w:eastAsia="Arial" w:hAnsi="Arial" w:cs="Arial"/>
          <w:color w:val="222222"/>
          <w:sz w:val="22"/>
          <w:szCs w:val="22"/>
          <w:lang w:val="en-US"/>
        </w:rPr>
      </w:pPr>
      <w:r w:rsidRPr="004C2CD5">
        <w:rPr>
          <w:rFonts w:ascii="Arial" w:eastAsia="Arial" w:hAnsi="Arial" w:cs="Arial"/>
          <w:color w:val="222222"/>
          <w:sz w:val="22"/>
          <w:szCs w:val="22"/>
          <w:lang w:val="en-US"/>
        </w:rPr>
        <w:tab/>
      </w:r>
      <w:r w:rsidRPr="004C2CD5">
        <w:rPr>
          <w:rFonts w:ascii="Arial" w:eastAsia="Arial" w:hAnsi="Arial" w:cs="Arial"/>
          <w:color w:val="222222"/>
          <w:sz w:val="22"/>
          <w:szCs w:val="22"/>
          <w:lang w:val="en-US"/>
        </w:rPr>
        <w:tab/>
      </w:r>
      <w:r w:rsidRPr="004C2CD5">
        <w:rPr>
          <w:rFonts w:ascii="Arial" w:eastAsia="Arial" w:hAnsi="Arial" w:cs="Arial"/>
          <w:color w:val="222222"/>
          <w:sz w:val="22"/>
          <w:szCs w:val="22"/>
          <w:lang w:val="en-US"/>
        </w:rPr>
        <w:tab/>
      </w:r>
      <w:r w:rsidRPr="004C2CD5">
        <w:rPr>
          <w:rFonts w:ascii="Arial" w:eastAsia="Arial" w:hAnsi="Arial" w:cs="Arial"/>
          <w:color w:val="222222"/>
          <w:sz w:val="22"/>
          <w:szCs w:val="22"/>
          <w:lang w:val="en-US"/>
        </w:rPr>
        <w:tab/>
      </w:r>
      <w:r w:rsidRPr="004C2CD5">
        <w:rPr>
          <w:rFonts w:ascii="Arial" w:eastAsia="Arial" w:hAnsi="Arial" w:cs="Arial"/>
          <w:color w:val="222222"/>
          <w:sz w:val="22"/>
          <w:szCs w:val="22"/>
          <w:lang w:val="en-US"/>
        </w:rPr>
        <w:tab/>
      </w:r>
      <w:r w:rsidRPr="004C2CD5">
        <w:rPr>
          <w:rFonts w:ascii="Arial" w:eastAsia="Arial" w:hAnsi="Arial" w:cs="Arial"/>
          <w:color w:val="222222"/>
          <w:sz w:val="22"/>
          <w:szCs w:val="22"/>
          <w:lang w:val="en-US"/>
        </w:rPr>
        <w:tab/>
        <w:t xml:space="preserve">     </w:t>
      </w:r>
    </w:p>
    <w:p w14:paraId="7351DB3D" w14:textId="77777777" w:rsidR="00D25912" w:rsidRPr="004C2CD5" w:rsidRDefault="00000000">
      <w:pPr>
        <w:shd w:val="clear" w:color="auto" w:fill="FFFFFF"/>
        <w:ind w:right="-716"/>
        <w:rPr>
          <w:rFonts w:ascii="Open Sans" w:eastAsia="Open Sans" w:hAnsi="Open Sans" w:cs="Open Sans"/>
          <w:b/>
          <w:color w:val="000000"/>
          <w:sz w:val="22"/>
          <w:szCs w:val="22"/>
          <w:lang w:val="en-US"/>
        </w:rPr>
      </w:pPr>
      <w:r w:rsidRPr="004C2CD5">
        <w:rPr>
          <w:rFonts w:ascii="Open Sans" w:eastAsia="Open Sans" w:hAnsi="Open Sans" w:cs="Open Sans"/>
          <w:b/>
          <w:color w:val="000000"/>
          <w:sz w:val="22"/>
          <w:szCs w:val="22"/>
          <w:lang w:val="en-US"/>
        </w:rPr>
        <w:t>Fanny Merino</w:t>
      </w:r>
    </w:p>
    <w:p w14:paraId="2654A833" w14:textId="77777777" w:rsidR="00D25912" w:rsidRPr="004C2CD5" w:rsidRDefault="00000000">
      <w:pPr>
        <w:shd w:val="clear" w:color="auto" w:fill="FFFFFF"/>
        <w:ind w:right="-716"/>
        <w:rPr>
          <w:rFonts w:ascii="Open Sans" w:eastAsia="Open Sans" w:hAnsi="Open Sans" w:cs="Open Sans"/>
          <w:b/>
          <w:color w:val="000000"/>
          <w:sz w:val="22"/>
          <w:szCs w:val="22"/>
          <w:lang w:val="en-US"/>
        </w:rPr>
      </w:pPr>
      <w:hyperlink r:id="rId30">
        <w:r w:rsidRPr="004C2CD5">
          <w:rPr>
            <w:rFonts w:ascii="Open Sans" w:eastAsia="Open Sans" w:hAnsi="Open Sans" w:cs="Open Sans"/>
            <w:color w:val="0000FF"/>
            <w:sz w:val="22"/>
            <w:szCs w:val="22"/>
            <w:u w:val="single"/>
            <w:lang w:val="en-US"/>
          </w:rPr>
          <w:t>emerino@llorenteycuenca.com</w:t>
        </w:r>
      </w:hyperlink>
      <w:r w:rsidRPr="004C2CD5">
        <w:rPr>
          <w:rFonts w:ascii="Open Sans" w:eastAsia="Open Sans" w:hAnsi="Open Sans" w:cs="Open Sans"/>
          <w:color w:val="0000FF"/>
          <w:sz w:val="22"/>
          <w:szCs w:val="22"/>
          <w:lang w:val="en-US"/>
        </w:rPr>
        <w:tab/>
      </w:r>
      <w:r w:rsidRPr="004C2CD5">
        <w:rPr>
          <w:rFonts w:ascii="Open Sans" w:eastAsia="Open Sans" w:hAnsi="Open Sans" w:cs="Open Sans"/>
          <w:color w:val="0000FF"/>
          <w:sz w:val="22"/>
          <w:szCs w:val="22"/>
          <w:lang w:val="en-US"/>
        </w:rPr>
        <w:tab/>
      </w:r>
    </w:p>
    <w:p w14:paraId="18C57BE1" w14:textId="77777777" w:rsidR="00D25912" w:rsidRPr="004C2CD5" w:rsidRDefault="00000000">
      <w:pPr>
        <w:shd w:val="clear" w:color="auto" w:fill="FFFFFF"/>
        <w:ind w:right="-716"/>
        <w:rPr>
          <w:rFonts w:ascii="Open Sans" w:eastAsia="Open Sans" w:hAnsi="Open Sans" w:cs="Open Sans"/>
          <w:color w:val="000000"/>
          <w:sz w:val="22"/>
          <w:szCs w:val="22"/>
          <w:lang w:val="en-US"/>
        </w:rPr>
      </w:pPr>
      <w:r w:rsidRPr="004C2CD5">
        <w:rPr>
          <w:rFonts w:ascii="Open Sans" w:eastAsia="Open Sans" w:hAnsi="Open Sans" w:cs="Open Sans"/>
          <w:color w:val="000000"/>
          <w:sz w:val="22"/>
          <w:szCs w:val="22"/>
          <w:lang w:val="en-US"/>
        </w:rPr>
        <w:t>663 35 69 75 </w:t>
      </w:r>
    </w:p>
    <w:p w14:paraId="6B2E27EC" w14:textId="77777777" w:rsidR="00D25912" w:rsidRPr="004C2CD5" w:rsidRDefault="00D25912">
      <w:pPr>
        <w:shd w:val="clear" w:color="auto" w:fill="FFFFFF"/>
        <w:ind w:right="-716"/>
        <w:rPr>
          <w:rFonts w:ascii="Open Sans" w:eastAsia="Open Sans" w:hAnsi="Open Sans" w:cs="Open Sans"/>
          <w:color w:val="000000"/>
          <w:sz w:val="22"/>
          <w:szCs w:val="22"/>
          <w:lang w:val="en-US"/>
        </w:rPr>
      </w:pPr>
    </w:p>
    <w:p w14:paraId="64BE89FC" w14:textId="77777777" w:rsidR="00D25912" w:rsidRPr="004C2CD5" w:rsidRDefault="00D25912">
      <w:pPr>
        <w:shd w:val="clear" w:color="auto" w:fill="FFFFFF"/>
        <w:ind w:right="-716"/>
        <w:rPr>
          <w:rFonts w:ascii="Open Sans" w:eastAsia="Open Sans" w:hAnsi="Open Sans" w:cs="Open Sans"/>
          <w:color w:val="000000"/>
          <w:sz w:val="22"/>
          <w:szCs w:val="22"/>
          <w:lang w:val="en-US"/>
        </w:rPr>
      </w:pPr>
    </w:p>
    <w:p w14:paraId="7CC06F1F" w14:textId="77777777" w:rsidR="00D25912" w:rsidRPr="004C2CD5" w:rsidRDefault="00000000">
      <w:pPr>
        <w:shd w:val="clear" w:color="auto" w:fill="FFFFFF"/>
        <w:ind w:right="-716"/>
        <w:rPr>
          <w:rFonts w:ascii="Open Sans" w:eastAsia="Open Sans" w:hAnsi="Open Sans" w:cs="Open Sans"/>
          <w:b/>
          <w:color w:val="000000"/>
          <w:sz w:val="22"/>
          <w:szCs w:val="22"/>
          <w:lang w:val="en-US"/>
        </w:rPr>
      </w:pPr>
      <w:r w:rsidRPr="004C2CD5">
        <w:rPr>
          <w:rFonts w:ascii="Open Sans" w:eastAsia="Open Sans" w:hAnsi="Open Sans" w:cs="Open Sans"/>
          <w:b/>
          <w:color w:val="000000"/>
          <w:sz w:val="22"/>
          <w:szCs w:val="22"/>
          <w:lang w:val="en-US"/>
        </w:rPr>
        <w:t>Paula Iglesias</w:t>
      </w:r>
    </w:p>
    <w:p w14:paraId="7D73EBA6" w14:textId="77777777" w:rsidR="00D25912" w:rsidRPr="004C2CD5" w:rsidRDefault="00000000">
      <w:pPr>
        <w:shd w:val="clear" w:color="auto" w:fill="FFFFFF"/>
        <w:ind w:right="-716"/>
        <w:rPr>
          <w:rFonts w:ascii="Open Sans" w:eastAsia="Open Sans" w:hAnsi="Open Sans" w:cs="Open Sans"/>
          <w:b/>
          <w:color w:val="000000"/>
          <w:sz w:val="22"/>
          <w:szCs w:val="22"/>
          <w:lang w:val="en-US"/>
        </w:rPr>
      </w:pPr>
      <w:hyperlink r:id="rId31">
        <w:r w:rsidRPr="004C2CD5">
          <w:rPr>
            <w:rFonts w:ascii="Open Sans" w:eastAsia="Open Sans" w:hAnsi="Open Sans" w:cs="Open Sans"/>
            <w:color w:val="0000FF"/>
            <w:sz w:val="22"/>
            <w:szCs w:val="22"/>
            <w:u w:val="single"/>
            <w:lang w:val="en-US"/>
          </w:rPr>
          <w:t>piglesias@llorenteycuenca.com</w:t>
        </w:r>
      </w:hyperlink>
      <w:r w:rsidRPr="004C2CD5">
        <w:rPr>
          <w:rFonts w:ascii="Open Sans" w:eastAsia="Open Sans" w:hAnsi="Open Sans" w:cs="Open Sans"/>
          <w:color w:val="0000FF"/>
          <w:sz w:val="22"/>
          <w:szCs w:val="22"/>
          <w:lang w:val="en-US"/>
        </w:rPr>
        <w:tab/>
      </w:r>
      <w:r w:rsidRPr="004C2CD5">
        <w:rPr>
          <w:rFonts w:ascii="Open Sans" w:eastAsia="Open Sans" w:hAnsi="Open Sans" w:cs="Open Sans"/>
          <w:color w:val="0000FF"/>
          <w:sz w:val="22"/>
          <w:szCs w:val="22"/>
          <w:lang w:val="en-US"/>
        </w:rPr>
        <w:tab/>
      </w:r>
    </w:p>
    <w:p w14:paraId="63243504" w14:textId="77777777" w:rsidR="00D25912" w:rsidRDefault="00000000">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22"/>
          <w:szCs w:val="22"/>
        </w:rPr>
        <w:t>662 450 236</w:t>
      </w:r>
    </w:p>
    <w:p w14:paraId="7F12C213" w14:textId="77777777" w:rsidR="00D25912" w:rsidRDefault="00D25912">
      <w:pPr>
        <w:spacing w:line="276" w:lineRule="auto"/>
        <w:ind w:right="-574"/>
        <w:jc w:val="right"/>
        <w:rPr>
          <w:rFonts w:ascii="Open Sans" w:eastAsia="Open Sans" w:hAnsi="Open Sans" w:cs="Open Sans"/>
          <w:color w:val="000000"/>
          <w:sz w:val="21"/>
          <w:szCs w:val="21"/>
        </w:rPr>
      </w:pPr>
    </w:p>
    <w:sectPr w:rsidR="00D25912">
      <w:headerReference w:type="default" r:id="rId32"/>
      <w:footerReference w:type="default" r:id="rId33"/>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64C99" w14:textId="77777777" w:rsidR="00E41454" w:rsidRDefault="00E41454">
      <w:r>
        <w:separator/>
      </w:r>
    </w:p>
  </w:endnote>
  <w:endnote w:type="continuationSeparator" w:id="0">
    <w:p w14:paraId="4279011B" w14:textId="77777777" w:rsidR="00E41454" w:rsidRDefault="00E41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altName w:val="Segoe UI"/>
    <w:charset w:val="00"/>
    <w:family w:val="auto"/>
    <w:pitch w:val="default"/>
  </w:font>
  <w:font w:name="Open Sans Light">
    <w:altName w:val="Segoe U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AA31" w14:textId="77777777" w:rsidR="00D25912"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14:anchorId="735060B3" wp14:editId="6D9AA7EA">
          <wp:simplePos x="0" y="0"/>
          <wp:positionH relativeFrom="column">
            <wp:posOffset>-1068059</wp:posOffset>
          </wp:positionH>
          <wp:positionV relativeFrom="paragraph">
            <wp:posOffset>174608</wp:posOffset>
          </wp:positionV>
          <wp:extent cx="7670550" cy="451315"/>
          <wp:effectExtent l="0" t="0" r="0" b="0"/>
          <wp:wrapNone/>
          <wp:docPr id="20513730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4D9A5" w14:textId="77777777" w:rsidR="00E41454" w:rsidRDefault="00E41454">
      <w:r>
        <w:separator/>
      </w:r>
    </w:p>
  </w:footnote>
  <w:footnote w:type="continuationSeparator" w:id="0">
    <w:p w14:paraId="47580D9E" w14:textId="77777777" w:rsidR="00E41454" w:rsidRDefault="00E41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0656C" w14:textId="77777777" w:rsidR="00D25912"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47E4C50D" wp14:editId="2E68534C">
          <wp:simplePos x="0" y="0"/>
          <wp:positionH relativeFrom="column">
            <wp:posOffset>-1121123</wp:posOffset>
          </wp:positionH>
          <wp:positionV relativeFrom="paragraph">
            <wp:posOffset>225177</wp:posOffset>
          </wp:positionV>
          <wp:extent cx="7581265" cy="1019175"/>
          <wp:effectExtent l="0" t="0" r="0" b="0"/>
          <wp:wrapNone/>
          <wp:docPr id="20513730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0A8FB5BB" w14:textId="77777777" w:rsidR="00D25912" w:rsidRDefault="00D25912">
    <w:pPr>
      <w:pBdr>
        <w:top w:val="nil"/>
        <w:left w:val="nil"/>
        <w:bottom w:val="nil"/>
        <w:right w:val="nil"/>
        <w:between w:val="nil"/>
      </w:pBdr>
      <w:tabs>
        <w:tab w:val="center" w:pos="4252"/>
        <w:tab w:val="right" w:pos="8504"/>
      </w:tabs>
      <w:rPr>
        <w:color w:val="000000"/>
      </w:rPr>
    </w:pPr>
  </w:p>
  <w:p w14:paraId="463B8413" w14:textId="77777777" w:rsidR="00D25912" w:rsidRDefault="00D25912">
    <w:pPr>
      <w:pBdr>
        <w:top w:val="nil"/>
        <w:left w:val="nil"/>
        <w:bottom w:val="nil"/>
        <w:right w:val="nil"/>
        <w:between w:val="nil"/>
      </w:pBdr>
      <w:tabs>
        <w:tab w:val="center" w:pos="4252"/>
        <w:tab w:val="right" w:pos="8504"/>
      </w:tabs>
      <w:rPr>
        <w:color w:val="000000"/>
      </w:rPr>
    </w:pPr>
  </w:p>
  <w:p w14:paraId="7446AF21" w14:textId="77777777" w:rsidR="00D25912" w:rsidRDefault="00D25912">
    <w:pPr>
      <w:pBdr>
        <w:top w:val="nil"/>
        <w:left w:val="nil"/>
        <w:bottom w:val="nil"/>
        <w:right w:val="nil"/>
        <w:between w:val="nil"/>
      </w:pBdr>
      <w:tabs>
        <w:tab w:val="center" w:pos="4252"/>
        <w:tab w:val="right" w:pos="8504"/>
      </w:tabs>
      <w:rPr>
        <w:color w:val="000000"/>
      </w:rPr>
    </w:pPr>
  </w:p>
  <w:p w14:paraId="56B98A36" w14:textId="77777777" w:rsidR="00D25912" w:rsidRDefault="00D25912">
    <w:pPr>
      <w:pBdr>
        <w:top w:val="nil"/>
        <w:left w:val="nil"/>
        <w:bottom w:val="nil"/>
        <w:right w:val="nil"/>
        <w:between w:val="nil"/>
      </w:pBdr>
      <w:tabs>
        <w:tab w:val="center" w:pos="4252"/>
        <w:tab w:val="right" w:pos="8504"/>
      </w:tabs>
      <w:rPr>
        <w:color w:val="000000"/>
      </w:rPr>
    </w:pPr>
  </w:p>
  <w:p w14:paraId="26F811F6" w14:textId="77777777" w:rsidR="00D25912" w:rsidRDefault="00D25912">
    <w:pPr>
      <w:pBdr>
        <w:top w:val="nil"/>
        <w:left w:val="nil"/>
        <w:bottom w:val="nil"/>
        <w:right w:val="nil"/>
        <w:between w:val="nil"/>
      </w:pBdr>
      <w:tabs>
        <w:tab w:val="center" w:pos="4252"/>
        <w:tab w:val="right" w:pos="8504"/>
      </w:tabs>
      <w:rPr>
        <w:color w:val="000000"/>
      </w:rPr>
    </w:pPr>
  </w:p>
  <w:p w14:paraId="15D5C3C4" w14:textId="77777777" w:rsidR="00D25912" w:rsidRDefault="00D25912">
    <w:pPr>
      <w:pBdr>
        <w:top w:val="nil"/>
        <w:left w:val="nil"/>
        <w:bottom w:val="nil"/>
        <w:right w:val="nil"/>
        <w:between w:val="nil"/>
      </w:pBdr>
      <w:tabs>
        <w:tab w:val="center" w:pos="4252"/>
        <w:tab w:val="right" w:pos="8504"/>
      </w:tabs>
      <w:rPr>
        <w:color w:val="000000"/>
      </w:rPr>
    </w:pPr>
  </w:p>
  <w:p w14:paraId="44C3EEED" w14:textId="77777777" w:rsidR="00D25912" w:rsidRDefault="00D25912">
    <w:pPr>
      <w:pBdr>
        <w:top w:val="nil"/>
        <w:left w:val="nil"/>
        <w:bottom w:val="nil"/>
        <w:right w:val="nil"/>
        <w:between w:val="nil"/>
      </w:pBdr>
      <w:tabs>
        <w:tab w:val="center" w:pos="4252"/>
        <w:tab w:val="right" w:pos="8504"/>
      </w:tabs>
      <w:rPr>
        <w:color w:val="000000"/>
      </w:rPr>
    </w:pPr>
  </w:p>
  <w:p w14:paraId="2BB1C0D5" w14:textId="77777777" w:rsidR="00D25912" w:rsidRDefault="00D25912">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3664E"/>
    <w:multiLevelType w:val="multilevel"/>
    <w:tmpl w:val="29F4C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2403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912"/>
    <w:rsid w:val="000479D9"/>
    <w:rsid w:val="0005359B"/>
    <w:rsid w:val="002C2BAE"/>
    <w:rsid w:val="00411D1C"/>
    <w:rsid w:val="004C2CD5"/>
    <w:rsid w:val="005A23A4"/>
    <w:rsid w:val="00832DC8"/>
    <w:rsid w:val="00D25912"/>
    <w:rsid w:val="00DE0616"/>
    <w:rsid w:val="00E41454"/>
    <w:rsid w:val="00FC5DC9"/>
    <w:rsid w:val="00FE0A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7CCA2"/>
  <w15:docId w15:val="{49DF0A30-5948-4938-89A9-0B86AD41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97C"/>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erenciaintensa">
    <w:name w:val="Intense Reference"/>
    <w:basedOn w:val="Fuentedeprrafopredeter"/>
    <w:uiPriority w:val="32"/>
    <w:qFormat/>
    <w:rsid w:val="00655206"/>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hyperlink" Target="https://www.fotocasa.es/es/quienes-somo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nlVB_mIyl44" TargetMode="External"/><Relationship Id="rId17" Type="http://schemas.openxmlformats.org/officeDocument/2006/relationships/image" Target="media/image6.png"/><Relationship Id="rId25" Type="http://schemas.openxmlformats.org/officeDocument/2006/relationships/hyperlink" Target="https://www.coches.ne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prensa.fotocasa.es" TargetMode="External"/><Relationship Id="rId29" Type="http://schemas.openxmlformats.org/officeDocument/2006/relationships/hyperlink" Target="mailto:rtorne@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infojobs.net/"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habitaclia.com/" TargetMode="External"/><Relationship Id="rId28" Type="http://schemas.openxmlformats.org/officeDocument/2006/relationships/hyperlink" Target="mailto:comunicacion@fotocasa.es" TargetMode="External"/><Relationship Id="rId10" Type="http://schemas.openxmlformats.org/officeDocument/2006/relationships/hyperlink" Target="https://www.fotocasa.es/" TargetMode="External"/><Relationship Id="rId19" Type="http://schemas.openxmlformats.org/officeDocument/2006/relationships/hyperlink" Target="https://www.fotocasa.es/indice/" TargetMode="External"/><Relationship Id="rId31" Type="http://schemas.openxmlformats.org/officeDocument/2006/relationships/hyperlink" Target="mailto:piglesias@llorenteycuenca.com"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image" Target="media/image3.png"/><Relationship Id="rId22" Type="http://schemas.openxmlformats.org/officeDocument/2006/relationships/hyperlink" Target="https://www.fotocasa.es/es/" TargetMode="External"/><Relationship Id="rId27" Type="http://schemas.openxmlformats.org/officeDocument/2006/relationships/hyperlink" Target="http://adevinta.es" TargetMode="External"/><Relationship Id="rId30" Type="http://schemas.openxmlformats.org/officeDocument/2006/relationships/hyperlink" Target="mailto:emerino@llorenteycuenca.com" TargetMode="External"/><Relationship Id="rId35" Type="http://schemas.openxmlformats.org/officeDocument/2006/relationships/theme" Target="theme/theme1.xml"/><Relationship Id="rId8" Type="http://schemas.openxmlformats.org/officeDocument/2006/relationships/hyperlink" Target="https://youtu.be/nlVB_mIyl4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NIbQ94o3bZrP9kk1HsFU4O/npg==">CgMxLjAyCGguZ2pkZ3hzMgloLjMwajB6bGwyCWguMWZvYjl0ZTIJaC4zem55c2g3MgloLjJzOGV5bzE4AHIhMUNPcnhjc21vOXJVd0JaMU02QzRVUE9weFM4bDdoYllX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1337</Words>
  <Characters>7357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9</cp:revision>
  <dcterms:created xsi:type="dcterms:W3CDTF">2022-04-21T07:41:00Z</dcterms:created>
  <dcterms:modified xsi:type="dcterms:W3CDTF">2023-07-12T12:45:00Z</dcterms:modified>
</cp:coreProperties>
</file>