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0191" w14:textId="77777777" w:rsidR="00B52ED6"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¿CUÁNTOS ESPAÑOLES TIENEN VIVIENDAS VACÍAS EN ESPAÑA?</w:t>
      </w:r>
    </w:p>
    <w:p w14:paraId="1B3CCC5B" w14:textId="77777777" w:rsidR="00B52ED6" w:rsidRDefault="00000000">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El 3% de los propietarios de vivienda en España tiene alguna vivienda vacía</w:t>
      </w:r>
    </w:p>
    <w:p w14:paraId="06787524" w14:textId="77777777" w:rsidR="00B52ED6" w:rsidRDefault="00B52ED6">
      <w:pPr>
        <w:pBdr>
          <w:top w:val="nil"/>
          <w:left w:val="nil"/>
          <w:bottom w:val="nil"/>
          <w:right w:val="nil"/>
          <w:between w:val="nil"/>
        </w:pBdr>
        <w:spacing w:line="276" w:lineRule="auto"/>
        <w:ind w:right="-574"/>
        <w:jc w:val="both"/>
        <w:rPr>
          <w:rFonts w:ascii="Open Sans" w:eastAsia="Open Sans" w:hAnsi="Open Sans" w:cs="Open Sans"/>
          <w:b/>
          <w:sz w:val="22"/>
          <w:szCs w:val="22"/>
        </w:rPr>
      </w:pPr>
    </w:p>
    <w:p w14:paraId="5632A6F7" w14:textId="77777777" w:rsidR="00B52ED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necesidad de reforma en la vivienda es el principal motivo de los propietarios de viviendas vacías para mantenerlas deshabitadas</w:t>
      </w:r>
    </w:p>
    <w:p w14:paraId="703C371B" w14:textId="77777777" w:rsidR="00B52ED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Según los propietarios, `más seguridad jurídica´ es el principal incentivo para poner una vivienda vacía en alquiler o a la venta </w:t>
      </w:r>
    </w:p>
    <w:p w14:paraId="511AFDCB" w14:textId="77777777" w:rsidR="00B52ED6"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11% de los propietarios aseguran que mantienen la vivienda desocupada por desconfianza en cuanto a impagos o destrozos en el inmueble</w:t>
      </w:r>
    </w:p>
    <w:p w14:paraId="13873FAC" w14:textId="0B935160" w:rsidR="00B52ED6" w:rsidRPr="00C36D0C" w:rsidRDefault="00C36D0C">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00000000" w:rsidRPr="00C36D0C">
          <w:rPr>
            <w:rStyle w:val="Hipervnculo"/>
            <w:rFonts w:ascii="Open Sans" w:eastAsia="Open Sans" w:hAnsi="Open Sans" w:cs="Open Sans"/>
            <w:b/>
            <w:sz w:val="22"/>
            <w:szCs w:val="22"/>
          </w:rPr>
          <w:t>Aquí se puede ver un vídeo con las declaraciones de la directora de Estudios</w:t>
        </w:r>
      </w:hyperlink>
    </w:p>
    <w:p w14:paraId="46A264AD" w14:textId="77777777" w:rsidR="00B52ED6" w:rsidRDefault="00B52ED6">
      <w:pPr>
        <w:pBdr>
          <w:top w:val="nil"/>
          <w:left w:val="nil"/>
          <w:bottom w:val="nil"/>
          <w:right w:val="nil"/>
          <w:between w:val="nil"/>
        </w:pBdr>
        <w:spacing w:line="276" w:lineRule="auto"/>
        <w:ind w:right="-574"/>
        <w:jc w:val="both"/>
        <w:rPr>
          <w:rFonts w:ascii="Open Sans" w:eastAsia="Open Sans" w:hAnsi="Open Sans" w:cs="Open Sans"/>
          <w:color w:val="FF0000"/>
          <w:sz w:val="22"/>
          <w:szCs w:val="22"/>
        </w:rPr>
      </w:pPr>
    </w:p>
    <w:p w14:paraId="5EFD2DB8" w14:textId="79110BBF" w:rsidR="00B52ED6"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F33637">
        <w:rPr>
          <w:rFonts w:ascii="Open Sans Light" w:eastAsia="Open Sans Light" w:hAnsi="Open Sans Light" w:cs="Open Sans Light"/>
          <w:b/>
          <w:color w:val="303AB2"/>
        </w:rPr>
        <w:t>10</w:t>
      </w:r>
      <w:r>
        <w:rPr>
          <w:rFonts w:ascii="Open Sans Light" w:eastAsia="Open Sans Light" w:hAnsi="Open Sans Light" w:cs="Open Sans Light"/>
          <w:b/>
          <w:color w:val="303AB2"/>
        </w:rPr>
        <w:t xml:space="preserve"> de julio de 2023</w:t>
      </w:r>
    </w:p>
    <w:p w14:paraId="31CFC2C3" w14:textId="77777777" w:rsidR="00B52ED6" w:rsidRDefault="00B52ED6">
      <w:pPr>
        <w:spacing w:line="276" w:lineRule="auto"/>
        <w:ind w:right="-574"/>
        <w:jc w:val="both"/>
        <w:rPr>
          <w:rFonts w:ascii="Open Sans" w:eastAsia="Open Sans" w:hAnsi="Open Sans" w:cs="Open Sans"/>
          <w:color w:val="000000"/>
          <w:sz w:val="22"/>
          <w:szCs w:val="22"/>
        </w:rPr>
      </w:pPr>
    </w:p>
    <w:p w14:paraId="0A6F814B" w14:textId="77777777" w:rsidR="00B52ED6"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El pasado</w:t>
      </w:r>
      <w:r>
        <w:rPr>
          <w:rFonts w:ascii="Open Sans" w:eastAsia="Open Sans" w:hAnsi="Open Sans" w:cs="Open Sans"/>
          <w:sz w:val="22"/>
          <w:szCs w:val="22"/>
        </w:rPr>
        <w:t xml:space="preserve"> 30 de junio el INE (Instituto Nacional de Estadística)</w:t>
      </w:r>
      <w:r>
        <w:rPr>
          <w:rFonts w:ascii="Open Sans" w:eastAsia="Open Sans" w:hAnsi="Open Sans" w:cs="Open Sans"/>
          <w:color w:val="000000"/>
          <w:sz w:val="22"/>
          <w:szCs w:val="22"/>
        </w:rPr>
        <w:t xml:space="preserve"> publicó el c</w:t>
      </w:r>
      <w:r>
        <w:rPr>
          <w:rFonts w:ascii="Open Sans" w:eastAsia="Open Sans" w:hAnsi="Open Sans" w:cs="Open Sans"/>
          <w:sz w:val="22"/>
          <w:szCs w:val="22"/>
        </w:rPr>
        <w:t xml:space="preserve">enso de población y vivienda tras más de 10 años sin datos oficiales y fija el estudio censal en el 2021, poniendo cifra a las viviendas vacías en España: 3,8 millones de inmuebles, con un aumento de 400.000 inmuebles en la última década. Desde </w:t>
      </w:r>
      <w:hyperlink r:id="rId9">
        <w:r>
          <w:rPr>
            <w:rFonts w:ascii="Open Sans" w:eastAsia="Open Sans" w:hAnsi="Open Sans" w:cs="Open Sans"/>
            <w:color w:val="1155CC"/>
            <w:sz w:val="22"/>
            <w:szCs w:val="22"/>
            <w:u w:val="single"/>
          </w:rPr>
          <w:t xml:space="preserve">Fotocasa </w:t>
        </w:r>
        <w:proofErr w:type="spellStart"/>
        <w:r>
          <w:rPr>
            <w:rFonts w:ascii="Open Sans" w:eastAsia="Open Sans" w:hAnsi="Open Sans" w:cs="Open Sans"/>
            <w:color w:val="1155CC"/>
            <w:sz w:val="22"/>
            <w:szCs w:val="22"/>
            <w:u w:val="single"/>
          </w:rPr>
          <w:t>Research</w:t>
        </w:r>
        <w:proofErr w:type="spellEnd"/>
      </w:hyperlink>
      <w:r>
        <w:rPr>
          <w:rFonts w:ascii="Open Sans" w:eastAsia="Open Sans" w:hAnsi="Open Sans" w:cs="Open Sans"/>
          <w:color w:val="000000"/>
          <w:sz w:val="22"/>
          <w:szCs w:val="22"/>
        </w:rPr>
        <w:t xml:space="preserve">, se </w:t>
      </w:r>
      <w:r>
        <w:rPr>
          <w:rFonts w:ascii="Open Sans" w:eastAsia="Open Sans" w:hAnsi="Open Sans" w:cs="Open Sans"/>
          <w:sz w:val="22"/>
          <w:szCs w:val="22"/>
        </w:rPr>
        <w:t>constata que el porcentaje</w:t>
      </w:r>
      <w:r>
        <w:rPr>
          <w:rFonts w:ascii="Open Sans" w:eastAsia="Open Sans" w:hAnsi="Open Sans" w:cs="Open Sans"/>
          <w:color w:val="000000"/>
          <w:sz w:val="22"/>
          <w:szCs w:val="22"/>
        </w:rPr>
        <w:t xml:space="preserve"> de ciudadanos que tienen viviendas es del 3%</w:t>
      </w:r>
      <w:r>
        <w:rPr>
          <w:rFonts w:ascii="Open Sans" w:eastAsia="Open Sans" w:hAnsi="Open Sans" w:cs="Open Sans"/>
          <w:sz w:val="22"/>
          <w:szCs w:val="22"/>
        </w:rPr>
        <w:t>.</w:t>
      </w:r>
    </w:p>
    <w:p w14:paraId="72BFD48A" w14:textId="77777777" w:rsidR="00B52ED6" w:rsidRDefault="00B52ED6">
      <w:pPr>
        <w:spacing w:line="276" w:lineRule="auto"/>
        <w:ind w:right="-574"/>
        <w:jc w:val="both"/>
        <w:rPr>
          <w:rFonts w:ascii="Open Sans" w:eastAsia="Open Sans" w:hAnsi="Open Sans" w:cs="Open Sans"/>
          <w:sz w:val="22"/>
          <w:szCs w:val="22"/>
        </w:rPr>
      </w:pPr>
    </w:p>
    <w:p w14:paraId="4449981C" w14:textId="77777777" w:rsidR="00B52ED6"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“Aunque son un porcentaje minoritario, quienes mantienen viviendas vacías, lo hacen principalmente debido a que el inmueble no puede ser puesto en alquiler o vendido en estos momentos por su estado. Además, un 11% de estos propietarios aseguran que tienen preocupaciones o miedos que desincentivan que coloquen esas viviendas en el mercado. Sus pesadillas van desde que los inquilinos no les paguen, que maltraten la vivienda o que lleguen incluso a perderla. Por eso prefieren mantenerlas vacías. Apelan a una mayor seguridad jurídica que les proteja en caso de impagos u ocupaciones, creen positivos los incentivos fiscales y las ayudas a la rehabilitación como medidas que ayudarían a que pusieran sus viviendas en el mercado, y consideran que las políticas punitivas generan más inseguridad y espantan a posibles inversores”,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05EAA00D" w14:textId="77777777" w:rsidR="00F33637" w:rsidRDefault="00F33637">
      <w:pPr>
        <w:spacing w:line="276" w:lineRule="auto"/>
        <w:ind w:right="-574"/>
        <w:jc w:val="both"/>
        <w:rPr>
          <w:rFonts w:ascii="Open Sans" w:eastAsia="Open Sans" w:hAnsi="Open Sans" w:cs="Open Sans"/>
          <w:sz w:val="22"/>
          <w:szCs w:val="22"/>
        </w:rPr>
      </w:pPr>
    </w:p>
    <w:p w14:paraId="59EF3DDC" w14:textId="77777777" w:rsidR="00F33637" w:rsidRDefault="00F33637">
      <w:pPr>
        <w:spacing w:line="276" w:lineRule="auto"/>
        <w:ind w:right="-574"/>
        <w:jc w:val="both"/>
        <w:rPr>
          <w:rFonts w:ascii="Open Sans" w:eastAsia="Open Sans" w:hAnsi="Open Sans" w:cs="Open Sans"/>
          <w:sz w:val="22"/>
          <w:szCs w:val="22"/>
        </w:rPr>
      </w:pPr>
    </w:p>
    <w:p w14:paraId="0BDF4C89" w14:textId="77777777" w:rsidR="00F33637" w:rsidRDefault="00F33637">
      <w:pPr>
        <w:spacing w:line="276" w:lineRule="auto"/>
        <w:ind w:right="-574"/>
        <w:jc w:val="both"/>
        <w:rPr>
          <w:rFonts w:ascii="Open Sans" w:eastAsia="Open Sans" w:hAnsi="Open Sans" w:cs="Open Sans"/>
          <w:sz w:val="22"/>
          <w:szCs w:val="22"/>
        </w:rPr>
      </w:pPr>
    </w:p>
    <w:p w14:paraId="565D4C41" w14:textId="77777777" w:rsidR="00B52ED6" w:rsidRDefault="00B52ED6">
      <w:pPr>
        <w:spacing w:line="276" w:lineRule="auto"/>
        <w:ind w:right="-574"/>
        <w:jc w:val="both"/>
        <w:rPr>
          <w:rFonts w:ascii="Open Sans" w:eastAsia="Open Sans" w:hAnsi="Open Sans" w:cs="Open Sans"/>
          <w:sz w:val="22"/>
          <w:szCs w:val="22"/>
        </w:rPr>
      </w:pPr>
    </w:p>
    <w:p w14:paraId="51D3F052" w14:textId="253D1CFB" w:rsidR="00C36D0C" w:rsidRDefault="00C36D0C" w:rsidP="00C36D0C">
      <w:pPr>
        <w:spacing w:line="276" w:lineRule="auto"/>
        <w:ind w:right="-574"/>
        <w:jc w:val="center"/>
        <w:rPr>
          <w:rFonts w:ascii="Open Sans Light" w:eastAsia="Open Sans Light" w:hAnsi="Open Sans Light" w:cs="Open Sans Light"/>
          <w:b/>
          <w:color w:val="303AB2"/>
          <w:sz w:val="26"/>
          <w:szCs w:val="26"/>
        </w:rPr>
      </w:pPr>
      <w:hyperlink r:id="rId11" w:history="1">
        <w:r w:rsidRPr="00C36D0C">
          <w:rPr>
            <w:rStyle w:val="Hipervnculo"/>
            <w:rFonts w:ascii="Open Sans Light" w:eastAsia="Open Sans Light" w:hAnsi="Open Sans Light" w:cs="Open Sans Light"/>
            <w:b/>
            <w:sz w:val="26"/>
            <w:szCs w:val="26"/>
          </w:rPr>
          <w:t>Declaraciones de la directora de Estudios de Fotocasa</w:t>
        </w:r>
      </w:hyperlink>
    </w:p>
    <w:p w14:paraId="779147D4" w14:textId="77777777" w:rsidR="00C36D0C" w:rsidRDefault="00C36D0C">
      <w:pPr>
        <w:spacing w:line="276" w:lineRule="auto"/>
        <w:ind w:right="-574"/>
        <w:jc w:val="both"/>
        <w:rPr>
          <w:rFonts w:ascii="Open Sans Light" w:eastAsia="Open Sans Light" w:hAnsi="Open Sans Light" w:cs="Open Sans Light"/>
          <w:b/>
          <w:color w:val="303AB2"/>
          <w:sz w:val="26"/>
          <w:szCs w:val="26"/>
        </w:rPr>
      </w:pPr>
    </w:p>
    <w:p w14:paraId="38BCA0FE" w14:textId="1616C85F" w:rsidR="00C36D0C" w:rsidRDefault="00C36D0C">
      <w:pPr>
        <w:spacing w:line="276" w:lineRule="auto"/>
        <w:ind w:right="-574"/>
        <w:jc w:val="both"/>
        <w:rPr>
          <w:rFonts w:ascii="Open Sans Light" w:eastAsia="Open Sans Light" w:hAnsi="Open Sans Light" w:cs="Open Sans Light"/>
          <w:b/>
          <w:color w:val="303AB2"/>
          <w:sz w:val="26"/>
          <w:szCs w:val="26"/>
        </w:rPr>
      </w:pPr>
      <w:r>
        <w:rPr>
          <w:noProof/>
        </w:rPr>
        <w:drawing>
          <wp:inline distT="0" distB="0" distL="0" distR="0" wp14:anchorId="393AAF07" wp14:editId="630C50E0">
            <wp:extent cx="5618669" cy="2751151"/>
            <wp:effectExtent l="0" t="0" r="1270" b="0"/>
            <wp:docPr id="1744867224" name="Imagen 4" descr="Mujer con ropa deportiva&#10;&#10;Descripción generada automáticamente con confianza med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867224" name="Imagen 4" descr="Mujer con ropa deportiva&#10;&#10;Descripción generada automáticamente con confianza medi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9660" cy="2761429"/>
                    </a:xfrm>
                    <a:prstGeom prst="rect">
                      <a:avLst/>
                    </a:prstGeom>
                    <a:noFill/>
                    <a:ln>
                      <a:noFill/>
                    </a:ln>
                  </pic:spPr>
                </pic:pic>
              </a:graphicData>
            </a:graphic>
          </wp:inline>
        </w:drawing>
      </w:r>
    </w:p>
    <w:p w14:paraId="36BA0C69" w14:textId="77777777" w:rsidR="00C36D0C" w:rsidRDefault="00C36D0C">
      <w:pPr>
        <w:spacing w:line="276" w:lineRule="auto"/>
        <w:ind w:right="-574"/>
        <w:jc w:val="both"/>
        <w:rPr>
          <w:rFonts w:ascii="Open Sans Light" w:eastAsia="Open Sans Light" w:hAnsi="Open Sans Light" w:cs="Open Sans Light"/>
          <w:b/>
          <w:color w:val="303AB2"/>
          <w:sz w:val="26"/>
          <w:szCs w:val="26"/>
        </w:rPr>
      </w:pPr>
    </w:p>
    <w:p w14:paraId="781E13AD" w14:textId="77777777" w:rsidR="00C36D0C" w:rsidRDefault="00C36D0C">
      <w:pPr>
        <w:spacing w:line="276" w:lineRule="auto"/>
        <w:ind w:right="-574"/>
        <w:jc w:val="both"/>
        <w:rPr>
          <w:rFonts w:ascii="Open Sans Light" w:eastAsia="Open Sans Light" w:hAnsi="Open Sans Light" w:cs="Open Sans Light"/>
          <w:b/>
          <w:color w:val="303AB2"/>
          <w:sz w:val="26"/>
          <w:szCs w:val="26"/>
        </w:rPr>
      </w:pPr>
    </w:p>
    <w:p w14:paraId="54432A89" w14:textId="1A7AE7DF" w:rsidR="00B52ED6"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Hay un 60% de propietarios, pero solo el 3% tiene viviendas vacías</w:t>
      </w:r>
    </w:p>
    <w:p w14:paraId="2FC3AA34" w14:textId="77777777" w:rsidR="00B52ED6" w:rsidRDefault="00B52ED6">
      <w:pPr>
        <w:spacing w:line="276" w:lineRule="auto"/>
        <w:ind w:right="-574"/>
        <w:jc w:val="both"/>
        <w:rPr>
          <w:rFonts w:ascii="Open Sans" w:eastAsia="Open Sans" w:hAnsi="Open Sans" w:cs="Open Sans"/>
          <w:color w:val="000000"/>
          <w:sz w:val="22"/>
          <w:szCs w:val="22"/>
        </w:rPr>
      </w:pPr>
    </w:p>
    <w:p w14:paraId="00655DF8" w14:textId="77777777" w:rsidR="00B52ED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60% de los particulares mayores de 18 años en España es propietario o copropietario de una vivienda (datos de febrero de 2023 de </w:t>
      </w:r>
      <w:hyperlink r:id="rId13">
        <w:r>
          <w:rPr>
            <w:rFonts w:ascii="Open Sans" w:eastAsia="Open Sans" w:hAnsi="Open Sans" w:cs="Open Sans"/>
            <w:color w:val="1155CC"/>
            <w:sz w:val="22"/>
            <w:szCs w:val="22"/>
            <w:u w:val="single"/>
          </w:rPr>
          <w:t xml:space="preserve">Fotocasa </w:t>
        </w:r>
        <w:proofErr w:type="spellStart"/>
        <w:r>
          <w:rPr>
            <w:rFonts w:ascii="Open Sans" w:eastAsia="Open Sans" w:hAnsi="Open Sans" w:cs="Open Sans"/>
            <w:color w:val="1155CC"/>
            <w:sz w:val="22"/>
            <w:szCs w:val="22"/>
            <w:u w:val="single"/>
          </w:rPr>
          <w:t>Research</w:t>
        </w:r>
        <w:proofErr w:type="spellEnd"/>
      </w:hyperlink>
      <w:r>
        <w:rPr>
          <w:rFonts w:ascii="Open Sans" w:eastAsia="Open Sans" w:hAnsi="Open Sans" w:cs="Open Sans"/>
          <w:color w:val="000000"/>
          <w:sz w:val="22"/>
          <w:szCs w:val="22"/>
        </w:rPr>
        <w:t xml:space="preserve">). Una cifra prácticamente idéntica a la de un año antes, cuando el 61% de particulares aseguraba tener una vivienda en propiedad o copropiedad. De todos ellos, ocho de cada diez tienen únicamente una vivienda, un 16% tiene dos viviendas y un 4% tiene tres o más. </w:t>
      </w:r>
    </w:p>
    <w:p w14:paraId="4BD294BC" w14:textId="77777777" w:rsidR="00B52ED6" w:rsidRDefault="00B52ED6">
      <w:pPr>
        <w:spacing w:line="276" w:lineRule="auto"/>
        <w:ind w:right="-574"/>
        <w:jc w:val="both"/>
        <w:rPr>
          <w:rFonts w:ascii="Open Sans" w:eastAsia="Open Sans" w:hAnsi="Open Sans" w:cs="Open Sans"/>
          <w:color w:val="000000"/>
          <w:sz w:val="22"/>
          <w:szCs w:val="22"/>
        </w:rPr>
      </w:pPr>
    </w:p>
    <w:p w14:paraId="68A0DF7D" w14:textId="77777777" w:rsidR="00B52ED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edades, como es lógico, </w:t>
      </w:r>
      <w:r w:rsidRPr="00C36D0C">
        <w:rPr>
          <w:rFonts w:ascii="Open Sans" w:eastAsia="Open Sans" w:hAnsi="Open Sans" w:cs="Open Sans"/>
          <w:b/>
          <w:bCs/>
          <w:color w:val="000000"/>
          <w:sz w:val="22"/>
          <w:szCs w:val="22"/>
        </w:rPr>
        <w:t>los jóvenes propietarios se concentran en el grupo de quienes tienen una sola vivienda</w:t>
      </w:r>
      <w:r>
        <w:rPr>
          <w:rFonts w:ascii="Open Sans" w:eastAsia="Open Sans" w:hAnsi="Open Sans" w:cs="Open Sans"/>
          <w:color w:val="000000"/>
          <w:sz w:val="22"/>
          <w:szCs w:val="22"/>
        </w:rPr>
        <w:t>. De hecho, nueve de cada diez propietarios (92%) que tienen entre 25 y 34 años poseen un único inmueble. Esta cifra decrece progresivamente conforme avanza la edad y gana protagonismo la propiedad múltiple: entre los propietarios que tienen de 55 a 75 años hay una mayor presencia de personas con dos viviendas (20%) o con tres o más (5%).</w:t>
      </w:r>
    </w:p>
    <w:p w14:paraId="7EAABBE9" w14:textId="77777777" w:rsidR="00B52ED6" w:rsidRDefault="00B52ED6">
      <w:pPr>
        <w:spacing w:line="276" w:lineRule="auto"/>
        <w:ind w:right="-574"/>
        <w:jc w:val="both"/>
        <w:rPr>
          <w:rFonts w:ascii="Open Sans" w:eastAsia="Open Sans" w:hAnsi="Open Sans" w:cs="Open Sans"/>
          <w:color w:val="000000"/>
          <w:sz w:val="22"/>
          <w:szCs w:val="22"/>
        </w:rPr>
      </w:pPr>
    </w:p>
    <w:p w14:paraId="76F7E35C" w14:textId="77777777" w:rsidR="00B52ED6"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Y, desde el punto de vista geográfico, </w:t>
      </w:r>
      <w:r w:rsidRPr="00C36D0C">
        <w:rPr>
          <w:rFonts w:ascii="Open Sans" w:eastAsia="Open Sans" w:hAnsi="Open Sans" w:cs="Open Sans"/>
          <w:b/>
          <w:bCs/>
          <w:color w:val="000000"/>
          <w:sz w:val="22"/>
          <w:szCs w:val="22"/>
        </w:rPr>
        <w:t xml:space="preserve">Andalucía es la comunidad con mayor proporción de personas </w:t>
      </w:r>
      <w:r w:rsidRPr="00C36D0C">
        <w:rPr>
          <w:rFonts w:ascii="Open Sans" w:eastAsia="Open Sans" w:hAnsi="Open Sans" w:cs="Open Sans"/>
          <w:b/>
          <w:bCs/>
          <w:sz w:val="22"/>
          <w:szCs w:val="22"/>
        </w:rPr>
        <w:t>propietarias de un único</w:t>
      </w:r>
      <w:r w:rsidRPr="00C36D0C">
        <w:rPr>
          <w:rFonts w:ascii="Open Sans" w:eastAsia="Open Sans" w:hAnsi="Open Sans" w:cs="Open Sans"/>
          <w:b/>
          <w:bCs/>
          <w:color w:val="000000"/>
          <w:sz w:val="22"/>
          <w:szCs w:val="22"/>
        </w:rPr>
        <w:t xml:space="preserve"> inmueble (84%). Sin embargo, Cataluña (18%) y la Comunidad Valenciana (18%) tienen más presencia de particulares que tienen dos viviendas en propiedad</w:t>
      </w:r>
      <w:r>
        <w:rPr>
          <w:rFonts w:ascii="Open Sans" w:eastAsia="Open Sans" w:hAnsi="Open Sans" w:cs="Open Sans"/>
          <w:color w:val="000000"/>
          <w:sz w:val="22"/>
          <w:szCs w:val="22"/>
        </w:rPr>
        <w:t xml:space="preserve">. Cuando se trata de tener tres o </w:t>
      </w:r>
      <w:r>
        <w:rPr>
          <w:rFonts w:ascii="Open Sans" w:eastAsia="Open Sans" w:hAnsi="Open Sans" w:cs="Open Sans"/>
          <w:color w:val="000000"/>
          <w:sz w:val="22"/>
          <w:szCs w:val="22"/>
        </w:rPr>
        <w:lastRenderedPageBreak/>
        <w:t>más inmuebles, la proporción es similar: en todas las comunidades autónomas analizadas la proporción de propietarios con este número de viviendas oscila entre el 4% y el 5%.</w:t>
      </w:r>
    </w:p>
    <w:p w14:paraId="1EDA3B3B" w14:textId="77777777" w:rsidR="00B52ED6" w:rsidRDefault="00B52ED6">
      <w:pPr>
        <w:spacing w:line="276" w:lineRule="auto"/>
        <w:ind w:right="-574"/>
        <w:jc w:val="both"/>
        <w:rPr>
          <w:rFonts w:ascii="Open Sans" w:eastAsia="Open Sans" w:hAnsi="Open Sans" w:cs="Open Sans"/>
          <w:color w:val="000000"/>
          <w:sz w:val="22"/>
          <w:szCs w:val="22"/>
        </w:rPr>
      </w:pPr>
    </w:p>
    <w:p w14:paraId="351F152F" w14:textId="77777777" w:rsidR="00B52ED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Tener o no una vivienda vacía es algo que depende mucho de cuántas viviendas se tengan en propiedad.</w:t>
      </w:r>
      <w:r>
        <w:rPr>
          <w:rFonts w:ascii="Open Sans" w:eastAsia="Open Sans" w:hAnsi="Open Sans" w:cs="Open Sans"/>
          <w:b/>
          <w:color w:val="000000"/>
          <w:sz w:val="22"/>
          <w:szCs w:val="22"/>
        </w:rPr>
        <w:t xml:space="preserve"> Así, de los particulares que solo tienen una vivienda (el 80% de los propietarios), únicamente hay un 1% que la mantiene vacía</w:t>
      </w:r>
      <w:r>
        <w:rPr>
          <w:rFonts w:ascii="Open Sans" w:eastAsia="Open Sans" w:hAnsi="Open Sans" w:cs="Open Sans"/>
          <w:color w:val="000000"/>
          <w:sz w:val="22"/>
          <w:szCs w:val="22"/>
        </w:rPr>
        <w:t xml:space="preserve">. Esta cifra, crece un poco más en el caso </w:t>
      </w:r>
      <w:r>
        <w:rPr>
          <w:rFonts w:ascii="Open Sans" w:eastAsia="Open Sans" w:hAnsi="Open Sans" w:cs="Open Sans"/>
          <w:b/>
          <w:color w:val="000000"/>
          <w:sz w:val="22"/>
          <w:szCs w:val="22"/>
        </w:rPr>
        <w:t>del 16% de propietarios que tiene dos viviendas en propiedad: de todos ellos, el 8 % tiene alguna vacía</w:t>
      </w:r>
      <w:r>
        <w:rPr>
          <w:rFonts w:ascii="Open Sans" w:eastAsia="Open Sans" w:hAnsi="Open Sans" w:cs="Open Sans"/>
          <w:color w:val="000000"/>
          <w:sz w:val="22"/>
          <w:szCs w:val="22"/>
        </w:rPr>
        <w:t xml:space="preserve">. Y, por último, </w:t>
      </w:r>
      <w:r>
        <w:rPr>
          <w:rFonts w:ascii="Open Sans" w:eastAsia="Open Sans" w:hAnsi="Open Sans" w:cs="Open Sans"/>
          <w:b/>
          <w:color w:val="000000"/>
          <w:sz w:val="22"/>
          <w:szCs w:val="22"/>
        </w:rPr>
        <w:t>entre el 4 % de propietarios que tiene tres o más viviendas, hay un 27% que mantiene alguno de los inmuebles desocupados</w:t>
      </w:r>
      <w:r>
        <w:rPr>
          <w:rFonts w:ascii="Open Sans" w:eastAsia="Open Sans" w:hAnsi="Open Sans" w:cs="Open Sans"/>
          <w:color w:val="000000"/>
          <w:sz w:val="22"/>
          <w:szCs w:val="22"/>
        </w:rPr>
        <w:t>.</w:t>
      </w:r>
    </w:p>
    <w:p w14:paraId="047C823F" w14:textId="77777777" w:rsidR="00B52ED6" w:rsidRDefault="00B52ED6">
      <w:pPr>
        <w:spacing w:line="276" w:lineRule="auto"/>
        <w:ind w:right="-574"/>
        <w:jc w:val="both"/>
        <w:rPr>
          <w:rFonts w:ascii="Open Sans" w:eastAsia="Open Sans" w:hAnsi="Open Sans" w:cs="Open Sans"/>
          <w:color w:val="000000"/>
          <w:sz w:val="22"/>
          <w:szCs w:val="22"/>
        </w:rPr>
      </w:pPr>
    </w:p>
    <w:p w14:paraId="379D5A04" w14:textId="77777777" w:rsidR="00B52ED6"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4B572ED7" wp14:editId="0AA0C794">
            <wp:extent cx="5709037" cy="2775005"/>
            <wp:effectExtent l="0" t="0" r="6350" b="6350"/>
            <wp:docPr id="2025152969" name="image5.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Diagrama&#10;&#10;Descripción generada automáticamente"/>
                    <pic:cNvPicPr preferRelativeResize="0"/>
                  </pic:nvPicPr>
                  <pic:blipFill>
                    <a:blip r:embed="rId14"/>
                    <a:srcRect/>
                    <a:stretch>
                      <a:fillRect/>
                    </a:stretch>
                  </pic:blipFill>
                  <pic:spPr>
                    <a:xfrm>
                      <a:off x="0" y="0"/>
                      <a:ext cx="5721171" cy="2780903"/>
                    </a:xfrm>
                    <a:prstGeom prst="rect">
                      <a:avLst/>
                    </a:prstGeom>
                    <a:ln/>
                  </pic:spPr>
                </pic:pic>
              </a:graphicData>
            </a:graphic>
          </wp:inline>
        </w:drawing>
      </w:r>
    </w:p>
    <w:p w14:paraId="2A932EF6" w14:textId="77777777" w:rsidR="00B52ED6" w:rsidRDefault="00B52ED6">
      <w:pPr>
        <w:spacing w:line="276" w:lineRule="auto"/>
        <w:ind w:right="-574"/>
        <w:jc w:val="both"/>
        <w:rPr>
          <w:rFonts w:ascii="Open Sans" w:eastAsia="Open Sans" w:hAnsi="Open Sans" w:cs="Open Sans"/>
          <w:color w:val="000000"/>
          <w:sz w:val="22"/>
          <w:szCs w:val="22"/>
        </w:rPr>
      </w:pPr>
    </w:p>
    <w:p w14:paraId="6A88FEE9" w14:textId="77777777" w:rsidR="00C36D0C" w:rsidRDefault="00C36D0C">
      <w:pPr>
        <w:spacing w:line="276" w:lineRule="auto"/>
        <w:ind w:right="-574"/>
        <w:jc w:val="both"/>
        <w:rPr>
          <w:rFonts w:ascii="Open Sans" w:eastAsia="Open Sans" w:hAnsi="Open Sans" w:cs="Open Sans"/>
          <w:color w:val="000000"/>
          <w:sz w:val="22"/>
          <w:szCs w:val="22"/>
        </w:rPr>
      </w:pPr>
    </w:p>
    <w:p w14:paraId="41558FA8" w14:textId="6A877B10" w:rsidR="00B52ED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general, aunque haya viviendas vacías, lo más frecuente es utilizar el inmueble que se tiene en propiedad como residencia habitual. De hecho, este es el uso que afirman darle el 97% de los usuarios. Asimismo, hay un 13% que también señala el uso de segunda residencia para su o sus viviendas en propiedad, un 9% que la tiene alquilada, ya sea por periodos largos o cortos de tiempo, y, finalmente, un 3% que la mantiene vacía.</w:t>
      </w:r>
    </w:p>
    <w:p w14:paraId="0A74F860" w14:textId="77777777" w:rsidR="00B52ED6" w:rsidRDefault="00B52ED6">
      <w:pPr>
        <w:spacing w:line="276" w:lineRule="auto"/>
        <w:ind w:right="-574"/>
        <w:jc w:val="both"/>
        <w:rPr>
          <w:rFonts w:ascii="Open Sans" w:eastAsia="Open Sans" w:hAnsi="Open Sans" w:cs="Open Sans"/>
          <w:color w:val="000000"/>
          <w:sz w:val="22"/>
          <w:szCs w:val="22"/>
        </w:rPr>
      </w:pPr>
    </w:p>
    <w:p w14:paraId="44693445" w14:textId="690E4FFF" w:rsidR="00B52ED6" w:rsidRDefault="00F33637">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3C9286E0" wp14:editId="5C922729">
            <wp:extent cx="5756744" cy="2878372"/>
            <wp:effectExtent l="0" t="0" r="0" b="0"/>
            <wp:docPr id="195392592"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92592" name="Imagen 1" descr="Imagen que contiene Interfaz de usuario gráfic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218" cy="2883609"/>
                    </a:xfrm>
                    <a:prstGeom prst="rect">
                      <a:avLst/>
                    </a:prstGeom>
                    <a:noFill/>
                    <a:ln>
                      <a:noFill/>
                    </a:ln>
                  </pic:spPr>
                </pic:pic>
              </a:graphicData>
            </a:graphic>
          </wp:inline>
        </w:drawing>
      </w:r>
    </w:p>
    <w:p w14:paraId="719C967A" w14:textId="77777777" w:rsidR="00F33637" w:rsidRDefault="00F33637">
      <w:pPr>
        <w:spacing w:line="276" w:lineRule="auto"/>
        <w:ind w:right="-574"/>
        <w:jc w:val="both"/>
        <w:rPr>
          <w:rFonts w:ascii="Open Sans" w:eastAsia="Open Sans" w:hAnsi="Open Sans" w:cs="Open Sans"/>
          <w:color w:val="000000"/>
          <w:sz w:val="22"/>
          <w:szCs w:val="22"/>
        </w:rPr>
      </w:pPr>
    </w:p>
    <w:p w14:paraId="13071A27" w14:textId="6643CA43" w:rsidR="00B52ED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vemos los datos de manera desagregada, se puede comprobar cómo la práctica totalidad de los propietarios, independientemente del número de viviendas que posean, utiliza alguna como residencia habitual. Y, dejando esto a un lado, los que tienen tres o más viviendas son los que más despuntan en el resto de los usos: un 70% tiene alguna vivienda alquilada y un 71% también señala el uso de segunda residencia. </w:t>
      </w:r>
    </w:p>
    <w:p w14:paraId="128310E7" w14:textId="77777777" w:rsidR="00B52ED6" w:rsidRDefault="00B52ED6">
      <w:pPr>
        <w:spacing w:line="276" w:lineRule="auto"/>
        <w:ind w:right="-574"/>
        <w:jc w:val="both"/>
        <w:rPr>
          <w:rFonts w:ascii="Open Sans" w:eastAsia="Open Sans" w:hAnsi="Open Sans" w:cs="Open Sans"/>
          <w:color w:val="000000"/>
          <w:sz w:val="22"/>
          <w:szCs w:val="22"/>
        </w:rPr>
      </w:pPr>
    </w:p>
    <w:p w14:paraId="492C3360" w14:textId="77777777" w:rsidR="00B52ED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Estos porcentajes son algo más reducidos en el </w:t>
      </w:r>
      <w:r>
        <w:rPr>
          <w:rFonts w:ascii="Open Sans" w:eastAsia="Open Sans" w:hAnsi="Open Sans" w:cs="Open Sans"/>
          <w:sz w:val="22"/>
          <w:szCs w:val="22"/>
        </w:rPr>
        <w:t>caso de los</w:t>
      </w:r>
      <w:r>
        <w:rPr>
          <w:rFonts w:ascii="Open Sans" w:eastAsia="Open Sans" w:hAnsi="Open Sans" w:cs="Open Sans"/>
          <w:color w:val="000000"/>
          <w:sz w:val="22"/>
          <w:szCs w:val="22"/>
        </w:rPr>
        <w:t xml:space="preserve"> que tienen dos viviendas: el 33% utiliza alguna de sus dos propiedades para alquilarla a otras personas, ya sea para estancias cortas o de larga duración, y un 55% la usa como segunda residencia. Por su parte, entre los particulares que tienen una única vivienda en propiedad, los usos de alquiler (1%) y segunda residencia (2%) son prácticamente inexistentes.</w:t>
      </w:r>
    </w:p>
    <w:p w14:paraId="3FBBD253" w14:textId="77777777" w:rsidR="00B52ED6" w:rsidRDefault="00B52ED6">
      <w:pPr>
        <w:spacing w:line="276" w:lineRule="auto"/>
        <w:ind w:right="-574"/>
        <w:jc w:val="both"/>
        <w:rPr>
          <w:rFonts w:ascii="Open Sans" w:eastAsia="Open Sans" w:hAnsi="Open Sans" w:cs="Open Sans"/>
          <w:color w:val="000000"/>
          <w:sz w:val="22"/>
          <w:szCs w:val="22"/>
        </w:rPr>
      </w:pPr>
    </w:p>
    <w:p w14:paraId="23809BF0" w14:textId="518D13AB" w:rsidR="00B52ED6" w:rsidRDefault="00F33637">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467F22FC" wp14:editId="52AD8B4F">
            <wp:extent cx="5735024" cy="3538330"/>
            <wp:effectExtent l="0" t="0" r="0" b="5080"/>
            <wp:docPr id="360430526"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30526" name="Imagen 2" descr="Gráfico, Gráfico de barras&#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4234" cy="3544012"/>
                    </a:xfrm>
                    <a:prstGeom prst="rect">
                      <a:avLst/>
                    </a:prstGeom>
                    <a:noFill/>
                    <a:ln>
                      <a:noFill/>
                    </a:ln>
                  </pic:spPr>
                </pic:pic>
              </a:graphicData>
            </a:graphic>
          </wp:inline>
        </w:drawing>
      </w:r>
    </w:p>
    <w:p w14:paraId="5D3CE5BE" w14:textId="77777777" w:rsidR="00F33637" w:rsidRDefault="00F33637">
      <w:pPr>
        <w:spacing w:line="276" w:lineRule="auto"/>
        <w:ind w:right="-574"/>
        <w:jc w:val="both"/>
        <w:rPr>
          <w:rFonts w:ascii="Open Sans Light" w:eastAsia="Open Sans Light" w:hAnsi="Open Sans Light" w:cs="Open Sans Light"/>
          <w:b/>
          <w:color w:val="303AB2"/>
          <w:sz w:val="26"/>
          <w:szCs w:val="26"/>
        </w:rPr>
      </w:pPr>
    </w:p>
    <w:p w14:paraId="17EAFB3D" w14:textId="66C6371B" w:rsidR="00B52ED6"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¿Por qué los propietarios mantienen las viviendas vacías?</w:t>
      </w:r>
    </w:p>
    <w:p w14:paraId="2CB51DB7" w14:textId="77777777" w:rsidR="00B52ED6" w:rsidRDefault="00B52ED6">
      <w:pPr>
        <w:spacing w:line="276" w:lineRule="auto"/>
        <w:ind w:right="-574"/>
        <w:jc w:val="both"/>
        <w:rPr>
          <w:rFonts w:ascii="Open Sans Light" w:eastAsia="Open Sans Light" w:hAnsi="Open Sans Light" w:cs="Open Sans Light"/>
          <w:b/>
          <w:color w:val="303AB2"/>
          <w:sz w:val="26"/>
          <w:szCs w:val="26"/>
        </w:rPr>
      </w:pPr>
    </w:p>
    <w:p w14:paraId="3B41C50E" w14:textId="77777777" w:rsidR="00B52ED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muchos casos, tener una vivienda vacía es consecuencia de un hecho concreto —como que el edificio está en proceso de ser rehabilitado—. Pero también es posible que sean inquietudes como el temor a no recuperar la vivienda en caso de impago o malas experiencias con inquilinos las que hayan incentivado esta decisión. En este sentido, los tres principales motivos de los propietarios para tener una o varias viviendas vacías corresponden </w:t>
      </w:r>
      <w:r>
        <w:rPr>
          <w:rFonts w:ascii="Open Sans" w:eastAsia="Open Sans" w:hAnsi="Open Sans" w:cs="Open Sans"/>
          <w:sz w:val="22"/>
          <w:szCs w:val="22"/>
        </w:rPr>
        <w:t>a la</w:t>
      </w:r>
      <w:r>
        <w:rPr>
          <w:rFonts w:ascii="Open Sans" w:eastAsia="Open Sans" w:hAnsi="Open Sans" w:cs="Open Sans"/>
          <w:color w:val="000000"/>
          <w:sz w:val="22"/>
          <w:szCs w:val="22"/>
        </w:rPr>
        <w:t xml:space="preserve"> primera opción. </w:t>
      </w:r>
      <w:r>
        <w:rPr>
          <w:rFonts w:ascii="Open Sans" w:eastAsia="Open Sans" w:hAnsi="Open Sans" w:cs="Open Sans"/>
          <w:b/>
          <w:color w:val="000000"/>
          <w:sz w:val="22"/>
          <w:szCs w:val="22"/>
        </w:rPr>
        <w:t xml:space="preserve">Así, un 18% la mantiene vacía porque necesita acometer reformas previas a una venta o alquiler. </w:t>
      </w:r>
      <w:r>
        <w:rPr>
          <w:rFonts w:ascii="Open Sans" w:eastAsia="Open Sans" w:hAnsi="Open Sans" w:cs="Open Sans"/>
          <w:color w:val="000000"/>
          <w:sz w:val="22"/>
          <w:szCs w:val="22"/>
        </w:rPr>
        <w:t xml:space="preserve">Un porcentaje idéntico al de los propietarios que aseguran que tienen el inmueble desocupado porque lo han heredado y no se ponen de acuerdo con el uso que se le va a dar. </w:t>
      </w:r>
    </w:p>
    <w:p w14:paraId="6531802D" w14:textId="77777777" w:rsidR="00B52ED6" w:rsidRDefault="00B52ED6">
      <w:pPr>
        <w:spacing w:line="276" w:lineRule="auto"/>
        <w:ind w:right="-574"/>
        <w:jc w:val="both"/>
        <w:rPr>
          <w:rFonts w:ascii="Open Sans" w:eastAsia="Open Sans" w:hAnsi="Open Sans" w:cs="Open Sans"/>
          <w:color w:val="000000"/>
          <w:sz w:val="22"/>
          <w:szCs w:val="22"/>
        </w:rPr>
      </w:pPr>
    </w:p>
    <w:p w14:paraId="370F333D" w14:textId="77777777" w:rsidR="00B52ED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Aparte de estas dos cuestiones, hay tres motivos más que señalan, al menos, el 10% de los propietarios: en primer lugar, </w:t>
      </w:r>
      <w:r>
        <w:rPr>
          <w:rFonts w:ascii="Open Sans" w:eastAsia="Open Sans" w:hAnsi="Open Sans" w:cs="Open Sans"/>
          <w:b/>
          <w:color w:val="000000"/>
          <w:sz w:val="22"/>
          <w:szCs w:val="22"/>
        </w:rPr>
        <w:t>hay un 17% que afirma que un familiar, amigo o conocido la va a ocupar próximamente</w:t>
      </w:r>
      <w:r>
        <w:rPr>
          <w:rFonts w:ascii="Open Sans" w:eastAsia="Open Sans" w:hAnsi="Open Sans" w:cs="Open Sans"/>
          <w:color w:val="000000"/>
          <w:sz w:val="22"/>
          <w:szCs w:val="22"/>
        </w:rPr>
        <w:t xml:space="preserve">. Seguidamente, </w:t>
      </w:r>
      <w:r>
        <w:rPr>
          <w:rFonts w:ascii="Open Sans" w:eastAsia="Open Sans" w:hAnsi="Open Sans" w:cs="Open Sans"/>
          <w:b/>
          <w:color w:val="000000"/>
          <w:sz w:val="22"/>
          <w:szCs w:val="22"/>
        </w:rPr>
        <w:t>un 11% que está realizando obras en la vivienda y, por último, un 11% que la mantiene desocupada por desconfianza ante situaciones como impagos o un uso inadecuado del inmueble</w:t>
      </w:r>
      <w:r>
        <w:rPr>
          <w:rFonts w:ascii="Open Sans" w:eastAsia="Open Sans" w:hAnsi="Open Sans" w:cs="Open Sans"/>
          <w:color w:val="000000"/>
          <w:sz w:val="22"/>
          <w:szCs w:val="22"/>
        </w:rPr>
        <w:t>.</w:t>
      </w:r>
    </w:p>
    <w:p w14:paraId="3A75C2FD" w14:textId="77777777" w:rsidR="00F33637" w:rsidRDefault="00F33637">
      <w:pPr>
        <w:spacing w:line="276" w:lineRule="auto"/>
        <w:ind w:right="-574"/>
        <w:jc w:val="both"/>
        <w:rPr>
          <w:rFonts w:ascii="Open Sans" w:eastAsia="Open Sans" w:hAnsi="Open Sans" w:cs="Open Sans"/>
          <w:color w:val="000000"/>
          <w:sz w:val="22"/>
          <w:szCs w:val="22"/>
        </w:rPr>
      </w:pPr>
    </w:p>
    <w:p w14:paraId="5D2D6C6C" w14:textId="4916DFD6" w:rsidR="00B52ED6" w:rsidRDefault="00B52ED6">
      <w:pPr>
        <w:spacing w:line="276" w:lineRule="auto"/>
        <w:ind w:right="-574"/>
        <w:jc w:val="both"/>
        <w:rPr>
          <w:rFonts w:ascii="Open Sans" w:eastAsia="Open Sans" w:hAnsi="Open Sans" w:cs="Open Sans"/>
          <w:color w:val="000000"/>
          <w:sz w:val="22"/>
          <w:szCs w:val="22"/>
        </w:rPr>
      </w:pPr>
    </w:p>
    <w:p w14:paraId="32A54D18" w14:textId="371E06F0" w:rsidR="00B52ED6" w:rsidRDefault="00C36D0C" w:rsidP="00C36D0C">
      <w:pPr>
        <w:spacing w:line="276" w:lineRule="auto"/>
        <w:ind w:left="-567" w:right="-574"/>
        <w:jc w:val="center"/>
        <w:rPr>
          <w:rFonts w:ascii="Open Sans" w:eastAsia="Open Sans" w:hAnsi="Open Sans" w:cs="Open Sans"/>
          <w:color w:val="000000"/>
          <w:sz w:val="22"/>
          <w:szCs w:val="22"/>
        </w:rPr>
      </w:pPr>
      <w:r>
        <w:rPr>
          <w:noProof/>
        </w:rPr>
        <w:lastRenderedPageBreak/>
        <w:drawing>
          <wp:inline distT="0" distB="0" distL="0" distR="0" wp14:anchorId="15FCF0F1" wp14:editId="141DE0C3">
            <wp:extent cx="5895312" cy="4357315"/>
            <wp:effectExtent l="0" t="0" r="0" b="5715"/>
            <wp:docPr id="151637632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76321" name="Imagen 1" descr="Texto&#10;&#10;Descripción generada automáticamente con confianza media"/>
                    <pic:cNvPicPr/>
                  </pic:nvPicPr>
                  <pic:blipFill>
                    <a:blip r:embed="rId17"/>
                    <a:stretch>
                      <a:fillRect/>
                    </a:stretch>
                  </pic:blipFill>
                  <pic:spPr>
                    <a:xfrm>
                      <a:off x="0" y="0"/>
                      <a:ext cx="5918513" cy="4374463"/>
                    </a:xfrm>
                    <a:prstGeom prst="rect">
                      <a:avLst/>
                    </a:prstGeom>
                  </pic:spPr>
                </pic:pic>
              </a:graphicData>
            </a:graphic>
          </wp:inline>
        </w:drawing>
      </w:r>
    </w:p>
    <w:p w14:paraId="0A8B4DBD" w14:textId="77777777" w:rsidR="00B52ED6" w:rsidRDefault="00B52ED6">
      <w:pPr>
        <w:spacing w:line="276" w:lineRule="auto"/>
        <w:ind w:right="-574"/>
        <w:jc w:val="both"/>
        <w:rPr>
          <w:rFonts w:ascii="Open Sans" w:eastAsia="Open Sans" w:hAnsi="Open Sans" w:cs="Open Sans"/>
          <w:color w:val="000000"/>
          <w:sz w:val="22"/>
          <w:szCs w:val="22"/>
        </w:rPr>
      </w:pPr>
    </w:p>
    <w:p w14:paraId="5DFD1B3E" w14:textId="77777777" w:rsidR="00F33637" w:rsidRDefault="00F33637">
      <w:pPr>
        <w:spacing w:line="276" w:lineRule="auto"/>
        <w:ind w:right="-574"/>
        <w:jc w:val="both"/>
        <w:rPr>
          <w:rFonts w:ascii="Open Sans" w:eastAsia="Open Sans" w:hAnsi="Open Sans" w:cs="Open Sans"/>
          <w:color w:val="000000"/>
          <w:sz w:val="22"/>
          <w:szCs w:val="22"/>
        </w:rPr>
      </w:pPr>
    </w:p>
    <w:p w14:paraId="0BA24BE1" w14:textId="77777777" w:rsidR="00F33637" w:rsidRDefault="00F33637">
      <w:pPr>
        <w:spacing w:line="276" w:lineRule="auto"/>
        <w:ind w:right="-574"/>
        <w:jc w:val="both"/>
        <w:rPr>
          <w:rFonts w:ascii="Open Sans" w:eastAsia="Open Sans" w:hAnsi="Open Sans" w:cs="Open Sans"/>
          <w:color w:val="000000"/>
          <w:sz w:val="22"/>
          <w:szCs w:val="22"/>
        </w:rPr>
      </w:pPr>
    </w:p>
    <w:p w14:paraId="1D321218" w14:textId="77777777" w:rsidR="00B52ED6" w:rsidRDefault="00B52ED6">
      <w:pPr>
        <w:spacing w:line="276" w:lineRule="auto"/>
        <w:ind w:right="-716"/>
        <w:jc w:val="right"/>
        <w:rPr>
          <w:rFonts w:ascii="Open Sans Light" w:eastAsia="Open Sans Light" w:hAnsi="Open Sans Light" w:cs="Open Sans Light"/>
          <w:b/>
          <w:color w:val="303AB2"/>
        </w:rPr>
      </w:pPr>
    </w:p>
    <w:p w14:paraId="24ECF2AB" w14:textId="77777777" w:rsidR="00B52ED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1265CB1" w14:textId="77777777" w:rsidR="00B52ED6"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9">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27BED296" w14:textId="77777777" w:rsidR="00B52ED6"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EA187A0" w14:textId="77777777" w:rsidR="00B52ED6"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5DCFBBC" w14:textId="77777777" w:rsidR="00B52ED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9B249BE" w14:textId="77777777" w:rsidR="00B52ED6"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1">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3">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4">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5">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7C3CDFA" w14:textId="77777777" w:rsidR="00B52ED6"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DC19C06" w14:textId="77777777" w:rsidR="00B52ED6"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078B98D4" w14:textId="77777777" w:rsidR="00B52ED6"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6">
        <w:r>
          <w:rPr>
            <w:rFonts w:ascii="Open Sans" w:eastAsia="Open Sans" w:hAnsi="Open Sans" w:cs="Open Sans"/>
            <w:color w:val="1155CC"/>
            <w:sz w:val="22"/>
            <w:szCs w:val="22"/>
            <w:u w:val="single"/>
          </w:rPr>
          <w:t>adevinta.es</w:t>
        </w:r>
      </w:hyperlink>
    </w:p>
    <w:p w14:paraId="1172C03B" w14:textId="77777777" w:rsidR="00B52ED6" w:rsidRDefault="00B52ED6">
      <w:pPr>
        <w:spacing w:after="160"/>
        <w:ind w:right="-716"/>
        <w:jc w:val="both"/>
        <w:rPr>
          <w:rFonts w:ascii="Open Sans" w:eastAsia="Open Sans" w:hAnsi="Open Sans" w:cs="Open Sans"/>
        </w:rPr>
      </w:pPr>
    </w:p>
    <w:p w14:paraId="7A454849" w14:textId="77777777" w:rsidR="00B52ED6"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EF302D8" w14:textId="77777777" w:rsidR="00B52ED6"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BC0E8B7" w14:textId="77777777" w:rsidR="00B52ED6" w:rsidRDefault="00000000">
      <w:pPr>
        <w:shd w:val="clear" w:color="auto" w:fill="FFFFFF"/>
        <w:spacing w:line="276" w:lineRule="auto"/>
        <w:ind w:right="-716"/>
        <w:rPr>
          <w:rFonts w:ascii="Open Sans" w:eastAsia="Open Sans" w:hAnsi="Open Sans" w:cs="Open Sans"/>
          <w:color w:val="0000FF"/>
          <w:sz w:val="22"/>
          <w:szCs w:val="22"/>
          <w:u w:val="single"/>
        </w:rPr>
      </w:pPr>
      <w:hyperlink r:id="rId27">
        <w:r>
          <w:rPr>
            <w:rFonts w:ascii="Open Sans" w:eastAsia="Open Sans" w:hAnsi="Open Sans" w:cs="Open Sans"/>
            <w:color w:val="0000FF"/>
            <w:sz w:val="22"/>
            <w:szCs w:val="22"/>
            <w:u w:val="single"/>
          </w:rPr>
          <w:t>comunicacion@fotocasa.es</w:t>
        </w:r>
      </w:hyperlink>
    </w:p>
    <w:p w14:paraId="12ACA2EE" w14:textId="77777777" w:rsidR="00B52ED6"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3F32DE6" w14:textId="77777777" w:rsidR="00B52ED6" w:rsidRDefault="00B52ED6">
      <w:pPr>
        <w:spacing w:line="276" w:lineRule="auto"/>
        <w:ind w:right="-716"/>
        <w:rPr>
          <w:rFonts w:ascii="Open Sans Light" w:eastAsia="Open Sans Light" w:hAnsi="Open Sans Light" w:cs="Open Sans Light"/>
          <w:b/>
          <w:color w:val="303AB2"/>
          <w:sz w:val="22"/>
          <w:szCs w:val="22"/>
        </w:rPr>
      </w:pPr>
    </w:p>
    <w:p w14:paraId="0E7ED81F" w14:textId="77777777" w:rsidR="00B52ED6"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335CE31" w14:textId="77777777" w:rsidR="00B52ED6"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233F8BB" w14:textId="77777777" w:rsidR="00B52ED6" w:rsidRPr="00F33637"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8">
        <w:r w:rsidRPr="00F33637">
          <w:rPr>
            <w:rFonts w:ascii="Open Sans" w:eastAsia="Open Sans" w:hAnsi="Open Sans" w:cs="Open Sans"/>
            <w:color w:val="0000FF"/>
            <w:sz w:val="22"/>
            <w:szCs w:val="22"/>
            <w:u w:val="single"/>
            <w:lang w:val="en-US"/>
          </w:rPr>
          <w:t>rtorne@llorenteycuenca.com</w:t>
        </w:r>
      </w:hyperlink>
      <w:r w:rsidRPr="00F33637">
        <w:rPr>
          <w:rFonts w:ascii="Open Sans" w:eastAsia="Open Sans" w:hAnsi="Open Sans" w:cs="Open Sans"/>
          <w:color w:val="0000FF"/>
          <w:sz w:val="22"/>
          <w:szCs w:val="22"/>
          <w:lang w:val="en-US"/>
        </w:rPr>
        <w:tab/>
      </w:r>
      <w:r w:rsidRPr="00F33637">
        <w:rPr>
          <w:rFonts w:ascii="Open Sans" w:eastAsia="Open Sans" w:hAnsi="Open Sans" w:cs="Open Sans"/>
          <w:color w:val="0000FF"/>
          <w:sz w:val="22"/>
          <w:szCs w:val="22"/>
          <w:lang w:val="en-US"/>
        </w:rPr>
        <w:tab/>
      </w:r>
      <w:r w:rsidRPr="00F33637">
        <w:rPr>
          <w:rFonts w:ascii="Open Sans" w:eastAsia="Open Sans" w:hAnsi="Open Sans" w:cs="Open Sans"/>
          <w:color w:val="0000FF"/>
          <w:sz w:val="22"/>
          <w:szCs w:val="22"/>
          <w:lang w:val="en-US"/>
        </w:rPr>
        <w:tab/>
      </w:r>
    </w:p>
    <w:p w14:paraId="0ED9E9FD" w14:textId="77777777" w:rsidR="00B52ED6" w:rsidRPr="00F33637" w:rsidRDefault="00000000">
      <w:pPr>
        <w:shd w:val="clear" w:color="auto" w:fill="FFFFFF"/>
        <w:spacing w:line="276" w:lineRule="auto"/>
        <w:ind w:right="-716"/>
        <w:rPr>
          <w:rFonts w:ascii="Open Sans" w:eastAsia="Open Sans" w:hAnsi="Open Sans" w:cs="Open Sans"/>
          <w:color w:val="000000"/>
          <w:sz w:val="22"/>
          <w:szCs w:val="22"/>
          <w:lang w:val="en-US"/>
        </w:rPr>
      </w:pPr>
      <w:r w:rsidRPr="00F33637">
        <w:rPr>
          <w:rFonts w:ascii="Open Sans" w:eastAsia="Open Sans" w:hAnsi="Open Sans" w:cs="Open Sans"/>
          <w:color w:val="000000"/>
          <w:sz w:val="22"/>
          <w:szCs w:val="22"/>
          <w:lang w:val="en-US"/>
        </w:rPr>
        <w:t xml:space="preserve">638 68 19 85      </w:t>
      </w:r>
      <w:r w:rsidRPr="00F33637">
        <w:rPr>
          <w:rFonts w:ascii="Open Sans" w:eastAsia="Open Sans" w:hAnsi="Open Sans" w:cs="Open Sans"/>
          <w:color w:val="000000"/>
          <w:sz w:val="22"/>
          <w:szCs w:val="22"/>
          <w:lang w:val="en-US"/>
        </w:rPr>
        <w:tab/>
      </w:r>
      <w:r w:rsidRPr="00F33637">
        <w:rPr>
          <w:rFonts w:ascii="Open Sans" w:eastAsia="Open Sans" w:hAnsi="Open Sans" w:cs="Open Sans"/>
          <w:color w:val="000000"/>
          <w:sz w:val="22"/>
          <w:szCs w:val="22"/>
          <w:lang w:val="en-US"/>
        </w:rPr>
        <w:tab/>
      </w:r>
      <w:r w:rsidRPr="00F33637">
        <w:rPr>
          <w:rFonts w:ascii="Open Sans" w:eastAsia="Open Sans" w:hAnsi="Open Sans" w:cs="Open Sans"/>
          <w:color w:val="000000"/>
          <w:sz w:val="22"/>
          <w:szCs w:val="22"/>
          <w:lang w:val="en-US"/>
        </w:rPr>
        <w:tab/>
      </w:r>
      <w:r w:rsidRPr="00F33637">
        <w:rPr>
          <w:rFonts w:ascii="Open Sans" w:eastAsia="Open Sans" w:hAnsi="Open Sans" w:cs="Open Sans"/>
          <w:color w:val="000000"/>
          <w:sz w:val="22"/>
          <w:szCs w:val="22"/>
          <w:lang w:val="en-US"/>
        </w:rPr>
        <w:tab/>
      </w:r>
      <w:r w:rsidRPr="00F33637">
        <w:rPr>
          <w:rFonts w:ascii="Open Sans" w:eastAsia="Open Sans" w:hAnsi="Open Sans" w:cs="Open Sans"/>
          <w:color w:val="000000"/>
          <w:sz w:val="22"/>
          <w:szCs w:val="22"/>
          <w:lang w:val="en-US"/>
        </w:rPr>
        <w:tab/>
      </w:r>
      <w:r w:rsidRPr="00F33637">
        <w:rPr>
          <w:rFonts w:ascii="Open Sans" w:eastAsia="Open Sans" w:hAnsi="Open Sans" w:cs="Open Sans"/>
          <w:color w:val="000000"/>
          <w:sz w:val="22"/>
          <w:szCs w:val="22"/>
          <w:lang w:val="en-US"/>
        </w:rPr>
        <w:tab/>
      </w:r>
      <w:r w:rsidRPr="00F33637">
        <w:rPr>
          <w:rFonts w:ascii="Open Sans" w:eastAsia="Open Sans" w:hAnsi="Open Sans" w:cs="Open Sans"/>
          <w:color w:val="000000"/>
          <w:sz w:val="22"/>
          <w:szCs w:val="22"/>
          <w:lang w:val="en-US"/>
        </w:rPr>
        <w:tab/>
      </w:r>
      <w:r w:rsidRPr="00F33637">
        <w:rPr>
          <w:rFonts w:ascii="Open Sans" w:eastAsia="Open Sans" w:hAnsi="Open Sans" w:cs="Open Sans"/>
          <w:color w:val="000000"/>
          <w:sz w:val="22"/>
          <w:szCs w:val="22"/>
          <w:lang w:val="en-US"/>
        </w:rPr>
        <w:tab/>
      </w:r>
    </w:p>
    <w:p w14:paraId="58F25065" w14:textId="77777777" w:rsidR="00B52ED6" w:rsidRPr="00F33637" w:rsidRDefault="00000000">
      <w:pPr>
        <w:shd w:val="clear" w:color="auto" w:fill="FFFFFF"/>
        <w:ind w:right="-716"/>
        <w:rPr>
          <w:rFonts w:ascii="Arial" w:eastAsia="Arial" w:hAnsi="Arial" w:cs="Arial"/>
          <w:color w:val="222222"/>
          <w:sz w:val="22"/>
          <w:szCs w:val="22"/>
          <w:lang w:val="en-US"/>
        </w:rPr>
      </w:pPr>
      <w:r w:rsidRPr="00F33637">
        <w:rPr>
          <w:rFonts w:ascii="Arial" w:eastAsia="Arial" w:hAnsi="Arial" w:cs="Arial"/>
          <w:color w:val="222222"/>
          <w:sz w:val="22"/>
          <w:szCs w:val="22"/>
          <w:lang w:val="en-US"/>
        </w:rPr>
        <w:tab/>
      </w:r>
    </w:p>
    <w:p w14:paraId="63032973" w14:textId="77777777" w:rsidR="00B52ED6" w:rsidRPr="00F33637" w:rsidRDefault="00000000">
      <w:pPr>
        <w:shd w:val="clear" w:color="auto" w:fill="FFFFFF"/>
        <w:ind w:right="-716"/>
        <w:rPr>
          <w:rFonts w:ascii="Arial" w:eastAsia="Arial" w:hAnsi="Arial" w:cs="Arial"/>
          <w:color w:val="222222"/>
          <w:sz w:val="22"/>
          <w:szCs w:val="22"/>
          <w:lang w:val="en-US"/>
        </w:rPr>
      </w:pPr>
      <w:r w:rsidRPr="00F33637">
        <w:rPr>
          <w:rFonts w:ascii="Arial" w:eastAsia="Arial" w:hAnsi="Arial" w:cs="Arial"/>
          <w:color w:val="222222"/>
          <w:sz w:val="22"/>
          <w:szCs w:val="22"/>
          <w:lang w:val="en-US"/>
        </w:rPr>
        <w:tab/>
      </w:r>
      <w:r w:rsidRPr="00F33637">
        <w:rPr>
          <w:rFonts w:ascii="Arial" w:eastAsia="Arial" w:hAnsi="Arial" w:cs="Arial"/>
          <w:color w:val="222222"/>
          <w:sz w:val="22"/>
          <w:szCs w:val="22"/>
          <w:lang w:val="en-US"/>
        </w:rPr>
        <w:tab/>
      </w:r>
      <w:r w:rsidRPr="00F33637">
        <w:rPr>
          <w:rFonts w:ascii="Arial" w:eastAsia="Arial" w:hAnsi="Arial" w:cs="Arial"/>
          <w:color w:val="222222"/>
          <w:sz w:val="22"/>
          <w:szCs w:val="22"/>
          <w:lang w:val="en-US"/>
        </w:rPr>
        <w:tab/>
      </w:r>
      <w:r w:rsidRPr="00F33637">
        <w:rPr>
          <w:rFonts w:ascii="Arial" w:eastAsia="Arial" w:hAnsi="Arial" w:cs="Arial"/>
          <w:color w:val="222222"/>
          <w:sz w:val="22"/>
          <w:szCs w:val="22"/>
          <w:lang w:val="en-US"/>
        </w:rPr>
        <w:tab/>
      </w:r>
      <w:r w:rsidRPr="00F33637">
        <w:rPr>
          <w:rFonts w:ascii="Arial" w:eastAsia="Arial" w:hAnsi="Arial" w:cs="Arial"/>
          <w:color w:val="222222"/>
          <w:sz w:val="22"/>
          <w:szCs w:val="22"/>
          <w:lang w:val="en-US"/>
        </w:rPr>
        <w:tab/>
      </w:r>
      <w:r w:rsidRPr="00F33637">
        <w:rPr>
          <w:rFonts w:ascii="Arial" w:eastAsia="Arial" w:hAnsi="Arial" w:cs="Arial"/>
          <w:color w:val="222222"/>
          <w:sz w:val="22"/>
          <w:szCs w:val="22"/>
          <w:lang w:val="en-US"/>
        </w:rPr>
        <w:tab/>
        <w:t xml:space="preserve">     </w:t>
      </w:r>
    </w:p>
    <w:p w14:paraId="0B5A1D29" w14:textId="77777777" w:rsidR="00B52ED6" w:rsidRPr="00F33637" w:rsidRDefault="00000000">
      <w:pPr>
        <w:shd w:val="clear" w:color="auto" w:fill="FFFFFF"/>
        <w:ind w:right="-716"/>
        <w:rPr>
          <w:rFonts w:ascii="Open Sans" w:eastAsia="Open Sans" w:hAnsi="Open Sans" w:cs="Open Sans"/>
          <w:b/>
          <w:color w:val="000000"/>
          <w:sz w:val="22"/>
          <w:szCs w:val="22"/>
          <w:lang w:val="en-US"/>
        </w:rPr>
      </w:pPr>
      <w:r w:rsidRPr="00F33637">
        <w:rPr>
          <w:rFonts w:ascii="Open Sans" w:eastAsia="Open Sans" w:hAnsi="Open Sans" w:cs="Open Sans"/>
          <w:b/>
          <w:color w:val="000000"/>
          <w:sz w:val="22"/>
          <w:szCs w:val="22"/>
          <w:lang w:val="en-US"/>
        </w:rPr>
        <w:t>Fanny Merino</w:t>
      </w:r>
    </w:p>
    <w:p w14:paraId="1B1D7574" w14:textId="77777777" w:rsidR="00B52ED6" w:rsidRPr="00F33637" w:rsidRDefault="00000000">
      <w:pPr>
        <w:shd w:val="clear" w:color="auto" w:fill="FFFFFF"/>
        <w:ind w:right="-716"/>
        <w:rPr>
          <w:rFonts w:ascii="Open Sans" w:eastAsia="Open Sans" w:hAnsi="Open Sans" w:cs="Open Sans"/>
          <w:b/>
          <w:color w:val="000000"/>
          <w:sz w:val="22"/>
          <w:szCs w:val="22"/>
          <w:lang w:val="en-US"/>
        </w:rPr>
      </w:pPr>
      <w:hyperlink r:id="rId29">
        <w:r w:rsidRPr="00F33637">
          <w:rPr>
            <w:rFonts w:ascii="Open Sans" w:eastAsia="Open Sans" w:hAnsi="Open Sans" w:cs="Open Sans"/>
            <w:color w:val="0000FF"/>
            <w:sz w:val="22"/>
            <w:szCs w:val="22"/>
            <w:u w:val="single"/>
            <w:lang w:val="en-US"/>
          </w:rPr>
          <w:t>emerino@llorenteycuenca.com</w:t>
        </w:r>
      </w:hyperlink>
      <w:r w:rsidRPr="00F33637">
        <w:rPr>
          <w:rFonts w:ascii="Open Sans" w:eastAsia="Open Sans" w:hAnsi="Open Sans" w:cs="Open Sans"/>
          <w:color w:val="0000FF"/>
          <w:sz w:val="22"/>
          <w:szCs w:val="22"/>
          <w:lang w:val="en-US"/>
        </w:rPr>
        <w:tab/>
      </w:r>
      <w:r w:rsidRPr="00F33637">
        <w:rPr>
          <w:rFonts w:ascii="Open Sans" w:eastAsia="Open Sans" w:hAnsi="Open Sans" w:cs="Open Sans"/>
          <w:color w:val="0000FF"/>
          <w:sz w:val="22"/>
          <w:szCs w:val="22"/>
          <w:lang w:val="en-US"/>
        </w:rPr>
        <w:tab/>
      </w:r>
    </w:p>
    <w:p w14:paraId="542FA886" w14:textId="77777777" w:rsidR="00B52ED6" w:rsidRPr="00F33637" w:rsidRDefault="00000000">
      <w:pPr>
        <w:shd w:val="clear" w:color="auto" w:fill="FFFFFF"/>
        <w:ind w:right="-716"/>
        <w:rPr>
          <w:rFonts w:ascii="Open Sans" w:eastAsia="Open Sans" w:hAnsi="Open Sans" w:cs="Open Sans"/>
          <w:color w:val="000000"/>
          <w:sz w:val="22"/>
          <w:szCs w:val="22"/>
          <w:lang w:val="en-US"/>
        </w:rPr>
      </w:pPr>
      <w:r w:rsidRPr="00F33637">
        <w:rPr>
          <w:rFonts w:ascii="Open Sans" w:eastAsia="Open Sans" w:hAnsi="Open Sans" w:cs="Open Sans"/>
          <w:color w:val="000000"/>
          <w:sz w:val="22"/>
          <w:szCs w:val="22"/>
          <w:lang w:val="en-US"/>
        </w:rPr>
        <w:t>663 35 69 75 </w:t>
      </w:r>
    </w:p>
    <w:p w14:paraId="7B0350CB" w14:textId="77777777" w:rsidR="00B52ED6" w:rsidRPr="00F33637" w:rsidRDefault="00B52ED6">
      <w:pPr>
        <w:shd w:val="clear" w:color="auto" w:fill="FFFFFF"/>
        <w:ind w:right="-716"/>
        <w:rPr>
          <w:rFonts w:ascii="Open Sans" w:eastAsia="Open Sans" w:hAnsi="Open Sans" w:cs="Open Sans"/>
          <w:color w:val="000000"/>
          <w:sz w:val="22"/>
          <w:szCs w:val="22"/>
          <w:lang w:val="en-US"/>
        </w:rPr>
      </w:pPr>
    </w:p>
    <w:p w14:paraId="493F7D26" w14:textId="77777777" w:rsidR="00B52ED6" w:rsidRPr="00F33637" w:rsidRDefault="00B52ED6">
      <w:pPr>
        <w:shd w:val="clear" w:color="auto" w:fill="FFFFFF"/>
        <w:ind w:right="-716"/>
        <w:rPr>
          <w:rFonts w:ascii="Open Sans" w:eastAsia="Open Sans" w:hAnsi="Open Sans" w:cs="Open Sans"/>
          <w:color w:val="000000"/>
          <w:sz w:val="22"/>
          <w:szCs w:val="22"/>
          <w:lang w:val="en-US"/>
        </w:rPr>
      </w:pPr>
    </w:p>
    <w:p w14:paraId="23B0E8F5" w14:textId="77777777" w:rsidR="00B52ED6" w:rsidRPr="00F33637" w:rsidRDefault="00000000">
      <w:pPr>
        <w:shd w:val="clear" w:color="auto" w:fill="FFFFFF"/>
        <w:ind w:right="-716"/>
        <w:rPr>
          <w:rFonts w:ascii="Open Sans" w:eastAsia="Open Sans" w:hAnsi="Open Sans" w:cs="Open Sans"/>
          <w:b/>
          <w:color w:val="000000"/>
          <w:sz w:val="22"/>
          <w:szCs w:val="22"/>
          <w:lang w:val="en-US"/>
        </w:rPr>
      </w:pPr>
      <w:r w:rsidRPr="00F33637">
        <w:rPr>
          <w:rFonts w:ascii="Open Sans" w:eastAsia="Open Sans" w:hAnsi="Open Sans" w:cs="Open Sans"/>
          <w:b/>
          <w:color w:val="000000"/>
          <w:sz w:val="22"/>
          <w:szCs w:val="22"/>
          <w:lang w:val="en-US"/>
        </w:rPr>
        <w:t>Paula Iglesias</w:t>
      </w:r>
    </w:p>
    <w:p w14:paraId="54E5C3CA" w14:textId="77777777" w:rsidR="00B52ED6" w:rsidRPr="00F33637" w:rsidRDefault="00000000">
      <w:pPr>
        <w:shd w:val="clear" w:color="auto" w:fill="FFFFFF"/>
        <w:ind w:right="-716"/>
        <w:rPr>
          <w:rFonts w:ascii="Open Sans" w:eastAsia="Open Sans" w:hAnsi="Open Sans" w:cs="Open Sans"/>
          <w:b/>
          <w:color w:val="000000"/>
          <w:sz w:val="22"/>
          <w:szCs w:val="22"/>
          <w:lang w:val="en-US"/>
        </w:rPr>
      </w:pPr>
      <w:hyperlink r:id="rId30">
        <w:r w:rsidRPr="00F33637">
          <w:rPr>
            <w:rFonts w:ascii="Open Sans" w:eastAsia="Open Sans" w:hAnsi="Open Sans" w:cs="Open Sans"/>
            <w:color w:val="0000FF"/>
            <w:sz w:val="22"/>
            <w:szCs w:val="22"/>
            <w:u w:val="single"/>
            <w:lang w:val="en-US"/>
          </w:rPr>
          <w:t>piglesias@llorenteycuenca.com</w:t>
        </w:r>
      </w:hyperlink>
      <w:r w:rsidRPr="00F33637">
        <w:rPr>
          <w:rFonts w:ascii="Open Sans" w:eastAsia="Open Sans" w:hAnsi="Open Sans" w:cs="Open Sans"/>
          <w:color w:val="0000FF"/>
          <w:sz w:val="22"/>
          <w:szCs w:val="22"/>
          <w:lang w:val="en-US"/>
        </w:rPr>
        <w:tab/>
      </w:r>
      <w:r w:rsidRPr="00F33637">
        <w:rPr>
          <w:rFonts w:ascii="Open Sans" w:eastAsia="Open Sans" w:hAnsi="Open Sans" w:cs="Open Sans"/>
          <w:color w:val="0000FF"/>
          <w:sz w:val="22"/>
          <w:szCs w:val="22"/>
          <w:lang w:val="en-US"/>
        </w:rPr>
        <w:tab/>
      </w:r>
    </w:p>
    <w:p w14:paraId="0D94EC7C" w14:textId="77777777" w:rsidR="00B52ED6"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25410B31" w14:textId="77777777" w:rsidR="00B52ED6" w:rsidRDefault="00B52ED6">
      <w:pPr>
        <w:spacing w:line="276" w:lineRule="auto"/>
        <w:ind w:right="-574"/>
        <w:jc w:val="right"/>
        <w:rPr>
          <w:rFonts w:ascii="Open Sans" w:eastAsia="Open Sans" w:hAnsi="Open Sans" w:cs="Open Sans"/>
          <w:color w:val="000000"/>
          <w:sz w:val="21"/>
          <w:szCs w:val="21"/>
        </w:rPr>
      </w:pPr>
    </w:p>
    <w:sectPr w:rsidR="00B52ED6">
      <w:headerReference w:type="default" r:id="rId31"/>
      <w:footerReference w:type="default" r:id="rId32"/>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8CEB" w14:textId="77777777" w:rsidR="00B6140A" w:rsidRDefault="00B6140A">
      <w:r>
        <w:separator/>
      </w:r>
    </w:p>
  </w:endnote>
  <w:endnote w:type="continuationSeparator" w:id="0">
    <w:p w14:paraId="42DE193D" w14:textId="77777777" w:rsidR="00B6140A" w:rsidRDefault="00B6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4BF6" w14:textId="77777777" w:rsidR="00B52ED6"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45FD33E" wp14:editId="3B379FAE">
          <wp:simplePos x="0" y="0"/>
          <wp:positionH relativeFrom="column">
            <wp:posOffset>-1068060</wp:posOffset>
          </wp:positionH>
          <wp:positionV relativeFrom="paragraph">
            <wp:posOffset>174608</wp:posOffset>
          </wp:positionV>
          <wp:extent cx="7670550" cy="451315"/>
          <wp:effectExtent l="0" t="0" r="0" b="0"/>
          <wp:wrapNone/>
          <wp:docPr id="20251529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F3A6" w14:textId="77777777" w:rsidR="00B6140A" w:rsidRDefault="00B6140A">
      <w:r>
        <w:separator/>
      </w:r>
    </w:p>
  </w:footnote>
  <w:footnote w:type="continuationSeparator" w:id="0">
    <w:p w14:paraId="288588A9" w14:textId="77777777" w:rsidR="00B6140A" w:rsidRDefault="00B6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BB0D" w14:textId="77777777" w:rsidR="00B52ED6"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5CE68C0" wp14:editId="3A958017">
          <wp:simplePos x="0" y="0"/>
          <wp:positionH relativeFrom="column">
            <wp:posOffset>-1121124</wp:posOffset>
          </wp:positionH>
          <wp:positionV relativeFrom="paragraph">
            <wp:posOffset>225177</wp:posOffset>
          </wp:positionV>
          <wp:extent cx="7581265" cy="1019175"/>
          <wp:effectExtent l="0" t="0" r="0" b="0"/>
          <wp:wrapNone/>
          <wp:docPr id="20251529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0C1CD2C" w14:textId="77777777" w:rsidR="00B52ED6" w:rsidRDefault="00B52ED6">
    <w:pPr>
      <w:pBdr>
        <w:top w:val="nil"/>
        <w:left w:val="nil"/>
        <w:bottom w:val="nil"/>
        <w:right w:val="nil"/>
        <w:between w:val="nil"/>
      </w:pBdr>
      <w:tabs>
        <w:tab w:val="center" w:pos="4252"/>
        <w:tab w:val="right" w:pos="8504"/>
      </w:tabs>
      <w:rPr>
        <w:color w:val="000000"/>
      </w:rPr>
    </w:pPr>
  </w:p>
  <w:p w14:paraId="15E8D698" w14:textId="77777777" w:rsidR="00B52ED6" w:rsidRDefault="00B52ED6">
    <w:pPr>
      <w:pBdr>
        <w:top w:val="nil"/>
        <w:left w:val="nil"/>
        <w:bottom w:val="nil"/>
        <w:right w:val="nil"/>
        <w:between w:val="nil"/>
      </w:pBdr>
      <w:tabs>
        <w:tab w:val="center" w:pos="4252"/>
        <w:tab w:val="right" w:pos="8504"/>
      </w:tabs>
      <w:rPr>
        <w:color w:val="000000"/>
      </w:rPr>
    </w:pPr>
  </w:p>
  <w:p w14:paraId="207D553F" w14:textId="77777777" w:rsidR="00B52ED6" w:rsidRDefault="00B52ED6">
    <w:pPr>
      <w:pBdr>
        <w:top w:val="nil"/>
        <w:left w:val="nil"/>
        <w:bottom w:val="nil"/>
        <w:right w:val="nil"/>
        <w:between w:val="nil"/>
      </w:pBdr>
      <w:tabs>
        <w:tab w:val="center" w:pos="4252"/>
        <w:tab w:val="right" w:pos="8504"/>
      </w:tabs>
      <w:rPr>
        <w:color w:val="000000"/>
      </w:rPr>
    </w:pPr>
  </w:p>
  <w:p w14:paraId="033C0511" w14:textId="77777777" w:rsidR="00B52ED6" w:rsidRDefault="00B52ED6">
    <w:pPr>
      <w:pBdr>
        <w:top w:val="nil"/>
        <w:left w:val="nil"/>
        <w:bottom w:val="nil"/>
        <w:right w:val="nil"/>
        <w:between w:val="nil"/>
      </w:pBdr>
      <w:tabs>
        <w:tab w:val="center" w:pos="4252"/>
        <w:tab w:val="right" w:pos="8504"/>
      </w:tabs>
      <w:rPr>
        <w:color w:val="000000"/>
      </w:rPr>
    </w:pPr>
  </w:p>
  <w:p w14:paraId="309B12FA" w14:textId="77777777" w:rsidR="00B52ED6" w:rsidRDefault="00B52ED6">
    <w:pPr>
      <w:pBdr>
        <w:top w:val="nil"/>
        <w:left w:val="nil"/>
        <w:bottom w:val="nil"/>
        <w:right w:val="nil"/>
        <w:between w:val="nil"/>
      </w:pBdr>
      <w:tabs>
        <w:tab w:val="center" w:pos="4252"/>
        <w:tab w:val="right" w:pos="8504"/>
      </w:tabs>
      <w:rPr>
        <w:color w:val="000000"/>
      </w:rPr>
    </w:pPr>
  </w:p>
  <w:p w14:paraId="4833C455" w14:textId="77777777" w:rsidR="00B52ED6" w:rsidRDefault="00B52ED6">
    <w:pPr>
      <w:pBdr>
        <w:top w:val="nil"/>
        <w:left w:val="nil"/>
        <w:bottom w:val="nil"/>
        <w:right w:val="nil"/>
        <w:between w:val="nil"/>
      </w:pBdr>
      <w:tabs>
        <w:tab w:val="center" w:pos="4252"/>
        <w:tab w:val="right" w:pos="8504"/>
      </w:tabs>
      <w:rPr>
        <w:color w:val="000000"/>
      </w:rPr>
    </w:pPr>
  </w:p>
  <w:p w14:paraId="04FFD49D" w14:textId="77777777" w:rsidR="00B52ED6" w:rsidRDefault="00B52ED6">
    <w:pPr>
      <w:pBdr>
        <w:top w:val="nil"/>
        <w:left w:val="nil"/>
        <w:bottom w:val="nil"/>
        <w:right w:val="nil"/>
        <w:between w:val="nil"/>
      </w:pBdr>
      <w:tabs>
        <w:tab w:val="center" w:pos="4252"/>
        <w:tab w:val="right" w:pos="8504"/>
      </w:tabs>
      <w:rPr>
        <w:color w:val="000000"/>
      </w:rPr>
    </w:pPr>
  </w:p>
  <w:p w14:paraId="658C3571" w14:textId="77777777" w:rsidR="00B52ED6" w:rsidRDefault="00B52ED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56A5"/>
    <w:multiLevelType w:val="multilevel"/>
    <w:tmpl w:val="8E225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573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D6"/>
    <w:rsid w:val="00B52ED6"/>
    <w:rsid w:val="00B6140A"/>
    <w:rsid w:val="00C36D0C"/>
    <w:rsid w:val="00F33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BBA2"/>
  <w15:docId w15:val="{61D7BD33-BC52-494F-8FC6-3CBA5A77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earch.fotocasa.es/" TargetMode="External"/><Relationship Id="rId18" Type="http://schemas.openxmlformats.org/officeDocument/2006/relationships/hyperlink" Target="https://www.fotocasa.es/indice/" TargetMode="External"/><Relationship Id="rId26" Type="http://schemas.openxmlformats.org/officeDocument/2006/relationships/hyperlink" Target="http://adevinta.es" TargetMode="External"/><Relationship Id="rId3" Type="http://schemas.openxmlformats.org/officeDocument/2006/relationships/styles" Target="styles.xml"/><Relationship Id="rId21" Type="http://schemas.openxmlformats.org/officeDocument/2006/relationships/hyperlink" Target="https://www.fotocasa.e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s://motos.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fotocasa.es/es/quienes-somo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3nEwT1i5FM" TargetMode="External"/><Relationship Id="rId24" Type="http://schemas.openxmlformats.org/officeDocument/2006/relationships/hyperlink" Target="https://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infojobs.net/" TargetMode="External"/><Relationship Id="rId28" Type="http://schemas.openxmlformats.org/officeDocument/2006/relationships/hyperlink" Target="mailto:rtorne@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prensa.fotocasa.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2.png"/><Relationship Id="rId22" Type="http://schemas.openxmlformats.org/officeDocument/2006/relationships/hyperlink" Target="https://www.habitaclia.com/" TargetMode="External"/><Relationship Id="rId27" Type="http://schemas.openxmlformats.org/officeDocument/2006/relationships/hyperlink" Target="mailto:comunicacion@fotocasa.es" TargetMode="External"/><Relationship Id="rId30" Type="http://schemas.openxmlformats.org/officeDocument/2006/relationships/hyperlink" Target="mailto:piglesias@llorenteycuenca.com" TargetMode="External"/><Relationship Id="rId8" Type="http://schemas.openxmlformats.org/officeDocument/2006/relationships/hyperlink" Target="https://youtu.be/X3nEwT1i5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eyYjRl2aahPtDd6R1cbywYViFw==">CgMxLjAyCWguMnM4ZXlvMTgAciExNVlmYnZDdWllQ19KQnpSV1dfRmtJazlQZW9Sdk16MFk=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1443</Words>
  <Characters>7941</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2023-07-04T08:03:00Z</dcterms:modified>
</cp:coreProperties>
</file>