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6A30" w14:textId="77777777" w:rsidR="003765BB"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 </w:t>
      </w:r>
      <w:r>
        <w:rPr>
          <w:noProof/>
        </w:rPr>
        <w:drawing>
          <wp:anchor distT="0" distB="0" distL="0" distR="0" simplePos="0" relativeHeight="251658240" behindDoc="0" locked="0" layoutInCell="1" hidden="0" allowOverlap="1" wp14:anchorId="7E6AF7A5" wp14:editId="68AB7092">
            <wp:simplePos x="0" y="0"/>
            <wp:positionH relativeFrom="column">
              <wp:posOffset>-1056044</wp:posOffset>
            </wp:positionH>
            <wp:positionV relativeFrom="paragraph">
              <wp:posOffset>-346313</wp:posOffset>
            </wp:positionV>
            <wp:extent cx="7711147" cy="1037167"/>
            <wp:effectExtent l="0" t="0" r="0" b="0"/>
            <wp:wrapSquare wrapText="bothSides" distT="0" distB="0" distL="0" distR="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672A5407" w14:textId="77777777" w:rsidR="003765BB" w:rsidRDefault="003765BB">
      <w:pPr>
        <w:spacing w:line="240" w:lineRule="auto"/>
        <w:jc w:val="right"/>
        <w:rPr>
          <w:rFonts w:ascii="National" w:eastAsia="National" w:hAnsi="National" w:cs="National"/>
          <w:color w:val="303AB2"/>
          <w:sz w:val="36"/>
          <w:szCs w:val="36"/>
        </w:rPr>
      </w:pPr>
    </w:p>
    <w:p w14:paraId="5DE69145" w14:textId="0508C18F" w:rsidR="003765BB" w:rsidRPr="00B455A5" w:rsidRDefault="00000000">
      <w:pPr>
        <w:pBdr>
          <w:top w:val="nil"/>
          <w:left w:val="nil"/>
          <w:bottom w:val="nil"/>
          <w:right w:val="nil"/>
          <w:between w:val="nil"/>
        </w:pBdr>
        <w:shd w:val="clear" w:color="auto" w:fill="FFFFFF"/>
        <w:spacing w:after="225"/>
        <w:ind w:right="-135"/>
        <w:jc w:val="center"/>
        <w:rPr>
          <w:rFonts w:ascii="Open Sans" w:eastAsia="Open Sans" w:hAnsi="Open Sans" w:cs="Open Sans"/>
          <w:b/>
          <w:color w:val="303AB2"/>
          <w:sz w:val="28"/>
          <w:szCs w:val="28"/>
        </w:rPr>
      </w:pPr>
      <w:r w:rsidRPr="00B455A5">
        <w:rPr>
          <w:rFonts w:ascii="National" w:eastAsia="National" w:hAnsi="National" w:cs="National"/>
          <w:b/>
          <w:color w:val="303AB2"/>
          <w:sz w:val="56"/>
          <w:szCs w:val="56"/>
        </w:rPr>
        <w:t>“</w:t>
      </w:r>
      <w:r w:rsidR="00B455A5" w:rsidRPr="00B455A5">
        <w:rPr>
          <w:rFonts w:ascii="National" w:eastAsia="National" w:hAnsi="National" w:cs="National"/>
          <w:b/>
          <w:color w:val="303AB2"/>
          <w:sz w:val="56"/>
          <w:szCs w:val="56"/>
        </w:rPr>
        <w:t>Se supera la barrera de las 300.000 compraventas en los seis primeros meses del año</w:t>
      </w:r>
      <w:r w:rsidRPr="00B455A5">
        <w:rPr>
          <w:rFonts w:ascii="National" w:eastAsia="National" w:hAnsi="National" w:cs="National"/>
          <w:b/>
          <w:color w:val="303AB2"/>
          <w:sz w:val="56"/>
          <w:szCs w:val="56"/>
        </w:rPr>
        <w:t>”</w:t>
      </w:r>
      <w:r w:rsidRPr="00B455A5">
        <w:rPr>
          <w:rFonts w:ascii="National" w:eastAsia="National" w:hAnsi="National" w:cs="National"/>
          <w:b/>
          <w:color w:val="303AB2"/>
          <w:sz w:val="58"/>
          <w:szCs w:val="58"/>
        </w:rPr>
        <w:t xml:space="preserve"> </w:t>
      </w:r>
    </w:p>
    <w:p w14:paraId="715FF727" w14:textId="77777777" w:rsidR="003765BB" w:rsidRDefault="003765BB">
      <w:pPr>
        <w:pBdr>
          <w:top w:val="nil"/>
          <w:left w:val="nil"/>
          <w:bottom w:val="nil"/>
          <w:right w:val="nil"/>
          <w:between w:val="nil"/>
        </w:pBdr>
        <w:shd w:val="clear" w:color="auto" w:fill="FFFFFF"/>
        <w:spacing w:after="225"/>
        <w:jc w:val="both"/>
        <w:rPr>
          <w:rFonts w:ascii="Open Sans" w:eastAsia="Open Sans" w:hAnsi="Open Sans" w:cs="Open Sans"/>
          <w:b/>
          <w:color w:val="303AB2"/>
        </w:rPr>
      </w:pPr>
    </w:p>
    <w:p w14:paraId="09999360" w14:textId="62569DEF" w:rsidR="003765BB" w:rsidRDefault="00000000">
      <w:pPr>
        <w:pBdr>
          <w:top w:val="nil"/>
          <w:left w:val="nil"/>
          <w:bottom w:val="nil"/>
          <w:right w:val="nil"/>
          <w:between w:val="nil"/>
        </w:pBdr>
        <w:shd w:val="clear" w:color="auto" w:fill="FFFFFF"/>
        <w:spacing w:after="225"/>
        <w:jc w:val="both"/>
        <w:rPr>
          <w:rFonts w:ascii="Open Sans" w:eastAsia="Open Sans" w:hAnsi="Open Sans" w:cs="Open Sans"/>
          <w:color w:val="000000"/>
          <w:sz w:val="20"/>
          <w:szCs w:val="20"/>
        </w:rPr>
      </w:pPr>
      <w:r>
        <w:rPr>
          <w:rFonts w:ascii="Open Sans" w:eastAsia="Open Sans" w:hAnsi="Open Sans" w:cs="Open Sans"/>
          <w:b/>
          <w:color w:val="303AB2"/>
        </w:rPr>
        <w:t xml:space="preserve">Madrid, </w:t>
      </w:r>
      <w:r w:rsidR="00136B2B">
        <w:rPr>
          <w:rFonts w:ascii="Open Sans" w:eastAsia="Open Sans" w:hAnsi="Open Sans" w:cs="Open Sans"/>
          <w:b/>
          <w:color w:val="303AB2"/>
        </w:rPr>
        <w:t>4 de agosto</w:t>
      </w:r>
      <w:r>
        <w:rPr>
          <w:rFonts w:ascii="Open Sans" w:eastAsia="Open Sans" w:hAnsi="Open Sans" w:cs="Open Sans"/>
          <w:b/>
          <w:color w:val="303AB2"/>
        </w:rPr>
        <w:t xml:space="preserve"> de 2023</w:t>
      </w:r>
    </w:p>
    <w:p w14:paraId="1A8C9732" w14:textId="77777777" w:rsidR="000A18D2" w:rsidRDefault="00000000" w:rsidP="000A18D2">
      <w:pPr>
        <w:pBdr>
          <w:top w:val="nil"/>
          <w:left w:val="nil"/>
          <w:bottom w:val="nil"/>
          <w:right w:val="nil"/>
          <w:between w:val="nil"/>
        </w:pBdr>
        <w:shd w:val="clear" w:color="auto" w:fill="FFFFFF"/>
        <w:spacing w:before="280" w:after="280"/>
        <w:jc w:val="both"/>
        <w:rPr>
          <w:rFonts w:ascii="Open Sans" w:eastAsia="Open Sans" w:hAnsi="Open Sans" w:cs="Open Sans"/>
          <w:sz w:val="21"/>
          <w:szCs w:val="21"/>
        </w:rPr>
      </w:pPr>
      <w:r>
        <w:rPr>
          <w:rFonts w:ascii="Open Sans" w:eastAsia="Open Sans" w:hAnsi="Open Sans" w:cs="Open Sans"/>
          <w:color w:val="000000"/>
          <w:sz w:val="21"/>
          <w:szCs w:val="21"/>
        </w:rPr>
        <w:t xml:space="preserve">Los datos de transacciones inmobiliarias correspondientes al </w:t>
      </w:r>
      <w:r>
        <w:rPr>
          <w:rFonts w:ascii="Open Sans" w:eastAsia="Open Sans" w:hAnsi="Open Sans" w:cs="Open Sans"/>
          <w:sz w:val="21"/>
          <w:szCs w:val="21"/>
        </w:rPr>
        <w:t xml:space="preserve">pasado mes de </w:t>
      </w:r>
      <w:r w:rsidR="00136B2B">
        <w:rPr>
          <w:rFonts w:ascii="Open Sans" w:eastAsia="Open Sans" w:hAnsi="Open Sans" w:cs="Open Sans"/>
          <w:sz w:val="21"/>
          <w:szCs w:val="21"/>
        </w:rPr>
        <w:t>junio</w:t>
      </w:r>
      <w:r>
        <w:rPr>
          <w:rFonts w:ascii="Open Sans" w:eastAsia="Open Sans" w:hAnsi="Open Sans" w:cs="Open Sans"/>
          <w:sz w:val="21"/>
          <w:szCs w:val="21"/>
        </w:rPr>
        <w:t xml:space="preserve"> de </w:t>
      </w:r>
      <w:r>
        <w:rPr>
          <w:rFonts w:ascii="Open Sans" w:eastAsia="Open Sans" w:hAnsi="Open Sans" w:cs="Open Sans"/>
          <w:color w:val="000000"/>
          <w:sz w:val="21"/>
          <w:szCs w:val="21"/>
        </w:rPr>
        <w:t>202</w:t>
      </w:r>
      <w:r>
        <w:rPr>
          <w:rFonts w:ascii="Open Sans" w:eastAsia="Open Sans" w:hAnsi="Open Sans" w:cs="Open Sans"/>
          <w:sz w:val="21"/>
          <w:szCs w:val="21"/>
        </w:rPr>
        <w:t>3</w:t>
      </w:r>
      <w:r>
        <w:rPr>
          <w:rFonts w:ascii="Open Sans" w:eastAsia="Open Sans" w:hAnsi="Open Sans" w:cs="Open Sans"/>
          <w:color w:val="000000"/>
          <w:sz w:val="21"/>
          <w:szCs w:val="21"/>
        </w:rPr>
        <w:t xml:space="preserve"> dados a conocer hoy por el INE reflejan </w:t>
      </w:r>
      <w:r>
        <w:rPr>
          <w:rFonts w:ascii="Open Sans" w:eastAsia="Open Sans" w:hAnsi="Open Sans" w:cs="Open Sans"/>
          <w:sz w:val="21"/>
          <w:szCs w:val="21"/>
        </w:rPr>
        <w:t xml:space="preserve">una </w:t>
      </w:r>
      <w:r w:rsidR="00136B2B">
        <w:rPr>
          <w:rFonts w:ascii="Open Sans" w:eastAsia="Open Sans" w:hAnsi="Open Sans" w:cs="Open Sans"/>
          <w:sz w:val="21"/>
          <w:szCs w:val="21"/>
        </w:rPr>
        <w:t>caída</w:t>
      </w:r>
      <w:r>
        <w:rPr>
          <w:rFonts w:ascii="Open Sans" w:eastAsia="Open Sans" w:hAnsi="Open Sans" w:cs="Open Sans"/>
          <w:sz w:val="21"/>
          <w:szCs w:val="21"/>
        </w:rPr>
        <w:t xml:space="preserve"> mensual del </w:t>
      </w:r>
      <w:r w:rsidR="00136B2B">
        <w:rPr>
          <w:rFonts w:ascii="Open Sans" w:eastAsia="Open Sans" w:hAnsi="Open Sans" w:cs="Open Sans"/>
          <w:sz w:val="21"/>
          <w:szCs w:val="21"/>
        </w:rPr>
        <w:t>-3,8</w:t>
      </w:r>
      <w:r>
        <w:rPr>
          <w:rFonts w:ascii="Open Sans" w:eastAsia="Open Sans" w:hAnsi="Open Sans" w:cs="Open Sans"/>
          <w:color w:val="000000"/>
          <w:sz w:val="21"/>
          <w:szCs w:val="21"/>
        </w:rPr>
        <w:t>% y un</w:t>
      </w:r>
      <w:r>
        <w:rPr>
          <w:rFonts w:ascii="Open Sans" w:eastAsia="Open Sans" w:hAnsi="Open Sans" w:cs="Open Sans"/>
          <w:sz w:val="21"/>
          <w:szCs w:val="21"/>
        </w:rPr>
        <w:t xml:space="preserve"> descenso</w:t>
      </w:r>
      <w:r>
        <w:rPr>
          <w:rFonts w:ascii="Open Sans" w:eastAsia="Open Sans" w:hAnsi="Open Sans" w:cs="Open Sans"/>
          <w:color w:val="000000"/>
          <w:sz w:val="21"/>
          <w:szCs w:val="21"/>
        </w:rPr>
        <w:t xml:space="preserve"> interanual del</w:t>
      </w:r>
      <w:r>
        <w:rPr>
          <w:rFonts w:ascii="Open Sans" w:eastAsia="Open Sans" w:hAnsi="Open Sans" w:cs="Open Sans"/>
          <w:sz w:val="21"/>
          <w:szCs w:val="21"/>
        </w:rPr>
        <w:t xml:space="preserve"> -6,4</w:t>
      </w:r>
      <w:r>
        <w:rPr>
          <w:rFonts w:ascii="Open Sans" w:eastAsia="Open Sans" w:hAnsi="Open Sans" w:cs="Open Sans"/>
          <w:color w:val="000000"/>
          <w:sz w:val="21"/>
          <w:szCs w:val="21"/>
        </w:rPr>
        <w:t>%</w:t>
      </w:r>
      <w:r>
        <w:rPr>
          <w:rFonts w:ascii="Open Sans" w:eastAsia="Open Sans" w:hAnsi="Open Sans" w:cs="Open Sans"/>
          <w:sz w:val="21"/>
          <w:szCs w:val="21"/>
        </w:rPr>
        <w:t>. “</w:t>
      </w:r>
      <w:r w:rsidR="00136B2B" w:rsidRPr="00136B2B">
        <w:rPr>
          <w:rFonts w:ascii="Open Sans" w:eastAsia="Open Sans" w:hAnsi="Open Sans" w:cs="Open Sans"/>
          <w:b/>
          <w:bCs/>
          <w:sz w:val="21"/>
          <w:szCs w:val="21"/>
        </w:rPr>
        <w:t>Estos datos nos muestran</w:t>
      </w:r>
      <w:r w:rsidR="00433E2B">
        <w:rPr>
          <w:rFonts w:ascii="Open Sans" w:eastAsia="Open Sans" w:hAnsi="Open Sans" w:cs="Open Sans"/>
          <w:b/>
          <w:bCs/>
          <w:sz w:val="21"/>
          <w:szCs w:val="21"/>
        </w:rPr>
        <w:t>, un mes más,</w:t>
      </w:r>
      <w:r w:rsidR="00136B2B" w:rsidRPr="00136B2B">
        <w:rPr>
          <w:rFonts w:ascii="Open Sans" w:eastAsia="Open Sans" w:hAnsi="Open Sans" w:cs="Open Sans"/>
          <w:b/>
          <w:bCs/>
          <w:sz w:val="21"/>
          <w:szCs w:val="21"/>
        </w:rPr>
        <w:t xml:space="preserve"> que l</w:t>
      </w:r>
      <w:r w:rsidRPr="00136B2B">
        <w:rPr>
          <w:rFonts w:ascii="Open Sans" w:eastAsia="Open Sans" w:hAnsi="Open Sans" w:cs="Open Sans"/>
          <w:b/>
          <w:bCs/>
          <w:sz w:val="21"/>
          <w:szCs w:val="21"/>
        </w:rPr>
        <w:t>a</w:t>
      </w:r>
      <w:r>
        <w:rPr>
          <w:rFonts w:ascii="Open Sans" w:eastAsia="Open Sans" w:hAnsi="Open Sans" w:cs="Open Sans"/>
          <w:b/>
          <w:sz w:val="21"/>
          <w:szCs w:val="21"/>
        </w:rPr>
        <w:t xml:space="preserve"> tendencia de ralentización en las compraventas se consolida en </w:t>
      </w:r>
      <w:r w:rsidR="00136B2B">
        <w:rPr>
          <w:rFonts w:ascii="Open Sans" w:eastAsia="Open Sans" w:hAnsi="Open Sans" w:cs="Open Sans"/>
          <w:b/>
          <w:sz w:val="21"/>
          <w:szCs w:val="21"/>
        </w:rPr>
        <w:t>los seis primeros meses</w:t>
      </w:r>
      <w:r>
        <w:rPr>
          <w:rFonts w:ascii="Open Sans" w:eastAsia="Open Sans" w:hAnsi="Open Sans" w:cs="Open Sans"/>
          <w:b/>
          <w:sz w:val="21"/>
          <w:szCs w:val="21"/>
        </w:rPr>
        <w:t xml:space="preserve"> de 2023</w:t>
      </w:r>
      <w:r>
        <w:rPr>
          <w:rFonts w:ascii="Open Sans" w:eastAsia="Open Sans" w:hAnsi="Open Sans" w:cs="Open Sans"/>
          <w:sz w:val="21"/>
          <w:szCs w:val="21"/>
        </w:rPr>
        <w:t xml:space="preserve">. </w:t>
      </w:r>
      <w:r w:rsidR="00433E2B">
        <w:rPr>
          <w:rFonts w:ascii="Open Sans" w:eastAsia="Open Sans" w:hAnsi="Open Sans" w:cs="Open Sans"/>
          <w:sz w:val="21"/>
          <w:szCs w:val="21"/>
        </w:rPr>
        <w:t>Después de dos años muy intensos y con cifras muy positivas para el sector empieza una época de normalidad y estabilización”</w:t>
      </w:r>
      <w:r w:rsidR="000A18D2">
        <w:rPr>
          <w:rFonts w:ascii="Open Sans" w:eastAsia="Open Sans" w:hAnsi="Open Sans" w:cs="Open Sans"/>
          <w:sz w:val="21"/>
          <w:szCs w:val="21"/>
        </w:rPr>
        <w:t xml:space="preserve">, comenta </w:t>
      </w:r>
      <w:r w:rsidR="000A18D2">
        <w:rPr>
          <w:rFonts w:ascii="Open Sans" w:eastAsia="Open Sans" w:hAnsi="Open Sans" w:cs="Open Sans"/>
          <w:sz w:val="21"/>
          <w:szCs w:val="21"/>
        </w:rPr>
        <w:t xml:space="preserve">María Matos, directora de Estudios de </w:t>
      </w:r>
      <w:hyperlink r:id="rId8">
        <w:r w:rsidR="000A18D2">
          <w:rPr>
            <w:rFonts w:ascii="Open Sans" w:eastAsia="Open Sans" w:hAnsi="Open Sans" w:cs="Open Sans"/>
            <w:color w:val="1155CC"/>
            <w:sz w:val="21"/>
            <w:szCs w:val="21"/>
            <w:u w:val="single"/>
          </w:rPr>
          <w:t>Fotocasa</w:t>
        </w:r>
      </w:hyperlink>
      <w:r w:rsidR="000A18D2">
        <w:rPr>
          <w:rFonts w:ascii="Open Sans" w:eastAsia="Open Sans" w:hAnsi="Open Sans" w:cs="Open Sans"/>
          <w:sz w:val="21"/>
          <w:szCs w:val="21"/>
        </w:rPr>
        <w:t>.</w:t>
      </w:r>
    </w:p>
    <w:p w14:paraId="241094A0" w14:textId="3C21A192" w:rsidR="00433E2B" w:rsidRDefault="00433E2B">
      <w:pPr>
        <w:pBdr>
          <w:top w:val="nil"/>
          <w:left w:val="nil"/>
          <w:bottom w:val="nil"/>
          <w:right w:val="nil"/>
          <w:between w:val="nil"/>
        </w:pBd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La cifra del mes de junio representa </w:t>
      </w:r>
      <w:r w:rsidR="00000000">
        <w:rPr>
          <w:rFonts w:ascii="Open Sans" w:eastAsia="Open Sans" w:hAnsi="Open Sans" w:cs="Open Sans"/>
          <w:sz w:val="21"/>
          <w:szCs w:val="21"/>
        </w:rPr>
        <w:t xml:space="preserve">el </w:t>
      </w:r>
      <w:r w:rsidR="00136B2B">
        <w:rPr>
          <w:rFonts w:ascii="Open Sans" w:eastAsia="Open Sans" w:hAnsi="Open Sans" w:cs="Open Sans"/>
          <w:sz w:val="21"/>
          <w:szCs w:val="21"/>
        </w:rPr>
        <w:t>sexto</w:t>
      </w:r>
      <w:r w:rsidR="00000000">
        <w:rPr>
          <w:rFonts w:ascii="Open Sans" w:eastAsia="Open Sans" w:hAnsi="Open Sans" w:cs="Open Sans"/>
          <w:sz w:val="21"/>
          <w:szCs w:val="21"/>
        </w:rPr>
        <w:t xml:space="preserve"> descenso tras 21 meses consecutivos de aumentos muy abultados. </w:t>
      </w:r>
      <w:r>
        <w:rPr>
          <w:rFonts w:ascii="Open Sans" w:eastAsia="Open Sans" w:hAnsi="Open Sans" w:cs="Open Sans"/>
          <w:sz w:val="21"/>
          <w:szCs w:val="21"/>
        </w:rPr>
        <w:t xml:space="preserve">Aunque sí que es verdad que hay que destacar que </w:t>
      </w:r>
      <w:r w:rsidRPr="0069375A">
        <w:rPr>
          <w:rFonts w:ascii="Open Sans" w:eastAsia="Open Sans" w:hAnsi="Open Sans" w:cs="Open Sans"/>
          <w:b/>
          <w:bCs/>
          <w:sz w:val="21"/>
          <w:szCs w:val="21"/>
        </w:rPr>
        <w:t xml:space="preserve">junio ha </w:t>
      </w:r>
      <w:r w:rsidR="0069375A" w:rsidRPr="0069375A">
        <w:rPr>
          <w:rFonts w:ascii="Open Sans" w:eastAsia="Open Sans" w:hAnsi="Open Sans" w:cs="Open Sans"/>
          <w:b/>
          <w:bCs/>
          <w:sz w:val="21"/>
          <w:szCs w:val="21"/>
        </w:rPr>
        <w:t>concluido</w:t>
      </w:r>
      <w:r w:rsidRPr="0069375A">
        <w:rPr>
          <w:rFonts w:ascii="Open Sans" w:eastAsia="Open Sans" w:hAnsi="Open Sans" w:cs="Open Sans"/>
          <w:b/>
          <w:bCs/>
          <w:sz w:val="21"/>
          <w:szCs w:val="21"/>
        </w:rPr>
        <w:t xml:space="preserve"> con más de 50.000 operaciones cerradas y </w:t>
      </w:r>
      <w:r w:rsidR="000A18D2" w:rsidRPr="0069375A">
        <w:rPr>
          <w:rFonts w:ascii="Open Sans" w:eastAsia="Open Sans" w:hAnsi="Open Sans" w:cs="Open Sans"/>
          <w:b/>
          <w:bCs/>
          <w:sz w:val="21"/>
          <w:szCs w:val="21"/>
        </w:rPr>
        <w:t>es el quinto mes del año en que se supera esta barrera de las 50.000 operaciones</w:t>
      </w:r>
      <w:r w:rsidR="000A18D2">
        <w:rPr>
          <w:rFonts w:ascii="Open Sans" w:eastAsia="Open Sans" w:hAnsi="Open Sans" w:cs="Open Sans"/>
          <w:sz w:val="21"/>
          <w:szCs w:val="21"/>
        </w:rPr>
        <w:t xml:space="preserve">. “Esta cifra sigue mostrando que a pesar de las subidas de los tipos de interés a los que hemos asistido este último año la demanda por comprar sigue siendo aún fuerte y 2023 está demostrando que está cerrando mes a mes con datos superiores a los que se registraron en 2021y 2019. De hecho, en 2021 tan solo un mes se superó la barrera de las 50.000 operaciones y en el caso de 2019 en ningún mes se llegó a esa cifra”, explica la directora de Estudios. </w:t>
      </w:r>
    </w:p>
    <w:p w14:paraId="6A2E23BB" w14:textId="14D0EC2A" w:rsidR="000A18D2" w:rsidRDefault="000A18D2" w:rsidP="000A18D2">
      <w:pPr>
        <w:pBdr>
          <w:top w:val="nil"/>
          <w:left w:val="nil"/>
          <w:bottom w:val="nil"/>
          <w:right w:val="nil"/>
          <w:between w:val="nil"/>
        </w:pBd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Y es que en junio se cerraron 53.999 operaciones, </w:t>
      </w:r>
      <w:r>
        <w:rPr>
          <w:rFonts w:ascii="Open Sans" w:eastAsia="Open Sans" w:hAnsi="Open Sans" w:cs="Open Sans"/>
          <w:sz w:val="21"/>
          <w:szCs w:val="21"/>
        </w:rPr>
        <w:t xml:space="preserve">una cifra que muestra todavía el gran flujo que está mostrando el sector con datos propios de la euforia de compra del pasado ejercicio. “Tras dos años de gran actividad de compraventas, impulsados por la pandemia, el inmobiliario comienza a estabilizarse poco a poco. Por ello, lo justo en el análisis sería </w:t>
      </w:r>
      <w:r>
        <w:rPr>
          <w:rFonts w:ascii="Open Sans" w:eastAsia="Open Sans" w:hAnsi="Open Sans" w:cs="Open Sans"/>
          <w:b/>
          <w:sz w:val="21"/>
          <w:szCs w:val="21"/>
        </w:rPr>
        <w:t>comparar las cifras de 2023 con las de 2019,</w:t>
      </w:r>
      <w:r>
        <w:rPr>
          <w:rFonts w:ascii="Open Sans" w:eastAsia="Open Sans" w:hAnsi="Open Sans" w:cs="Open Sans"/>
          <w:sz w:val="21"/>
          <w:szCs w:val="21"/>
        </w:rPr>
        <w:t xml:space="preserve"> el año antes del estallido de la Covid-19. De ser así, </w:t>
      </w:r>
      <w:r>
        <w:rPr>
          <w:rFonts w:ascii="Open Sans" w:eastAsia="Open Sans" w:hAnsi="Open Sans" w:cs="Open Sans"/>
          <w:b/>
          <w:sz w:val="21"/>
          <w:szCs w:val="21"/>
        </w:rPr>
        <w:t xml:space="preserve">las compraventas en </w:t>
      </w:r>
      <w:r>
        <w:rPr>
          <w:rFonts w:ascii="Open Sans" w:eastAsia="Open Sans" w:hAnsi="Open Sans" w:cs="Open Sans"/>
          <w:b/>
          <w:sz w:val="21"/>
          <w:szCs w:val="21"/>
        </w:rPr>
        <w:t>junio</w:t>
      </w:r>
      <w:r>
        <w:rPr>
          <w:rFonts w:ascii="Open Sans" w:eastAsia="Open Sans" w:hAnsi="Open Sans" w:cs="Open Sans"/>
          <w:b/>
          <w:sz w:val="21"/>
          <w:szCs w:val="21"/>
        </w:rPr>
        <w:t xml:space="preserve"> presentan una subida del </w:t>
      </w:r>
      <w:r>
        <w:rPr>
          <w:rFonts w:ascii="Open Sans" w:eastAsia="Open Sans" w:hAnsi="Open Sans" w:cs="Open Sans"/>
          <w:b/>
          <w:sz w:val="21"/>
          <w:szCs w:val="21"/>
        </w:rPr>
        <w:t>30</w:t>
      </w:r>
      <w:r>
        <w:rPr>
          <w:rFonts w:ascii="Open Sans" w:eastAsia="Open Sans" w:hAnsi="Open Sans" w:cs="Open Sans"/>
          <w:b/>
          <w:sz w:val="21"/>
          <w:szCs w:val="21"/>
        </w:rPr>
        <w:t>% con respecto al mismo mes de 2019, y en el cómputo anual, las operaciones del 2023 (</w:t>
      </w:r>
      <w:r>
        <w:rPr>
          <w:rFonts w:ascii="Open Sans" w:eastAsia="Open Sans" w:hAnsi="Open Sans" w:cs="Open Sans"/>
          <w:b/>
          <w:sz w:val="21"/>
          <w:szCs w:val="21"/>
        </w:rPr>
        <w:t>315.783</w:t>
      </w:r>
      <w:r>
        <w:rPr>
          <w:rFonts w:ascii="Open Sans" w:eastAsia="Open Sans" w:hAnsi="Open Sans" w:cs="Open Sans"/>
          <w:b/>
          <w:sz w:val="21"/>
          <w:szCs w:val="21"/>
        </w:rPr>
        <w:t xml:space="preserve">) serían un </w:t>
      </w:r>
      <w:r>
        <w:rPr>
          <w:rFonts w:ascii="Open Sans" w:eastAsia="Open Sans" w:hAnsi="Open Sans" w:cs="Open Sans"/>
          <w:b/>
          <w:sz w:val="21"/>
          <w:szCs w:val="21"/>
        </w:rPr>
        <w:t>19</w:t>
      </w:r>
      <w:r>
        <w:rPr>
          <w:rFonts w:ascii="Open Sans" w:eastAsia="Open Sans" w:hAnsi="Open Sans" w:cs="Open Sans"/>
          <w:b/>
          <w:sz w:val="21"/>
          <w:szCs w:val="21"/>
        </w:rPr>
        <w:t xml:space="preserve">% </w:t>
      </w:r>
      <w:r>
        <w:rPr>
          <w:rFonts w:ascii="Open Sans" w:eastAsia="Open Sans" w:hAnsi="Open Sans" w:cs="Open Sans"/>
          <w:b/>
          <w:sz w:val="21"/>
          <w:szCs w:val="21"/>
        </w:rPr>
        <w:lastRenderedPageBreak/>
        <w:t>superiores</w:t>
      </w:r>
      <w:r>
        <w:rPr>
          <w:rFonts w:ascii="Open Sans" w:eastAsia="Open Sans" w:hAnsi="Open Sans" w:cs="Open Sans"/>
          <w:sz w:val="21"/>
          <w:szCs w:val="21"/>
        </w:rPr>
        <w:t xml:space="preserve"> a la suma de </w:t>
      </w:r>
      <w:r>
        <w:rPr>
          <w:rFonts w:ascii="Open Sans" w:eastAsia="Open Sans" w:hAnsi="Open Sans" w:cs="Open Sans"/>
          <w:sz w:val="21"/>
          <w:szCs w:val="21"/>
        </w:rPr>
        <w:t>los seis primeros meses</w:t>
      </w:r>
      <w:r>
        <w:rPr>
          <w:rFonts w:ascii="Open Sans" w:eastAsia="Open Sans" w:hAnsi="Open Sans" w:cs="Open Sans"/>
          <w:sz w:val="21"/>
          <w:szCs w:val="21"/>
        </w:rPr>
        <w:t xml:space="preserve"> de 2019, con </w:t>
      </w:r>
      <w:r>
        <w:rPr>
          <w:rFonts w:ascii="Open Sans" w:eastAsia="Open Sans" w:hAnsi="Open Sans" w:cs="Open Sans"/>
          <w:sz w:val="21"/>
          <w:szCs w:val="21"/>
        </w:rPr>
        <w:t>266.018</w:t>
      </w:r>
      <w:r>
        <w:rPr>
          <w:rFonts w:ascii="Open Sans" w:eastAsia="Open Sans" w:hAnsi="Open Sans" w:cs="Open Sans"/>
          <w:sz w:val="21"/>
          <w:szCs w:val="21"/>
        </w:rPr>
        <w:t xml:space="preserve"> compraventas de viviendas realizadas. </w:t>
      </w:r>
      <w:r>
        <w:rPr>
          <w:rFonts w:ascii="Open Sans" w:eastAsia="Open Sans" w:hAnsi="Open Sans" w:cs="Open Sans"/>
          <w:sz w:val="21"/>
          <w:szCs w:val="21"/>
        </w:rPr>
        <w:t xml:space="preserve">Así, en los seis primeros meses de 2023 se superan las 300.000 operaciones de compraventas y pone de manifiesto que sigue siendo un año de gran intensidad y con datos muy positivos, </w:t>
      </w:r>
      <w:r>
        <w:rPr>
          <w:rFonts w:ascii="Open Sans" w:eastAsia="Open Sans" w:hAnsi="Open Sans" w:cs="Open Sans"/>
          <w:sz w:val="21"/>
          <w:szCs w:val="21"/>
        </w:rPr>
        <w:t>lo que muestra la gran resiliencia del inmobiliario frente a las alteraciones económicas”, explica María Matos.</w:t>
      </w:r>
    </w:p>
    <w:p w14:paraId="47B24427" w14:textId="663CEE87" w:rsidR="0069375A" w:rsidRDefault="00000000" w:rsidP="0069375A">
      <w:pPr>
        <w:pBdr>
          <w:top w:val="nil"/>
          <w:left w:val="nil"/>
          <w:bottom w:val="nil"/>
          <w:right w:val="nil"/>
          <w:between w:val="nil"/>
        </w:pBd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Hay que destacar la gran capacidad de resiliencia que muestra el sector, al sobrellevar el cambio en la política monetaria y evitar una brusca alteración en el mercado. La transformación está siendo suave y paulatina. Comienza una tendencia de acomodación del mercado a la nueva situación económica. Sin embargo, a pesar de la escalada de tipos desde mitad del año 2022, todavía existe un interés muy fuerte por comprar vivienda en nuestro país. Desde </w:t>
      </w:r>
      <w:hyperlink r:id="rId9">
        <w:r>
          <w:rPr>
            <w:rFonts w:ascii="Open Sans" w:eastAsia="Open Sans" w:hAnsi="Open Sans" w:cs="Open Sans"/>
            <w:color w:val="1155CC"/>
            <w:sz w:val="21"/>
            <w:szCs w:val="21"/>
            <w:u w:val="single"/>
          </w:rPr>
          <w:t xml:space="preserve">Fotocasa </w:t>
        </w:r>
        <w:proofErr w:type="spellStart"/>
        <w:r>
          <w:rPr>
            <w:rFonts w:ascii="Open Sans" w:eastAsia="Open Sans" w:hAnsi="Open Sans" w:cs="Open Sans"/>
            <w:color w:val="1155CC"/>
            <w:sz w:val="21"/>
            <w:szCs w:val="21"/>
            <w:u w:val="single"/>
          </w:rPr>
          <w:t>Research</w:t>
        </w:r>
        <w:proofErr w:type="spellEnd"/>
      </w:hyperlink>
      <w:r>
        <w:rPr>
          <w:rFonts w:ascii="Open Sans" w:eastAsia="Open Sans" w:hAnsi="Open Sans" w:cs="Open Sans"/>
          <w:sz w:val="21"/>
          <w:szCs w:val="21"/>
        </w:rPr>
        <w:t xml:space="preserve">, detectamos que la demanda de adquisición se sitúa por encima de las cifras de pandemia, por lo que las subidas de tipos no han congelado la demanda latente, sino que sólo están afectando a la ‘sobredemanda’ surgida”, explica María Matos, portavoz de </w:t>
      </w:r>
      <w:hyperlink r:id="rId10">
        <w:r>
          <w:rPr>
            <w:rFonts w:ascii="Open Sans" w:eastAsia="Open Sans" w:hAnsi="Open Sans" w:cs="Open Sans"/>
            <w:color w:val="1155CC"/>
            <w:sz w:val="21"/>
            <w:szCs w:val="21"/>
            <w:u w:val="single"/>
          </w:rPr>
          <w:t>Fotocasa</w:t>
        </w:r>
      </w:hyperlink>
      <w:r>
        <w:rPr>
          <w:rFonts w:ascii="Open Sans" w:eastAsia="Open Sans" w:hAnsi="Open Sans" w:cs="Open Sans"/>
          <w:sz w:val="21"/>
          <w:szCs w:val="21"/>
        </w:rPr>
        <w:t xml:space="preserve">. </w:t>
      </w:r>
    </w:p>
    <w:p w14:paraId="5921BB66" w14:textId="0055DE5C" w:rsidR="0069375A" w:rsidRPr="0069375A" w:rsidRDefault="0069375A" w:rsidP="0069375A">
      <w:pPr>
        <w:pBdr>
          <w:top w:val="nil"/>
          <w:left w:val="nil"/>
          <w:bottom w:val="nil"/>
          <w:right w:val="nil"/>
          <w:between w:val="nil"/>
        </w:pBdr>
        <w:shd w:val="clear" w:color="auto" w:fill="FFFFFF"/>
        <w:spacing w:after="225"/>
        <w:jc w:val="both"/>
        <w:rPr>
          <w:rFonts w:ascii="Open Sans" w:eastAsia="Open Sans" w:hAnsi="Open Sans" w:cs="Open Sans"/>
          <w:b/>
          <w:color w:val="303AB2"/>
        </w:rPr>
      </w:pPr>
      <w:r w:rsidRPr="0069375A">
        <w:rPr>
          <w:rFonts w:ascii="Open Sans" w:eastAsia="Open Sans" w:hAnsi="Open Sans" w:cs="Open Sans"/>
          <w:b/>
          <w:color w:val="303AB2"/>
        </w:rPr>
        <w:t xml:space="preserve">La vivienda de obra nueva </w:t>
      </w:r>
      <w:r>
        <w:rPr>
          <w:rFonts w:ascii="Open Sans" w:eastAsia="Open Sans" w:hAnsi="Open Sans" w:cs="Open Sans"/>
          <w:b/>
          <w:color w:val="303AB2"/>
        </w:rPr>
        <w:t>sube un 10% respecto al año pasado</w:t>
      </w:r>
      <w:r w:rsidRPr="0069375A">
        <w:rPr>
          <w:rFonts w:ascii="Open Sans" w:eastAsia="Open Sans" w:hAnsi="Open Sans" w:cs="Open Sans"/>
          <w:b/>
          <w:color w:val="303AB2"/>
        </w:rPr>
        <w:t xml:space="preserve"> </w:t>
      </w:r>
    </w:p>
    <w:p w14:paraId="58F5FF52" w14:textId="032E407D" w:rsidR="003765BB"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Uno de los datos más relevantes y donde hay que poner más atención es en las operaciones sobre viviendas nuevas </w:t>
      </w:r>
      <w:r w:rsidR="0069375A">
        <w:rPr>
          <w:rFonts w:ascii="Open Sans" w:eastAsia="Open Sans" w:hAnsi="Open Sans" w:cs="Open Sans"/>
          <w:sz w:val="21"/>
          <w:szCs w:val="21"/>
        </w:rPr>
        <w:t>que,</w:t>
      </w:r>
      <w:r>
        <w:rPr>
          <w:rFonts w:ascii="Open Sans" w:eastAsia="Open Sans" w:hAnsi="Open Sans" w:cs="Open Sans"/>
          <w:sz w:val="21"/>
          <w:szCs w:val="21"/>
        </w:rPr>
        <w:t xml:space="preserve"> aunque reflejan una subida interanual del </w:t>
      </w:r>
      <w:r w:rsidR="0069375A">
        <w:rPr>
          <w:rFonts w:ascii="Open Sans" w:eastAsia="Open Sans" w:hAnsi="Open Sans" w:cs="Open Sans"/>
          <w:sz w:val="21"/>
          <w:szCs w:val="21"/>
        </w:rPr>
        <w:t>10,7</w:t>
      </w:r>
      <w:r>
        <w:rPr>
          <w:rFonts w:ascii="Open Sans" w:eastAsia="Open Sans" w:hAnsi="Open Sans" w:cs="Open Sans"/>
          <w:sz w:val="21"/>
          <w:szCs w:val="21"/>
        </w:rPr>
        <w:t>% y cierran el mes con 10.</w:t>
      </w:r>
      <w:r w:rsidR="0069375A">
        <w:rPr>
          <w:rFonts w:ascii="Open Sans" w:eastAsia="Open Sans" w:hAnsi="Open Sans" w:cs="Open Sans"/>
          <w:sz w:val="21"/>
          <w:szCs w:val="21"/>
        </w:rPr>
        <w:t>467</w:t>
      </w:r>
      <w:r>
        <w:rPr>
          <w:rFonts w:ascii="Open Sans" w:eastAsia="Open Sans" w:hAnsi="Open Sans" w:cs="Open Sans"/>
          <w:sz w:val="21"/>
          <w:szCs w:val="21"/>
        </w:rPr>
        <w:t xml:space="preserve"> compraventas, </w:t>
      </w:r>
      <w:r w:rsidR="0069375A">
        <w:rPr>
          <w:rFonts w:ascii="Open Sans" w:eastAsia="Open Sans" w:hAnsi="Open Sans" w:cs="Open Sans"/>
          <w:sz w:val="21"/>
          <w:szCs w:val="21"/>
        </w:rPr>
        <w:t xml:space="preserve">representa </w:t>
      </w:r>
      <w:r>
        <w:rPr>
          <w:rFonts w:ascii="Open Sans" w:eastAsia="Open Sans" w:hAnsi="Open Sans" w:cs="Open Sans"/>
          <w:sz w:val="21"/>
          <w:szCs w:val="21"/>
        </w:rPr>
        <w:t xml:space="preserve">un </w:t>
      </w:r>
      <w:r w:rsidR="0069375A">
        <w:rPr>
          <w:rFonts w:ascii="Open Sans" w:eastAsia="Open Sans" w:hAnsi="Open Sans" w:cs="Open Sans"/>
          <w:sz w:val="21"/>
          <w:szCs w:val="21"/>
        </w:rPr>
        <w:t>-1,8</w:t>
      </w:r>
      <w:r>
        <w:rPr>
          <w:rFonts w:ascii="Open Sans" w:eastAsia="Open Sans" w:hAnsi="Open Sans" w:cs="Open Sans"/>
          <w:sz w:val="21"/>
          <w:szCs w:val="21"/>
        </w:rPr>
        <w:t xml:space="preserve">% </w:t>
      </w:r>
      <w:r w:rsidR="0069375A">
        <w:rPr>
          <w:rFonts w:ascii="Open Sans" w:eastAsia="Open Sans" w:hAnsi="Open Sans" w:cs="Open Sans"/>
          <w:sz w:val="21"/>
          <w:szCs w:val="21"/>
        </w:rPr>
        <w:t>menos</w:t>
      </w:r>
      <w:r>
        <w:rPr>
          <w:rFonts w:ascii="Open Sans" w:eastAsia="Open Sans" w:hAnsi="Open Sans" w:cs="Open Sans"/>
          <w:sz w:val="21"/>
          <w:szCs w:val="21"/>
        </w:rPr>
        <w:t xml:space="preserve"> que en el mes de </w:t>
      </w:r>
      <w:r w:rsidR="0069375A">
        <w:rPr>
          <w:rFonts w:ascii="Open Sans" w:eastAsia="Open Sans" w:hAnsi="Open Sans" w:cs="Open Sans"/>
          <w:sz w:val="21"/>
          <w:szCs w:val="21"/>
        </w:rPr>
        <w:t>mayo</w:t>
      </w:r>
      <w:r>
        <w:rPr>
          <w:rFonts w:ascii="Open Sans" w:eastAsia="Open Sans" w:hAnsi="Open Sans" w:cs="Open Sans"/>
          <w:sz w:val="21"/>
          <w:szCs w:val="21"/>
        </w:rPr>
        <w:t xml:space="preserve">. “Podemos decir que la tipología de vivienda de obra nueva sigue viviendo un auge sin precedentes desde el estallido de la pandemia, y por eso una gran mayoría de ellas se compran sobre plano. La vivienda a estrenar tiene muy fácil salida, porque cuenta con características que cumplen con los nuevos requisitos de búsqueda de los compradores. Sin embargo, </w:t>
      </w:r>
      <w:r>
        <w:rPr>
          <w:rFonts w:ascii="Open Sans" w:eastAsia="Open Sans" w:hAnsi="Open Sans" w:cs="Open Sans"/>
          <w:b/>
          <w:sz w:val="21"/>
          <w:szCs w:val="21"/>
        </w:rPr>
        <w:t>podemos encontrarnos con una grave problemática de subida de precios, si la demanda continúa tan latente</w:t>
      </w:r>
      <w:r>
        <w:rPr>
          <w:rFonts w:ascii="Open Sans" w:eastAsia="Open Sans" w:hAnsi="Open Sans" w:cs="Open Sans"/>
          <w:sz w:val="21"/>
          <w:szCs w:val="21"/>
        </w:rPr>
        <w:t xml:space="preserve">. No solo por la inflación, que afecta al coste de los materiales, a la producción y logística, que ha ocasionado la ralentización y paralización de algunas promociones, sino a la demanda de compra tan fuerte y solvente frente a los niveles productivos tan escasos de la vivienda a estrenar”, explica María Matos. </w:t>
      </w:r>
    </w:p>
    <w:p w14:paraId="0344BA3D" w14:textId="4697ED01" w:rsidR="0069375A" w:rsidRPr="0069375A" w:rsidRDefault="0069375A" w:rsidP="0069375A">
      <w:pPr>
        <w:pBdr>
          <w:top w:val="nil"/>
          <w:left w:val="nil"/>
          <w:bottom w:val="nil"/>
          <w:right w:val="nil"/>
          <w:between w:val="nil"/>
        </w:pBdr>
        <w:shd w:val="clear" w:color="auto" w:fill="FFFFFF"/>
        <w:spacing w:after="225"/>
        <w:jc w:val="both"/>
        <w:rPr>
          <w:rFonts w:ascii="Open Sans" w:eastAsia="Open Sans" w:hAnsi="Open Sans" w:cs="Open Sans"/>
          <w:b/>
          <w:color w:val="303AB2"/>
        </w:rPr>
      </w:pPr>
      <w:r w:rsidRPr="0069375A">
        <w:rPr>
          <w:rFonts w:ascii="Open Sans" w:eastAsia="Open Sans" w:hAnsi="Open Sans" w:cs="Open Sans"/>
          <w:b/>
          <w:color w:val="303AB2"/>
        </w:rPr>
        <w:t>Andalucía, Comunidad Valenciana, Cataluña y Madrid, a la cabeza en compraventas</w:t>
      </w:r>
    </w:p>
    <w:p w14:paraId="45FB503B" w14:textId="0622BE78" w:rsidR="0069375A" w:rsidRDefault="0069375A">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Si observamos los datos por Comunidades Autónomas destaca </w:t>
      </w:r>
      <w:r w:rsidRPr="00B315B5">
        <w:rPr>
          <w:rFonts w:ascii="Open Sans" w:eastAsia="Open Sans" w:hAnsi="Open Sans" w:cs="Open Sans"/>
          <w:b/>
          <w:bCs/>
          <w:sz w:val="21"/>
          <w:szCs w:val="21"/>
        </w:rPr>
        <w:t>Andalucía por ser la comunidad que más compraventas ha tenido en el mes de junio, en total se superan las 10.000 operaciones</w:t>
      </w:r>
      <w:r>
        <w:rPr>
          <w:rFonts w:ascii="Open Sans" w:eastAsia="Open Sans" w:hAnsi="Open Sans" w:cs="Open Sans"/>
          <w:sz w:val="21"/>
          <w:szCs w:val="21"/>
        </w:rPr>
        <w:t>, aunque esta cifra es un -9,3% más baja que la de junio de 2022. Y es que, exceptuando</w:t>
      </w:r>
      <w:r w:rsidR="00596241">
        <w:rPr>
          <w:rFonts w:ascii="Open Sans" w:eastAsia="Open Sans" w:hAnsi="Open Sans" w:cs="Open Sans"/>
          <w:sz w:val="21"/>
          <w:szCs w:val="21"/>
        </w:rPr>
        <w:t xml:space="preserve"> Navarra</w:t>
      </w:r>
      <w:r w:rsidR="00F476C0">
        <w:rPr>
          <w:rFonts w:ascii="Open Sans" w:eastAsia="Open Sans" w:hAnsi="Open Sans" w:cs="Open Sans"/>
          <w:sz w:val="21"/>
          <w:szCs w:val="21"/>
        </w:rPr>
        <w:t>, Asturias y la Comunidad Valenciana,</w:t>
      </w:r>
      <w:r w:rsidR="00596241">
        <w:rPr>
          <w:rFonts w:ascii="Open Sans" w:eastAsia="Open Sans" w:hAnsi="Open Sans" w:cs="Open Sans"/>
          <w:sz w:val="21"/>
          <w:szCs w:val="21"/>
        </w:rPr>
        <w:t xml:space="preserve"> el resto de las comunidades presentan descensos interanuales en el número de compraventas respecto al pasado año, que recordemos que fue el mejor año en número de compraventas de los últimos 15 años.</w:t>
      </w:r>
    </w:p>
    <w:p w14:paraId="432CF263" w14:textId="5CAA5F84" w:rsidR="00596241" w:rsidRPr="00B315B5" w:rsidRDefault="00596241">
      <w:pPr>
        <w:shd w:val="clear" w:color="auto" w:fill="FFFFFF"/>
        <w:spacing w:before="280" w:after="280"/>
        <w:jc w:val="both"/>
        <w:rPr>
          <w:rFonts w:ascii="Open Sans" w:eastAsia="Open Sans" w:hAnsi="Open Sans" w:cs="Open Sans"/>
          <w:b/>
          <w:bCs/>
          <w:sz w:val="21"/>
          <w:szCs w:val="21"/>
        </w:rPr>
      </w:pPr>
      <w:r>
        <w:rPr>
          <w:rFonts w:ascii="Open Sans" w:eastAsia="Open Sans" w:hAnsi="Open Sans" w:cs="Open Sans"/>
          <w:sz w:val="21"/>
          <w:szCs w:val="21"/>
        </w:rPr>
        <w:t>Si hacemos la misma comparativa de la situación actual por comunidades respecto a 2019 vemos que también en Andalucía fue don</w:t>
      </w:r>
      <w:r w:rsidR="00B315B5">
        <w:rPr>
          <w:rFonts w:ascii="Open Sans" w:eastAsia="Open Sans" w:hAnsi="Open Sans" w:cs="Open Sans"/>
          <w:sz w:val="21"/>
          <w:szCs w:val="21"/>
        </w:rPr>
        <w:t>d</w:t>
      </w:r>
      <w:r>
        <w:rPr>
          <w:rFonts w:ascii="Open Sans" w:eastAsia="Open Sans" w:hAnsi="Open Sans" w:cs="Open Sans"/>
          <w:sz w:val="21"/>
          <w:szCs w:val="21"/>
        </w:rPr>
        <w:t xml:space="preserve">e más compraventas se efectuaron en junio de </w:t>
      </w:r>
      <w:r>
        <w:rPr>
          <w:rFonts w:ascii="Open Sans" w:eastAsia="Open Sans" w:hAnsi="Open Sans" w:cs="Open Sans"/>
          <w:sz w:val="21"/>
          <w:szCs w:val="21"/>
        </w:rPr>
        <w:lastRenderedPageBreak/>
        <w:t xml:space="preserve">2019 y ese mes se cerraron 8.266 operaciones por lo que en 2023 </w:t>
      </w:r>
      <w:r w:rsidRPr="00B315B5">
        <w:rPr>
          <w:rFonts w:ascii="Open Sans" w:eastAsia="Open Sans" w:hAnsi="Open Sans" w:cs="Open Sans"/>
          <w:b/>
          <w:bCs/>
          <w:sz w:val="21"/>
          <w:szCs w:val="21"/>
        </w:rPr>
        <w:t xml:space="preserve">en Andalucía se han firmado un 30% más que en junio de 2019. </w:t>
      </w:r>
    </w:p>
    <w:p w14:paraId="4D9E5BCB" w14:textId="4A18E327" w:rsidR="00596241" w:rsidRDefault="00596241">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En el caso de otras comunidades como </w:t>
      </w:r>
      <w:r w:rsidRPr="00B315B5">
        <w:rPr>
          <w:rFonts w:ascii="Open Sans" w:eastAsia="Open Sans" w:hAnsi="Open Sans" w:cs="Open Sans"/>
          <w:b/>
          <w:bCs/>
          <w:sz w:val="21"/>
          <w:szCs w:val="21"/>
        </w:rPr>
        <w:t xml:space="preserve">la Comunidad Valenciana, la segunda que más compraventas cierra en junio, </w:t>
      </w:r>
      <w:r w:rsidR="00F476C0" w:rsidRPr="00B315B5">
        <w:rPr>
          <w:rFonts w:ascii="Open Sans" w:eastAsia="Open Sans" w:hAnsi="Open Sans" w:cs="Open Sans"/>
          <w:b/>
          <w:bCs/>
          <w:sz w:val="21"/>
          <w:szCs w:val="21"/>
        </w:rPr>
        <w:t xml:space="preserve">en 2023 se cierran un 49% más de compraventas respecto a junio de 2019 </w:t>
      </w:r>
      <w:r w:rsidR="00F476C0">
        <w:rPr>
          <w:rFonts w:ascii="Open Sans" w:eastAsia="Open Sans" w:hAnsi="Open Sans" w:cs="Open Sans"/>
          <w:sz w:val="21"/>
          <w:szCs w:val="21"/>
        </w:rPr>
        <w:t>por lo que podemos decir que la actividad en las comunidades sigue siendo muy intensa y con datos muy positivos.</w:t>
      </w:r>
    </w:p>
    <w:p w14:paraId="7050DF6D" w14:textId="30A0CE54" w:rsidR="003765BB"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“Entramos en una etapa de moderación de compraventas con respecto a los dos años precedentes. </w:t>
      </w:r>
      <w:r w:rsidRPr="00B315B5">
        <w:rPr>
          <w:rFonts w:ascii="Open Sans" w:eastAsia="Open Sans" w:hAnsi="Open Sans" w:cs="Open Sans"/>
          <w:b/>
          <w:bCs/>
          <w:sz w:val="21"/>
          <w:szCs w:val="21"/>
        </w:rPr>
        <w:t>Se inicia un contexto de adaptación a la nueva política monetaria. Sin embargo, en los próximos meses vamos a ver todavía un sector dinámico, aunque con cifras menos abultadas</w:t>
      </w:r>
      <w:r w:rsidR="00F476C0" w:rsidRPr="00B315B5">
        <w:rPr>
          <w:rFonts w:ascii="Open Sans" w:eastAsia="Open Sans" w:hAnsi="Open Sans" w:cs="Open Sans"/>
          <w:b/>
          <w:bCs/>
          <w:sz w:val="21"/>
          <w:szCs w:val="21"/>
        </w:rPr>
        <w:t xml:space="preserve"> debido a la gran escalada del Euríbor</w:t>
      </w:r>
      <w:r w:rsidR="00B315B5">
        <w:rPr>
          <w:rFonts w:ascii="Open Sans" w:eastAsia="Open Sans" w:hAnsi="Open Sans" w:cs="Open Sans"/>
          <w:sz w:val="21"/>
          <w:szCs w:val="21"/>
        </w:rPr>
        <w:t>, q</w:t>
      </w:r>
      <w:r w:rsidR="00F476C0">
        <w:rPr>
          <w:rFonts w:ascii="Open Sans" w:eastAsia="Open Sans" w:hAnsi="Open Sans" w:cs="Open Sans"/>
          <w:sz w:val="21"/>
          <w:szCs w:val="21"/>
        </w:rPr>
        <w:t>ue en el mes de ju</w:t>
      </w:r>
      <w:r w:rsidR="00B315B5">
        <w:rPr>
          <w:rFonts w:ascii="Open Sans" w:eastAsia="Open Sans" w:hAnsi="Open Sans" w:cs="Open Sans"/>
          <w:sz w:val="21"/>
          <w:szCs w:val="21"/>
        </w:rPr>
        <w:t>l</w:t>
      </w:r>
      <w:r w:rsidR="00F476C0">
        <w:rPr>
          <w:rFonts w:ascii="Open Sans" w:eastAsia="Open Sans" w:hAnsi="Open Sans" w:cs="Open Sans"/>
          <w:sz w:val="21"/>
          <w:szCs w:val="21"/>
        </w:rPr>
        <w:t xml:space="preserve">io ya ha superado la barrera del 4% y unido a la inflación que ha ido haciendo mella en el bolsillo de los hogares y está haciendo que la capacidad de ahorro se vea mermada </w:t>
      </w:r>
      <w:r>
        <w:rPr>
          <w:rFonts w:ascii="Open Sans" w:eastAsia="Open Sans" w:hAnsi="Open Sans" w:cs="Open Sans"/>
          <w:sz w:val="21"/>
          <w:szCs w:val="21"/>
        </w:rPr>
        <w:t>por los grandes incrementos en la cesta de la compra y servicios. Esto hará que a la larga los españoles no puedan ahorrar tanto y que se modere la compra de inmuebles</w:t>
      </w:r>
      <w:r w:rsidR="00F476C0">
        <w:rPr>
          <w:rFonts w:ascii="Open Sans" w:eastAsia="Open Sans" w:hAnsi="Open Sans" w:cs="Open Sans"/>
          <w:sz w:val="21"/>
          <w:szCs w:val="21"/>
        </w:rPr>
        <w:t xml:space="preserve">”, </w:t>
      </w:r>
      <w:r>
        <w:rPr>
          <w:rFonts w:ascii="Open Sans" w:eastAsia="Open Sans" w:hAnsi="Open Sans" w:cs="Open Sans"/>
          <w:sz w:val="21"/>
          <w:szCs w:val="21"/>
        </w:rPr>
        <w:t xml:space="preserve">comenta la directora de Estudios. </w:t>
      </w:r>
    </w:p>
    <w:p w14:paraId="6998555A" w14:textId="77777777" w:rsidR="003765BB" w:rsidRDefault="003765BB">
      <w:pPr>
        <w:ind w:right="-12"/>
        <w:rPr>
          <w:rFonts w:ascii="Open Sans Light" w:eastAsia="Open Sans Light" w:hAnsi="Open Sans Light" w:cs="Open Sans Light"/>
          <w:b/>
          <w:color w:val="303AB2"/>
        </w:rPr>
      </w:pPr>
    </w:p>
    <w:p w14:paraId="140F482C" w14:textId="77777777" w:rsidR="003765BB" w:rsidRDefault="00000000">
      <w:pPr>
        <w:ind w:right="-7"/>
        <w:jc w:val="right"/>
        <w:rPr>
          <w:rFonts w:ascii="Open Sans Light" w:eastAsia="Open Sans Light" w:hAnsi="Open Sans Light" w:cs="Open Sans Light"/>
          <w:b/>
          <w:color w:val="303AB2"/>
          <w:sz w:val="24"/>
          <w:szCs w:val="24"/>
        </w:rPr>
      </w:pPr>
      <w:r>
        <w:rPr>
          <w:rFonts w:ascii="Open Sans Light" w:eastAsia="Open Sans Light" w:hAnsi="Open Sans Light" w:cs="Open Sans Light"/>
          <w:b/>
          <w:color w:val="303AB2"/>
          <w:sz w:val="24"/>
          <w:szCs w:val="24"/>
        </w:rPr>
        <w:t>Departamento de Comunicación de Fotocasa</w:t>
      </w:r>
    </w:p>
    <w:p w14:paraId="295077BC" w14:textId="77777777" w:rsidR="003765BB" w:rsidRDefault="00000000">
      <w:pPr>
        <w:shd w:val="clear" w:color="auto" w:fill="FFFFFF"/>
        <w:ind w:right="-7"/>
        <w:jc w:val="right"/>
        <w:rPr>
          <w:rFonts w:ascii="Open Sans" w:eastAsia="Open Sans" w:hAnsi="Open Sans" w:cs="Open Sans"/>
          <w:b/>
          <w:sz w:val="21"/>
          <w:szCs w:val="21"/>
        </w:rPr>
      </w:pPr>
      <w:r>
        <w:rPr>
          <w:rFonts w:ascii="Open Sans" w:eastAsia="Open Sans" w:hAnsi="Open Sans" w:cs="Open Sans"/>
          <w:b/>
          <w:sz w:val="21"/>
          <w:szCs w:val="21"/>
        </w:rPr>
        <w:t>Anaïs López</w:t>
      </w:r>
    </w:p>
    <w:p w14:paraId="0F0E202C" w14:textId="77777777" w:rsidR="003765BB" w:rsidRDefault="00000000">
      <w:pPr>
        <w:shd w:val="clear" w:color="auto" w:fill="FFFFFF"/>
        <w:ind w:right="-7"/>
        <w:jc w:val="right"/>
        <w:rPr>
          <w:rFonts w:ascii="Open Sans" w:eastAsia="Open Sans" w:hAnsi="Open Sans" w:cs="Open Sans"/>
          <w:sz w:val="21"/>
          <w:szCs w:val="21"/>
        </w:rPr>
      </w:pPr>
      <w:r>
        <w:rPr>
          <w:rFonts w:ascii="Open Sans" w:eastAsia="Open Sans" w:hAnsi="Open Sans" w:cs="Open Sans"/>
          <w:sz w:val="21"/>
          <w:szCs w:val="21"/>
        </w:rPr>
        <w:t>Móvil: 620 66 29 26</w:t>
      </w:r>
    </w:p>
    <w:p w14:paraId="2BF4E64B" w14:textId="77777777" w:rsidR="003765BB" w:rsidRDefault="00000000">
      <w:pPr>
        <w:shd w:val="clear" w:color="auto" w:fill="FFFFFF"/>
        <w:ind w:right="-7"/>
        <w:jc w:val="right"/>
        <w:rPr>
          <w:rFonts w:ascii="Open Sans" w:eastAsia="Open Sans" w:hAnsi="Open Sans" w:cs="Open Sans"/>
          <w:sz w:val="21"/>
          <w:szCs w:val="21"/>
        </w:rPr>
      </w:pPr>
      <w:hyperlink r:id="rId11">
        <w:r>
          <w:rPr>
            <w:rFonts w:ascii="Open Sans" w:eastAsia="Open Sans" w:hAnsi="Open Sans" w:cs="Open Sans"/>
            <w:color w:val="0563C1"/>
            <w:sz w:val="21"/>
            <w:szCs w:val="21"/>
            <w:u w:val="single"/>
          </w:rPr>
          <w:t>comunicacion@fotocasa.es</w:t>
        </w:r>
      </w:hyperlink>
    </w:p>
    <w:p w14:paraId="6D338876" w14:textId="77777777" w:rsidR="003765BB" w:rsidRDefault="00000000">
      <w:pPr>
        <w:shd w:val="clear" w:color="auto" w:fill="FFFFFF"/>
        <w:ind w:right="-7"/>
        <w:jc w:val="right"/>
        <w:rPr>
          <w:rFonts w:ascii="Open Sans" w:eastAsia="Open Sans" w:hAnsi="Open Sans" w:cs="Open Sans"/>
          <w:sz w:val="21"/>
          <w:szCs w:val="21"/>
        </w:rPr>
      </w:pPr>
      <w:hyperlink r:id="rId12">
        <w:r>
          <w:rPr>
            <w:rFonts w:ascii="Open Sans" w:eastAsia="Open Sans" w:hAnsi="Open Sans" w:cs="Open Sans"/>
            <w:color w:val="0563C1"/>
            <w:sz w:val="21"/>
            <w:szCs w:val="21"/>
            <w:u w:val="single"/>
          </w:rPr>
          <w:t>http://prensa.fotocasa.es</w:t>
        </w:r>
      </w:hyperlink>
    </w:p>
    <w:p w14:paraId="6D070010" w14:textId="77777777" w:rsidR="003765BB" w:rsidRDefault="00000000">
      <w:pPr>
        <w:shd w:val="clear" w:color="auto" w:fill="FFFFFF"/>
        <w:ind w:right="-7"/>
        <w:jc w:val="right"/>
        <w:rPr>
          <w:rFonts w:ascii="Open Sans" w:eastAsia="Open Sans" w:hAnsi="Open Sans" w:cs="Open Sans"/>
          <w:sz w:val="21"/>
          <w:szCs w:val="21"/>
        </w:rPr>
      </w:pPr>
      <w:proofErr w:type="spellStart"/>
      <w:r>
        <w:rPr>
          <w:rFonts w:ascii="Open Sans" w:eastAsia="Open Sans" w:hAnsi="Open Sans" w:cs="Open Sans"/>
          <w:sz w:val="21"/>
          <w:szCs w:val="21"/>
        </w:rPr>
        <w:t>twitter</w:t>
      </w:r>
      <w:proofErr w:type="spellEnd"/>
      <w:r>
        <w:rPr>
          <w:rFonts w:ascii="Open Sans" w:eastAsia="Open Sans" w:hAnsi="Open Sans" w:cs="Open Sans"/>
          <w:sz w:val="21"/>
          <w:szCs w:val="21"/>
        </w:rPr>
        <w:t>: @fotocasa</w:t>
      </w:r>
    </w:p>
    <w:p w14:paraId="409A66EA" w14:textId="77777777" w:rsidR="003765BB" w:rsidRDefault="003765BB"/>
    <w:sectPr w:rsidR="003765BB">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F13F8" w14:textId="77777777" w:rsidR="00702ADA" w:rsidRDefault="00702ADA">
      <w:pPr>
        <w:spacing w:line="240" w:lineRule="auto"/>
      </w:pPr>
      <w:r>
        <w:separator/>
      </w:r>
    </w:p>
  </w:endnote>
  <w:endnote w:type="continuationSeparator" w:id="0">
    <w:p w14:paraId="765B3BD4" w14:textId="77777777" w:rsidR="00702ADA" w:rsidRDefault="00702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3F4A" w14:textId="77777777" w:rsidR="003765BB" w:rsidRDefault="00000000">
    <w:r>
      <w:rPr>
        <w:noProof/>
      </w:rPr>
      <w:drawing>
        <wp:anchor distT="0" distB="0" distL="0" distR="0" simplePos="0" relativeHeight="251658240" behindDoc="0" locked="0" layoutInCell="1" hidden="0" allowOverlap="1" wp14:anchorId="5B5BBB81" wp14:editId="69353467">
          <wp:simplePos x="0" y="0"/>
          <wp:positionH relativeFrom="column">
            <wp:posOffset>-1916420</wp:posOffset>
          </wp:positionH>
          <wp:positionV relativeFrom="paragraph">
            <wp:posOffset>304800</wp:posOffset>
          </wp:positionV>
          <wp:extent cx="8620125" cy="447675"/>
          <wp:effectExtent l="0" t="0" r="0" b="0"/>
          <wp:wrapSquare wrapText="bothSides" distT="0" distB="0" distL="0" distR="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043" r="621"/>
                  <a:stretch>
                    <a:fillRect/>
                  </a:stretch>
                </pic:blipFill>
                <pic:spPr>
                  <a:xfrm>
                    <a:off x="0" y="0"/>
                    <a:ext cx="8620125" cy="447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9392B" w14:textId="77777777" w:rsidR="00702ADA" w:rsidRDefault="00702ADA">
      <w:pPr>
        <w:spacing w:line="240" w:lineRule="auto"/>
      </w:pPr>
      <w:r>
        <w:separator/>
      </w:r>
    </w:p>
  </w:footnote>
  <w:footnote w:type="continuationSeparator" w:id="0">
    <w:p w14:paraId="20E8A6E1" w14:textId="77777777" w:rsidR="00702ADA" w:rsidRDefault="00702A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5BB"/>
    <w:rsid w:val="000A18D2"/>
    <w:rsid w:val="00136B2B"/>
    <w:rsid w:val="003765BB"/>
    <w:rsid w:val="00433E2B"/>
    <w:rsid w:val="00596241"/>
    <w:rsid w:val="0069375A"/>
    <w:rsid w:val="00702ADA"/>
    <w:rsid w:val="00B315B5"/>
    <w:rsid w:val="00B455A5"/>
    <w:rsid w:val="00F476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1812"/>
  <w15:docId w15:val="{EF6DAB2F-46CA-4451-845A-F3B18344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C1037C"/>
    <w:rPr>
      <w:color w:val="0000FF" w:themeColor="hyperlink"/>
      <w:u w:val="single"/>
    </w:rPr>
  </w:style>
  <w:style w:type="character" w:styleId="Mencinsinresolver">
    <w:name w:val="Unresolved Mention"/>
    <w:basedOn w:val="Fuentedeprrafopredeter"/>
    <w:uiPriority w:val="99"/>
    <w:semiHidden/>
    <w:unhideWhenUsed/>
    <w:rsid w:val="00C1037C"/>
    <w:rPr>
      <w:color w:val="605E5C"/>
      <w:shd w:val="clear" w:color="auto" w:fill="E1DFDD"/>
    </w:rPr>
  </w:style>
  <w:style w:type="paragraph" w:styleId="Encabezado">
    <w:name w:val="header"/>
    <w:basedOn w:val="Normal"/>
    <w:link w:val="EncabezadoCar"/>
    <w:uiPriority w:val="99"/>
    <w:unhideWhenUsed/>
    <w:rsid w:val="001C013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C0136"/>
  </w:style>
  <w:style w:type="paragraph" w:styleId="Piedepgina">
    <w:name w:val="footer"/>
    <w:basedOn w:val="Normal"/>
    <w:link w:val="PiedepginaCar"/>
    <w:uiPriority w:val="99"/>
    <w:unhideWhenUsed/>
    <w:rsid w:val="001C013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0136"/>
  </w:style>
  <w:style w:type="character" w:styleId="Hipervnculovisitado">
    <w:name w:val="FollowedHyperlink"/>
    <w:basedOn w:val="Fuentedeprrafopredeter"/>
    <w:uiPriority w:val="99"/>
    <w:semiHidden/>
    <w:unhideWhenUsed/>
    <w:rsid w:val="00D632B5"/>
    <w:rPr>
      <w:color w:val="800080" w:themeColor="followedHyperlink"/>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ensa.fotocasa.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omunicacion@fotocasa.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otocasa.es" TargetMode="External"/><Relationship Id="rId4" Type="http://schemas.openxmlformats.org/officeDocument/2006/relationships/webSettings" Target="webSettings.xml"/><Relationship Id="rId9" Type="http://schemas.openxmlformats.org/officeDocument/2006/relationships/hyperlink" Target="https://s36216.pcdn.co/wp-content/uploads/2023/05/NdP-Radiografia-del-mercado-de-la-vivienda-2023-FC-RESEARCH.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0GOAbdj433Lb9N8O20I5Zv442g==">CgMxLjA4AHIhMXNhdnlHMzRfenc3M1hfdlRTSmlRQ0lEZWtwdzlReGdS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1014</Words>
  <Characters>5577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6</cp:revision>
  <dcterms:created xsi:type="dcterms:W3CDTF">2022-05-27T10:04:00Z</dcterms:created>
  <dcterms:modified xsi:type="dcterms:W3CDTF">2023-08-04T07:45:00Z</dcterms:modified>
</cp:coreProperties>
</file>