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BBD1" w14:textId="77777777" w:rsidR="00455DA0" w:rsidRDefault="00000000">
      <w:r>
        <w:rPr>
          <w:noProof/>
        </w:rPr>
        <w:drawing>
          <wp:anchor distT="0" distB="0" distL="114300" distR="114300" simplePos="0" relativeHeight="251658240" behindDoc="0" locked="0" layoutInCell="1" hidden="0" allowOverlap="1" wp14:anchorId="29FC4347" wp14:editId="4DADD4EE">
            <wp:simplePos x="0" y="0"/>
            <wp:positionH relativeFrom="column">
              <wp:posOffset>-300959</wp:posOffset>
            </wp:positionH>
            <wp:positionV relativeFrom="paragraph">
              <wp:posOffset>0</wp:posOffset>
            </wp:positionV>
            <wp:extent cx="1614805" cy="904875"/>
            <wp:effectExtent l="0" t="0" r="0" b="0"/>
            <wp:wrapSquare wrapText="bothSides" distT="0" distB="0" distL="114300" distR="114300"/>
            <wp:docPr id="2067787073" name="image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cono&#10;&#10;Descripción generada automáticamente"/>
                    <pic:cNvPicPr preferRelativeResize="0"/>
                  </pic:nvPicPr>
                  <pic:blipFill>
                    <a:blip r:embed="rId8"/>
                    <a:srcRect/>
                    <a:stretch>
                      <a:fillRect/>
                    </a:stretch>
                  </pic:blipFill>
                  <pic:spPr>
                    <a:xfrm>
                      <a:off x="0" y="0"/>
                      <a:ext cx="1614805" cy="9048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0CE9C02" wp14:editId="3143C1A2">
            <wp:simplePos x="0" y="0"/>
            <wp:positionH relativeFrom="column">
              <wp:posOffset>4040735</wp:posOffset>
            </wp:positionH>
            <wp:positionV relativeFrom="paragraph">
              <wp:posOffset>239003</wp:posOffset>
            </wp:positionV>
            <wp:extent cx="1744345" cy="660400"/>
            <wp:effectExtent l="0" t="0" r="0" b="0"/>
            <wp:wrapSquare wrapText="bothSides" distT="0" distB="0" distL="114300" distR="114300"/>
            <wp:docPr id="2067787075" name="image2.png" descr="Un dibujo de un animal&#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Un dibujo de un animal&#10;&#10;Descripción generada automáticamente con confianza media"/>
                    <pic:cNvPicPr preferRelativeResize="0"/>
                  </pic:nvPicPr>
                  <pic:blipFill>
                    <a:blip r:embed="rId9"/>
                    <a:srcRect/>
                    <a:stretch>
                      <a:fillRect/>
                    </a:stretch>
                  </pic:blipFill>
                  <pic:spPr>
                    <a:xfrm>
                      <a:off x="0" y="0"/>
                      <a:ext cx="1744345" cy="660400"/>
                    </a:xfrm>
                    <a:prstGeom prst="rect">
                      <a:avLst/>
                    </a:prstGeom>
                    <a:ln/>
                  </pic:spPr>
                </pic:pic>
              </a:graphicData>
            </a:graphic>
          </wp:anchor>
        </w:drawing>
      </w:r>
    </w:p>
    <w:p w14:paraId="077C0411" w14:textId="77777777" w:rsidR="00455DA0" w:rsidRDefault="00455DA0"/>
    <w:p w14:paraId="3BB4AA10" w14:textId="77777777" w:rsidR="00455DA0" w:rsidRDefault="00455DA0"/>
    <w:p w14:paraId="1CECEFE5" w14:textId="77777777" w:rsidR="00455DA0" w:rsidRDefault="00455DA0"/>
    <w:p w14:paraId="48BBF3FD" w14:textId="77777777" w:rsidR="00455DA0" w:rsidRDefault="00000000">
      <w:pPr>
        <w:spacing w:after="0" w:line="240" w:lineRule="auto"/>
        <w:ind w:right="-574"/>
        <w:jc w:val="center"/>
        <w:rPr>
          <w:rFonts w:ascii="National" w:eastAsia="National" w:hAnsi="National" w:cs="National"/>
          <w:b/>
          <w:color w:val="1DBDC5"/>
          <w:sz w:val="34"/>
          <w:szCs w:val="34"/>
        </w:rPr>
      </w:pPr>
      <w:r>
        <w:rPr>
          <w:rFonts w:ascii="National" w:eastAsia="National" w:hAnsi="National" w:cs="National"/>
          <w:b/>
          <w:color w:val="1DBDC5"/>
          <w:sz w:val="34"/>
          <w:szCs w:val="34"/>
        </w:rPr>
        <w:t>INFORME: “LA SOSTENIBILIDAD EN LA DEMANDA DE VIVIENDA EN ESPAÑA”</w:t>
      </w:r>
    </w:p>
    <w:p w14:paraId="6D8C1BE8" w14:textId="77777777" w:rsidR="00455DA0" w:rsidRDefault="00455DA0">
      <w:pPr>
        <w:spacing w:after="0" w:line="240" w:lineRule="auto"/>
        <w:ind w:right="-574"/>
        <w:jc w:val="center"/>
        <w:rPr>
          <w:rFonts w:ascii="Times New Roman" w:eastAsia="Times New Roman" w:hAnsi="Times New Roman" w:cs="Times New Roman"/>
          <w:sz w:val="36"/>
          <w:szCs w:val="36"/>
        </w:rPr>
      </w:pPr>
    </w:p>
    <w:p w14:paraId="33177BCF" w14:textId="77777777" w:rsidR="00455DA0" w:rsidRDefault="00000000">
      <w:pPr>
        <w:spacing w:after="0" w:line="240" w:lineRule="auto"/>
        <w:ind w:right="-574"/>
        <w:jc w:val="center"/>
        <w:rPr>
          <w:rFonts w:ascii="National" w:eastAsia="National" w:hAnsi="National" w:cs="National"/>
          <w:b/>
          <w:color w:val="2F5496"/>
          <w:sz w:val="48"/>
          <w:szCs w:val="48"/>
        </w:rPr>
      </w:pPr>
      <w:r>
        <w:rPr>
          <w:rFonts w:ascii="National" w:eastAsia="National" w:hAnsi="National" w:cs="National"/>
          <w:b/>
          <w:color w:val="2F5496"/>
          <w:sz w:val="48"/>
          <w:szCs w:val="48"/>
        </w:rPr>
        <w:t>Los compradores están dispuestos a pagar un 10% más para que su vivienda sea sostenible</w:t>
      </w:r>
    </w:p>
    <w:p w14:paraId="26F576AA" w14:textId="77777777" w:rsidR="00455DA0" w:rsidRDefault="00455DA0">
      <w:pPr>
        <w:spacing w:after="0" w:line="240" w:lineRule="auto"/>
        <w:ind w:left="644" w:right="-574"/>
        <w:jc w:val="center"/>
        <w:rPr>
          <w:rFonts w:ascii="Times New Roman" w:eastAsia="Times New Roman" w:hAnsi="Times New Roman" w:cs="Times New Roman"/>
          <w:sz w:val="24"/>
          <w:szCs w:val="24"/>
        </w:rPr>
      </w:pPr>
    </w:p>
    <w:p w14:paraId="31D60FA8" w14:textId="1698CACB" w:rsidR="00455DA0" w:rsidRDefault="00000000">
      <w:pPr>
        <w:numPr>
          <w:ilvl w:val="0"/>
          <w:numId w:val="1"/>
        </w:numPr>
        <w:pBdr>
          <w:top w:val="nil"/>
          <w:left w:val="nil"/>
          <w:bottom w:val="nil"/>
          <w:right w:val="nil"/>
          <w:between w:val="nil"/>
        </w:pBdr>
        <w:spacing w:after="0" w:line="240" w:lineRule="auto"/>
        <w:ind w:right="-143"/>
        <w:jc w:val="both"/>
        <w:rPr>
          <w:rFonts w:ascii="Open Sans" w:eastAsia="Open Sans" w:hAnsi="Open Sans" w:cs="Open Sans"/>
          <w:color w:val="000000"/>
          <w:sz w:val="24"/>
          <w:szCs w:val="24"/>
        </w:rPr>
      </w:pPr>
      <w:r>
        <w:rPr>
          <w:rFonts w:ascii="Open Sans" w:eastAsia="Open Sans" w:hAnsi="Open Sans" w:cs="Open Sans"/>
          <w:sz w:val="24"/>
          <w:szCs w:val="24"/>
        </w:rPr>
        <w:t xml:space="preserve">Más de un 20% de demandantes afrontaría hasta un </w:t>
      </w:r>
      <w:r w:rsidR="00AF61DA">
        <w:rPr>
          <w:rFonts w:ascii="Open Sans" w:eastAsia="Open Sans" w:hAnsi="Open Sans" w:cs="Open Sans"/>
          <w:sz w:val="24"/>
          <w:szCs w:val="24"/>
        </w:rPr>
        <w:t xml:space="preserve">incremento del </w:t>
      </w:r>
      <w:r>
        <w:rPr>
          <w:rFonts w:ascii="Open Sans" w:eastAsia="Open Sans" w:hAnsi="Open Sans" w:cs="Open Sans"/>
          <w:sz w:val="24"/>
          <w:szCs w:val="24"/>
        </w:rPr>
        <w:t xml:space="preserve">15% </w:t>
      </w:r>
      <w:r w:rsidR="00AF61DA">
        <w:rPr>
          <w:rFonts w:ascii="Open Sans" w:eastAsia="Open Sans" w:hAnsi="Open Sans" w:cs="Open Sans"/>
          <w:sz w:val="24"/>
          <w:szCs w:val="24"/>
        </w:rPr>
        <w:t>en el</w:t>
      </w:r>
      <w:r>
        <w:rPr>
          <w:rFonts w:ascii="Open Sans" w:eastAsia="Open Sans" w:hAnsi="Open Sans" w:cs="Open Sans"/>
          <w:sz w:val="24"/>
          <w:szCs w:val="24"/>
        </w:rPr>
        <w:t xml:space="preserve"> precio de la vivienda si cuenta con criterios sostenibles</w:t>
      </w:r>
    </w:p>
    <w:p w14:paraId="7C2366D6" w14:textId="77777777" w:rsidR="00455DA0" w:rsidRDefault="00455DA0">
      <w:pPr>
        <w:pBdr>
          <w:top w:val="nil"/>
          <w:left w:val="nil"/>
          <w:bottom w:val="nil"/>
          <w:right w:val="nil"/>
          <w:between w:val="nil"/>
        </w:pBdr>
        <w:spacing w:after="0" w:line="240" w:lineRule="auto"/>
        <w:ind w:left="720" w:right="-143"/>
        <w:jc w:val="both"/>
        <w:rPr>
          <w:rFonts w:ascii="Open Sans" w:eastAsia="Open Sans" w:hAnsi="Open Sans" w:cs="Open Sans"/>
          <w:sz w:val="24"/>
          <w:szCs w:val="24"/>
        </w:rPr>
      </w:pPr>
    </w:p>
    <w:p w14:paraId="752D1288" w14:textId="20EB1F76" w:rsidR="00455DA0" w:rsidRDefault="00000000">
      <w:pPr>
        <w:numPr>
          <w:ilvl w:val="0"/>
          <w:numId w:val="1"/>
        </w:numPr>
        <w:pBdr>
          <w:top w:val="nil"/>
          <w:left w:val="nil"/>
          <w:bottom w:val="nil"/>
          <w:right w:val="nil"/>
          <w:between w:val="nil"/>
        </w:pBdr>
        <w:spacing w:after="0" w:line="240" w:lineRule="auto"/>
        <w:ind w:right="-143"/>
        <w:jc w:val="both"/>
        <w:rPr>
          <w:rFonts w:ascii="Open Sans" w:eastAsia="Open Sans" w:hAnsi="Open Sans" w:cs="Open Sans"/>
          <w:color w:val="000000"/>
          <w:sz w:val="24"/>
          <w:szCs w:val="24"/>
        </w:rPr>
      </w:pPr>
      <w:r>
        <w:rPr>
          <w:rFonts w:ascii="Open Sans" w:eastAsia="Open Sans" w:hAnsi="Open Sans" w:cs="Open Sans"/>
          <w:sz w:val="24"/>
          <w:szCs w:val="24"/>
        </w:rPr>
        <w:t xml:space="preserve">La predisposición </w:t>
      </w:r>
      <w:r w:rsidR="00AF61DA">
        <w:rPr>
          <w:rFonts w:ascii="Open Sans" w:eastAsia="Open Sans" w:hAnsi="Open Sans" w:cs="Open Sans"/>
          <w:sz w:val="24"/>
          <w:szCs w:val="24"/>
        </w:rPr>
        <w:t>a</w:t>
      </w:r>
      <w:r>
        <w:rPr>
          <w:rFonts w:ascii="Open Sans" w:eastAsia="Open Sans" w:hAnsi="Open Sans" w:cs="Open Sans"/>
          <w:sz w:val="24"/>
          <w:szCs w:val="24"/>
        </w:rPr>
        <w:t xml:space="preserve"> pagar más por una vivienda sostenible es mayor entre quienes compran (53%) que entre quienes alquilan (42%)</w:t>
      </w:r>
    </w:p>
    <w:p w14:paraId="5D2CCFBC" w14:textId="77777777" w:rsidR="00455DA0" w:rsidRDefault="00455DA0">
      <w:pPr>
        <w:spacing w:after="0" w:line="240" w:lineRule="auto"/>
        <w:ind w:right="-143"/>
        <w:jc w:val="both"/>
        <w:rPr>
          <w:rFonts w:ascii="Open Sans" w:eastAsia="Open Sans" w:hAnsi="Open Sans" w:cs="Open Sans"/>
          <w:sz w:val="24"/>
          <w:szCs w:val="24"/>
        </w:rPr>
      </w:pPr>
    </w:p>
    <w:p w14:paraId="1B2A4188" w14:textId="77777777" w:rsidR="00455DA0" w:rsidRDefault="00000000">
      <w:pPr>
        <w:numPr>
          <w:ilvl w:val="0"/>
          <w:numId w:val="1"/>
        </w:numPr>
        <w:pBdr>
          <w:top w:val="nil"/>
          <w:left w:val="nil"/>
          <w:bottom w:val="nil"/>
          <w:right w:val="nil"/>
          <w:between w:val="nil"/>
        </w:pBdr>
        <w:spacing w:after="0" w:line="240" w:lineRule="auto"/>
        <w:ind w:right="-143"/>
        <w:jc w:val="both"/>
        <w:rPr>
          <w:rFonts w:ascii="Open Sans" w:eastAsia="Open Sans" w:hAnsi="Open Sans" w:cs="Open Sans"/>
          <w:color w:val="000000"/>
          <w:sz w:val="24"/>
          <w:szCs w:val="24"/>
        </w:rPr>
      </w:pPr>
      <w:r>
        <w:rPr>
          <w:rFonts w:ascii="Open Sans" w:eastAsia="Open Sans" w:hAnsi="Open Sans" w:cs="Open Sans"/>
          <w:sz w:val="24"/>
          <w:szCs w:val="24"/>
        </w:rPr>
        <w:t>El ahorro en la factura de los suministros es el principal incentivo para quienes apuestan por una vivienda eficiente energéticamente</w:t>
      </w:r>
    </w:p>
    <w:p w14:paraId="3F20B6E7" w14:textId="77777777" w:rsidR="00455DA0" w:rsidRDefault="00455DA0">
      <w:pPr>
        <w:spacing w:after="0" w:line="240" w:lineRule="auto"/>
        <w:ind w:right="-143"/>
        <w:jc w:val="both"/>
        <w:rPr>
          <w:rFonts w:ascii="Open Sans" w:eastAsia="Open Sans" w:hAnsi="Open Sans" w:cs="Open Sans"/>
          <w:color w:val="000000"/>
        </w:rPr>
      </w:pPr>
    </w:p>
    <w:p w14:paraId="6515941B" w14:textId="77777777" w:rsidR="00455DA0" w:rsidRDefault="00455DA0">
      <w:pPr>
        <w:spacing w:after="0" w:line="240" w:lineRule="auto"/>
        <w:ind w:right="-143"/>
        <w:jc w:val="both"/>
        <w:rPr>
          <w:rFonts w:ascii="Open Sans" w:eastAsia="Open Sans" w:hAnsi="Open Sans" w:cs="Open Sans"/>
          <w:color w:val="2F5496"/>
          <w:sz w:val="24"/>
          <w:szCs w:val="24"/>
        </w:rPr>
      </w:pPr>
    </w:p>
    <w:p w14:paraId="07DFC7FF" w14:textId="48779D29" w:rsidR="00455DA0" w:rsidRPr="00E659D0" w:rsidRDefault="00000000">
      <w:pPr>
        <w:spacing w:after="0" w:line="240" w:lineRule="auto"/>
        <w:ind w:right="-574"/>
        <w:jc w:val="both"/>
        <w:rPr>
          <w:rFonts w:ascii="Open Sans" w:eastAsia="Open Sans" w:hAnsi="Open Sans" w:cs="Open Sans"/>
          <w:b/>
          <w:color w:val="2F5496"/>
          <w:sz w:val="24"/>
          <w:szCs w:val="24"/>
        </w:rPr>
      </w:pPr>
      <w:r>
        <w:rPr>
          <w:rFonts w:ascii="Open Sans" w:eastAsia="Open Sans" w:hAnsi="Open Sans" w:cs="Open Sans"/>
          <w:b/>
          <w:color w:val="2F5496"/>
          <w:sz w:val="24"/>
          <w:szCs w:val="24"/>
        </w:rPr>
        <w:t xml:space="preserve">Madrid, </w:t>
      </w:r>
      <w:r w:rsidR="00E659D0">
        <w:rPr>
          <w:rFonts w:ascii="Open Sans" w:eastAsia="Open Sans" w:hAnsi="Open Sans" w:cs="Open Sans"/>
          <w:b/>
          <w:color w:val="2F5496"/>
          <w:sz w:val="24"/>
          <w:szCs w:val="24"/>
        </w:rPr>
        <w:t xml:space="preserve">29 de septiembre </w:t>
      </w:r>
      <w:r>
        <w:rPr>
          <w:rFonts w:ascii="Open Sans" w:eastAsia="Open Sans" w:hAnsi="Open Sans" w:cs="Open Sans"/>
          <w:b/>
          <w:color w:val="2F5496"/>
          <w:sz w:val="24"/>
          <w:szCs w:val="24"/>
        </w:rPr>
        <w:t>de 2023</w:t>
      </w:r>
    </w:p>
    <w:p w14:paraId="2F08429A" w14:textId="77777777" w:rsidR="00455DA0" w:rsidRDefault="00455DA0">
      <w:pPr>
        <w:spacing w:after="0" w:line="240" w:lineRule="auto"/>
        <w:rPr>
          <w:rFonts w:ascii="Times New Roman" w:eastAsia="Times New Roman" w:hAnsi="Times New Roman" w:cs="Times New Roman"/>
          <w:sz w:val="24"/>
          <w:szCs w:val="24"/>
        </w:rPr>
      </w:pPr>
    </w:p>
    <w:p w14:paraId="6AEFD3ED" w14:textId="140BB8E7" w:rsidR="00455DA0" w:rsidRDefault="00000000">
      <w:pPr>
        <w:pBdr>
          <w:top w:val="nil"/>
          <w:left w:val="nil"/>
          <w:bottom w:val="nil"/>
          <w:right w:val="nil"/>
          <w:between w:val="nil"/>
        </w:pBdr>
        <w:spacing w:line="276" w:lineRule="auto"/>
        <w:jc w:val="both"/>
        <w:rPr>
          <w:rFonts w:ascii="Open Sans" w:eastAsia="Open Sans" w:hAnsi="Open Sans" w:cs="Open Sans"/>
          <w:color w:val="000000"/>
        </w:rPr>
      </w:pPr>
      <w:r>
        <w:rPr>
          <w:rFonts w:ascii="Open Sans" w:eastAsia="Open Sans" w:hAnsi="Open Sans" w:cs="Open Sans"/>
          <w:color w:val="000000"/>
        </w:rPr>
        <w:t xml:space="preserve">La importancia de la sostenibilidad </w:t>
      </w:r>
      <w:r>
        <w:rPr>
          <w:rFonts w:ascii="Open Sans" w:eastAsia="Open Sans" w:hAnsi="Open Sans" w:cs="Open Sans"/>
        </w:rPr>
        <w:t xml:space="preserve">es cada vez </w:t>
      </w:r>
      <w:r>
        <w:rPr>
          <w:rFonts w:ascii="Open Sans" w:eastAsia="Open Sans" w:hAnsi="Open Sans" w:cs="Open Sans"/>
          <w:color w:val="000000"/>
        </w:rPr>
        <w:t>relevan</w:t>
      </w:r>
      <w:r>
        <w:rPr>
          <w:rFonts w:ascii="Open Sans" w:eastAsia="Open Sans" w:hAnsi="Open Sans" w:cs="Open Sans"/>
        </w:rPr>
        <w:t>te</w:t>
      </w:r>
      <w:r>
        <w:rPr>
          <w:rFonts w:ascii="Open Sans" w:eastAsia="Open Sans" w:hAnsi="Open Sans" w:cs="Open Sans"/>
          <w:color w:val="000000"/>
        </w:rPr>
        <w:t xml:space="preserve"> en la vida de las personas y, por tanto, en el sector inmobiliario. Así, los criterios medioambientales y de eficiencia energética se imponen entre los demandantes de vivienda</w:t>
      </w:r>
      <w:r>
        <w:rPr>
          <w:rFonts w:ascii="Open Sans" w:eastAsia="Open Sans" w:hAnsi="Open Sans" w:cs="Open Sans"/>
        </w:rPr>
        <w:t xml:space="preserve">, al tiempo que añaden más valor al inmueble. </w:t>
      </w:r>
      <w:r w:rsidRPr="00F3743D">
        <w:rPr>
          <w:rFonts w:ascii="Open Sans" w:eastAsia="Open Sans" w:hAnsi="Open Sans" w:cs="Open Sans"/>
          <w:b/>
          <w:bCs/>
        </w:rPr>
        <w:t>¿Cuál es el precio de la sostenibilidad en la vivienda?</w:t>
      </w:r>
      <w:r>
        <w:rPr>
          <w:rFonts w:ascii="Open Sans" w:eastAsia="Open Sans" w:hAnsi="Open Sans" w:cs="Open Sans"/>
        </w:rPr>
        <w:t xml:space="preserve"> ¿Qué porcentaje</w:t>
      </w:r>
      <w:r w:rsidR="00AF61DA">
        <w:rPr>
          <w:rFonts w:ascii="Open Sans" w:eastAsia="Open Sans" w:hAnsi="Open Sans" w:cs="Open Sans"/>
        </w:rPr>
        <w:t xml:space="preserve"> de incremento en el </w:t>
      </w:r>
      <w:r>
        <w:rPr>
          <w:rFonts w:ascii="Open Sans" w:eastAsia="Open Sans" w:hAnsi="Open Sans" w:cs="Open Sans"/>
        </w:rPr>
        <w:t>precio</w:t>
      </w:r>
      <w:r w:rsidR="00AF61DA">
        <w:rPr>
          <w:rFonts w:ascii="Open Sans" w:eastAsia="Open Sans" w:hAnsi="Open Sans" w:cs="Open Sans"/>
        </w:rPr>
        <w:t xml:space="preserve"> </w:t>
      </w:r>
      <w:r>
        <w:rPr>
          <w:rFonts w:ascii="Open Sans" w:eastAsia="Open Sans" w:hAnsi="Open Sans" w:cs="Open Sans"/>
        </w:rPr>
        <w:t>está dispuesto a asumir el comprador o el inquilino, con tal de que su vivienda sea sostenible?</w:t>
      </w:r>
      <w:r>
        <w:rPr>
          <w:rFonts w:ascii="Open Sans" w:eastAsia="Open Sans" w:hAnsi="Open Sans" w:cs="Open Sans"/>
          <w:color w:val="000000"/>
        </w:rPr>
        <w:t xml:space="preserve"> </w:t>
      </w:r>
      <w:r>
        <w:rPr>
          <w:rFonts w:ascii="Open Sans" w:eastAsia="Open Sans" w:hAnsi="Open Sans" w:cs="Open Sans"/>
        </w:rPr>
        <w:t xml:space="preserve">Estas son algunas de las preguntas a las que se da respuesta en </w:t>
      </w:r>
      <w:r>
        <w:rPr>
          <w:rFonts w:ascii="Open Sans" w:eastAsia="Open Sans" w:hAnsi="Open Sans" w:cs="Open Sans"/>
          <w:color w:val="000000"/>
        </w:rPr>
        <w:t>el informe ‘</w:t>
      </w:r>
      <w:hyperlink r:id="rId10">
        <w:r>
          <w:rPr>
            <w:rFonts w:ascii="Open Sans" w:eastAsia="Open Sans" w:hAnsi="Open Sans" w:cs="Open Sans"/>
            <w:i/>
            <w:color w:val="0000FF"/>
            <w:u w:val="single"/>
          </w:rPr>
          <w:t>La sostenibilidad en la demanda de vivienda en España</w:t>
        </w:r>
      </w:hyperlink>
      <w:r>
        <w:rPr>
          <w:rFonts w:ascii="Open Sans" w:eastAsia="Open Sans" w:hAnsi="Open Sans" w:cs="Open Sans"/>
          <w:i/>
          <w:color w:val="000000"/>
          <w:u w:val="single"/>
        </w:rPr>
        <w:t>’</w:t>
      </w:r>
      <w:r>
        <w:rPr>
          <w:rFonts w:ascii="Open Sans" w:eastAsia="Open Sans" w:hAnsi="Open Sans" w:cs="Open Sans"/>
          <w:color w:val="000000"/>
        </w:rPr>
        <w:t xml:space="preserve"> elaborado conjuntamente entre </w:t>
      </w:r>
      <w:hyperlink r:id="rId11">
        <w:r>
          <w:rPr>
            <w:rFonts w:ascii="Open Sans" w:eastAsia="Open Sans" w:hAnsi="Open Sans" w:cs="Open Sans"/>
            <w:b/>
            <w:color w:val="1155CC"/>
            <w:u w:val="single"/>
          </w:rPr>
          <w:t>Fotocasa</w:t>
        </w:r>
      </w:hyperlink>
      <w:r>
        <w:rPr>
          <w:rFonts w:ascii="Open Sans" w:eastAsia="Open Sans" w:hAnsi="Open Sans" w:cs="Open Sans"/>
          <w:color w:val="000000"/>
        </w:rPr>
        <w:t xml:space="preserve"> y </w:t>
      </w:r>
      <w:hyperlink r:id="rId12">
        <w:r>
          <w:rPr>
            <w:rFonts w:ascii="Open Sans" w:eastAsia="Open Sans" w:hAnsi="Open Sans" w:cs="Open Sans"/>
            <w:b/>
            <w:color w:val="1155CC"/>
            <w:u w:val="single"/>
          </w:rPr>
          <w:t>Solvia</w:t>
        </w:r>
      </w:hyperlink>
      <w:r>
        <w:rPr>
          <w:rFonts w:ascii="Open Sans" w:eastAsia="Open Sans" w:hAnsi="Open Sans" w:cs="Open Sans"/>
          <w:color w:val="000000"/>
        </w:rPr>
        <w:t xml:space="preserve">. </w:t>
      </w:r>
    </w:p>
    <w:p w14:paraId="0DA21DF7" w14:textId="77777777" w:rsidR="00455DA0" w:rsidRDefault="00000000">
      <w:pPr>
        <w:pBdr>
          <w:top w:val="nil"/>
          <w:left w:val="nil"/>
          <w:bottom w:val="nil"/>
          <w:right w:val="nil"/>
          <w:between w:val="nil"/>
        </w:pBdr>
        <w:spacing w:line="276" w:lineRule="auto"/>
        <w:jc w:val="both"/>
        <w:rPr>
          <w:rFonts w:ascii="Open Sans" w:eastAsia="Open Sans" w:hAnsi="Open Sans" w:cs="Open Sans"/>
        </w:rPr>
      </w:pPr>
      <w:r>
        <w:rPr>
          <w:rFonts w:ascii="Open Sans" w:eastAsia="Open Sans" w:hAnsi="Open Sans" w:cs="Open Sans"/>
        </w:rPr>
        <w:t xml:space="preserve">Los criterios de sostenibilidad incrementan el valor de un inmueble, lo que se traduce en un precio de venta o de rentas algo superior a los de una vivienda que no cuenta con estas características. Aunque, a la larga, esto supone un ahorro importante que compensa cualquier inversión inicial, no todo el mundo está dispuesto a asumirlo, pese a la importancia que la gran mayoría da a la sostenibilidad en la vivienda. Así, resulta destacable que, </w:t>
      </w:r>
      <w:r>
        <w:rPr>
          <w:rFonts w:ascii="Open Sans" w:eastAsia="Open Sans" w:hAnsi="Open Sans" w:cs="Open Sans"/>
          <w:b/>
        </w:rPr>
        <w:t>del total de los que buscan un nuevo inmueble, el 49,5% sí pagaría más porque fuera sostenible</w:t>
      </w:r>
      <w:r>
        <w:rPr>
          <w:rFonts w:ascii="Open Sans" w:eastAsia="Open Sans" w:hAnsi="Open Sans" w:cs="Open Sans"/>
        </w:rPr>
        <w:t xml:space="preserve">. </w:t>
      </w:r>
    </w:p>
    <w:p w14:paraId="1F6451BE" w14:textId="77777777" w:rsidR="00455DA0" w:rsidRDefault="00000000">
      <w:pPr>
        <w:pBdr>
          <w:top w:val="nil"/>
          <w:left w:val="nil"/>
          <w:bottom w:val="nil"/>
          <w:right w:val="nil"/>
          <w:between w:val="nil"/>
        </w:pBdr>
        <w:spacing w:line="276" w:lineRule="auto"/>
        <w:jc w:val="both"/>
        <w:rPr>
          <w:rFonts w:ascii="Open Sans" w:eastAsia="Open Sans" w:hAnsi="Open Sans" w:cs="Open Sans"/>
          <w:color w:val="000000"/>
        </w:rPr>
      </w:pPr>
      <w:r>
        <w:rPr>
          <w:rFonts w:ascii="Open Sans" w:eastAsia="Open Sans" w:hAnsi="Open Sans" w:cs="Open Sans"/>
        </w:rPr>
        <w:lastRenderedPageBreak/>
        <w:t xml:space="preserve">Si hacemos la distinción entre los que van a comprar y los que quieren alquilar, se percibe mayor predisposición a abonar el sobrecoste en el primer grupo: </w:t>
      </w:r>
      <w:r>
        <w:rPr>
          <w:rFonts w:ascii="Open Sans" w:eastAsia="Open Sans" w:hAnsi="Open Sans" w:cs="Open Sans"/>
          <w:b/>
        </w:rPr>
        <w:t>el 53,5% asumiría una mayor inversión para que su inmueble fuese sostenible</w:t>
      </w:r>
      <w:r>
        <w:rPr>
          <w:rFonts w:ascii="Open Sans" w:eastAsia="Open Sans" w:hAnsi="Open Sans" w:cs="Open Sans"/>
        </w:rPr>
        <w:t xml:space="preserve"> de alguna manera, mientras que, </w:t>
      </w:r>
      <w:r>
        <w:rPr>
          <w:rFonts w:ascii="Open Sans" w:eastAsia="Open Sans" w:hAnsi="Open Sans" w:cs="Open Sans"/>
          <w:b/>
        </w:rPr>
        <w:t>en el caso de los inquilinos, este porcentaje es del 42,7%, casi 11 puntos menos</w:t>
      </w:r>
      <w:r>
        <w:rPr>
          <w:rFonts w:ascii="Open Sans" w:eastAsia="Open Sans" w:hAnsi="Open Sans" w:cs="Open Sans"/>
        </w:rPr>
        <w:t>.</w:t>
      </w:r>
    </w:p>
    <w:p w14:paraId="66A0A4A9" w14:textId="77777777" w:rsidR="00455DA0" w:rsidRDefault="00000000">
      <w:pPr>
        <w:pBdr>
          <w:top w:val="nil"/>
          <w:left w:val="nil"/>
          <w:bottom w:val="nil"/>
          <w:right w:val="nil"/>
          <w:between w:val="nil"/>
        </w:pBdr>
        <w:spacing w:line="276" w:lineRule="auto"/>
        <w:jc w:val="both"/>
        <w:rPr>
          <w:rFonts w:ascii="Arial" w:eastAsia="Arial" w:hAnsi="Arial" w:cs="Arial"/>
          <w:color w:val="1D1C1D"/>
          <w:sz w:val="23"/>
          <w:szCs w:val="23"/>
          <w:shd w:val="clear" w:color="auto" w:fill="F8F8F8"/>
        </w:rPr>
      </w:pPr>
      <w:r>
        <w:rPr>
          <w:rFonts w:ascii="Arial" w:eastAsia="Arial" w:hAnsi="Arial" w:cs="Arial"/>
          <w:noProof/>
          <w:color w:val="1D1C1D"/>
          <w:sz w:val="23"/>
          <w:szCs w:val="23"/>
          <w:shd w:val="clear" w:color="auto" w:fill="F8F8F8"/>
        </w:rPr>
        <w:drawing>
          <wp:inline distT="114300" distB="114300" distL="114300" distR="114300" wp14:anchorId="0F683394" wp14:editId="2B8F726F">
            <wp:extent cx="5856923" cy="2300243"/>
            <wp:effectExtent l="0" t="0" r="0" b="0"/>
            <wp:docPr id="206778707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856923" cy="2300243"/>
                    </a:xfrm>
                    <a:prstGeom prst="rect">
                      <a:avLst/>
                    </a:prstGeom>
                    <a:ln/>
                  </pic:spPr>
                </pic:pic>
              </a:graphicData>
            </a:graphic>
          </wp:inline>
        </w:drawing>
      </w:r>
    </w:p>
    <w:p w14:paraId="3BD9E1E7" w14:textId="77777777" w:rsidR="00455DA0" w:rsidRDefault="00455DA0">
      <w:pPr>
        <w:pBdr>
          <w:top w:val="nil"/>
          <w:left w:val="nil"/>
          <w:bottom w:val="nil"/>
          <w:right w:val="nil"/>
          <w:between w:val="nil"/>
        </w:pBdr>
        <w:spacing w:line="276" w:lineRule="auto"/>
        <w:jc w:val="both"/>
        <w:rPr>
          <w:rFonts w:ascii="Open Sans" w:eastAsia="Open Sans" w:hAnsi="Open Sans" w:cs="Open Sans"/>
        </w:rPr>
      </w:pPr>
    </w:p>
    <w:p w14:paraId="30BC3415" w14:textId="77777777" w:rsidR="00455DA0" w:rsidRDefault="00000000">
      <w:pPr>
        <w:pBdr>
          <w:top w:val="nil"/>
          <w:left w:val="nil"/>
          <w:bottom w:val="nil"/>
          <w:right w:val="nil"/>
          <w:between w:val="nil"/>
        </w:pBdr>
        <w:spacing w:line="276" w:lineRule="auto"/>
        <w:jc w:val="both"/>
        <w:rPr>
          <w:rFonts w:ascii="Open Sans" w:eastAsia="Open Sans" w:hAnsi="Open Sans" w:cs="Open Sans"/>
          <w:b/>
          <w:color w:val="2F5496"/>
          <w:sz w:val="24"/>
          <w:szCs w:val="24"/>
        </w:rPr>
      </w:pPr>
      <w:r>
        <w:rPr>
          <w:rFonts w:ascii="Open Sans" w:eastAsia="Open Sans" w:hAnsi="Open Sans" w:cs="Open Sans"/>
        </w:rPr>
        <w:t xml:space="preserve">La justificación que dan los futuros compradores y arrendatarios que no dudarían en pagar más es que se trata de una </w:t>
      </w:r>
      <w:r>
        <w:rPr>
          <w:rFonts w:ascii="Open Sans" w:eastAsia="Open Sans" w:hAnsi="Open Sans" w:cs="Open Sans"/>
          <w:b/>
        </w:rPr>
        <w:t>buena inversión a futuro, gracias a la cual lograrán reducir sus facturas, con un 63,4% de adeptos</w:t>
      </w:r>
      <w:r>
        <w:rPr>
          <w:rFonts w:ascii="Open Sans" w:eastAsia="Open Sans" w:hAnsi="Open Sans" w:cs="Open Sans"/>
        </w:rPr>
        <w:t xml:space="preserve"> (el 65,6% en el caso de los que compran y el 58,8% en el de los que alquilan), y que quieren comportarse de manera sostenible y responsable, con un 42,7% (41,6% de los que se mudan en propiedad y 45% de aquellos que se cambian en alquiler). Al 32,5% también le motiva el hecho de que vaya a disfrutar de materiales de mayor calidad (33,8% compra y 29,5% alquiler).</w:t>
      </w:r>
    </w:p>
    <w:p w14:paraId="3F26E950" w14:textId="77777777" w:rsidR="00455DA0" w:rsidRDefault="00455DA0">
      <w:pPr>
        <w:spacing w:after="0" w:line="240" w:lineRule="auto"/>
        <w:ind w:right="-574"/>
        <w:jc w:val="both"/>
        <w:rPr>
          <w:rFonts w:ascii="Open Sans" w:eastAsia="Open Sans" w:hAnsi="Open Sans" w:cs="Open Sans"/>
          <w:b/>
          <w:color w:val="2F5496"/>
          <w:sz w:val="24"/>
          <w:szCs w:val="24"/>
        </w:rPr>
      </w:pPr>
    </w:p>
    <w:p w14:paraId="52D17A2D" w14:textId="77777777" w:rsidR="00455DA0" w:rsidRDefault="00000000">
      <w:pPr>
        <w:pBdr>
          <w:top w:val="nil"/>
          <w:left w:val="nil"/>
          <w:bottom w:val="nil"/>
          <w:right w:val="nil"/>
          <w:between w:val="nil"/>
        </w:pBdr>
        <w:spacing w:line="276" w:lineRule="auto"/>
        <w:jc w:val="center"/>
        <w:rPr>
          <w:rFonts w:ascii="Open Sans" w:eastAsia="Open Sans" w:hAnsi="Open Sans" w:cs="Open Sans"/>
        </w:rPr>
      </w:pPr>
      <w:r>
        <w:rPr>
          <w:rFonts w:ascii="Open Sans" w:eastAsia="Open Sans" w:hAnsi="Open Sans" w:cs="Open Sans"/>
          <w:noProof/>
        </w:rPr>
        <w:drawing>
          <wp:inline distT="114300" distB="114300" distL="114300" distR="114300" wp14:anchorId="3925D29C" wp14:editId="7B0D6CAE">
            <wp:extent cx="3916200" cy="2714972"/>
            <wp:effectExtent l="0" t="0" r="0" b="0"/>
            <wp:docPr id="20677870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916200" cy="2714972"/>
                    </a:xfrm>
                    <a:prstGeom prst="rect">
                      <a:avLst/>
                    </a:prstGeom>
                    <a:ln/>
                  </pic:spPr>
                </pic:pic>
              </a:graphicData>
            </a:graphic>
          </wp:inline>
        </w:drawing>
      </w:r>
    </w:p>
    <w:p w14:paraId="49490190" w14:textId="77777777" w:rsidR="00455DA0" w:rsidRDefault="00000000">
      <w:pPr>
        <w:pBdr>
          <w:top w:val="nil"/>
          <w:left w:val="nil"/>
          <w:bottom w:val="nil"/>
          <w:right w:val="nil"/>
          <w:between w:val="nil"/>
        </w:pBdr>
        <w:spacing w:line="276" w:lineRule="auto"/>
        <w:jc w:val="both"/>
        <w:rPr>
          <w:rFonts w:ascii="Open Sans" w:eastAsia="Open Sans" w:hAnsi="Open Sans" w:cs="Open Sans"/>
        </w:rPr>
      </w:pPr>
      <w:r>
        <w:rPr>
          <w:rFonts w:ascii="Open Sans" w:eastAsia="Open Sans" w:hAnsi="Open Sans" w:cs="Open Sans"/>
        </w:rPr>
        <w:lastRenderedPageBreak/>
        <w:t>En el caso de los que contestan que la decisión de pagar más por una vivienda sostenible (o no hacerlo) dependerá mucho del sobrecoste que pudiese acarrear (el 38,9% de la demanda), la balanza se inclina hacia el alquiler: un 43,4% de inquilinos y un 36,3% de compradores afirman que la decisión la marcaría el precio final. Es decir, 7,1 puntos menos en este último grupo. De todos ellos, el 28,7% se lo plantearía sí, como mucho, vale un 5% más, el 37,2% lo pagaría si costase un 10% adicional como límite máximo, y el 21,3% lo asumiría si no se encareciese más del 15%. Solo el 13% restante cedería en aquellos casos en los que tuviesen que abonar un 20% más por esta condición. En este sentido, es interesante comprobar cómo, dentro de este grupo, el sobrecoste que condicionaría invertir o no ha aumentado en comparación con el año pasado, cuando, por ejemplo, un 48,6% se ponía como tope que el inmueble costase un 5% más.</w:t>
      </w:r>
    </w:p>
    <w:p w14:paraId="10CDDCC3" w14:textId="77777777" w:rsidR="00455DA0" w:rsidRDefault="00000000">
      <w:pPr>
        <w:pBdr>
          <w:top w:val="nil"/>
          <w:left w:val="nil"/>
          <w:bottom w:val="nil"/>
          <w:right w:val="nil"/>
          <w:between w:val="nil"/>
        </w:pBdr>
        <w:spacing w:line="276" w:lineRule="auto"/>
        <w:jc w:val="center"/>
        <w:rPr>
          <w:rFonts w:ascii="Open Sans" w:eastAsia="Open Sans" w:hAnsi="Open Sans" w:cs="Open Sans"/>
        </w:rPr>
      </w:pPr>
      <w:r>
        <w:rPr>
          <w:rFonts w:ascii="Open Sans" w:eastAsia="Open Sans" w:hAnsi="Open Sans" w:cs="Open Sans"/>
          <w:noProof/>
        </w:rPr>
        <w:drawing>
          <wp:inline distT="114300" distB="114300" distL="114300" distR="114300" wp14:anchorId="4D0F5063" wp14:editId="5B3E2D1E">
            <wp:extent cx="5379720" cy="1729740"/>
            <wp:effectExtent l="0" t="0" r="0" b="3810"/>
            <wp:docPr id="206778707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381334" cy="1730259"/>
                    </a:xfrm>
                    <a:prstGeom prst="rect">
                      <a:avLst/>
                    </a:prstGeom>
                    <a:ln/>
                  </pic:spPr>
                </pic:pic>
              </a:graphicData>
            </a:graphic>
          </wp:inline>
        </w:drawing>
      </w:r>
    </w:p>
    <w:p w14:paraId="2DCCAECA" w14:textId="77777777" w:rsidR="00AF61DA" w:rsidRDefault="00AF61DA">
      <w:pPr>
        <w:pBdr>
          <w:top w:val="nil"/>
          <w:left w:val="nil"/>
          <w:bottom w:val="nil"/>
          <w:right w:val="nil"/>
          <w:between w:val="nil"/>
        </w:pBdr>
        <w:spacing w:line="276" w:lineRule="auto"/>
        <w:jc w:val="both"/>
        <w:rPr>
          <w:rFonts w:ascii="Open Sans" w:eastAsia="Open Sans" w:hAnsi="Open Sans" w:cs="Open Sans"/>
        </w:rPr>
      </w:pPr>
    </w:p>
    <w:p w14:paraId="44FFD7D1" w14:textId="260754EE" w:rsidR="00AF61DA" w:rsidRDefault="00000000">
      <w:pPr>
        <w:pBdr>
          <w:top w:val="nil"/>
          <w:left w:val="nil"/>
          <w:bottom w:val="nil"/>
          <w:right w:val="nil"/>
          <w:between w:val="nil"/>
        </w:pBdr>
        <w:spacing w:line="276" w:lineRule="auto"/>
        <w:jc w:val="both"/>
        <w:rPr>
          <w:rFonts w:ascii="Open Sans" w:eastAsia="Open Sans" w:hAnsi="Open Sans" w:cs="Open Sans"/>
        </w:rPr>
      </w:pPr>
      <w:r>
        <w:rPr>
          <w:rFonts w:ascii="Open Sans" w:eastAsia="Open Sans" w:hAnsi="Open Sans" w:cs="Open Sans"/>
        </w:rPr>
        <w:t xml:space="preserve">“El compromiso con el desarrollo sostenible se hace más relevante entre los ciudadanos. La concienciación sobre la sostenibilidad es cada vez mayor impulsada, en primer lugar, por el ahorro en las facturas de los suministros, y en segundo, por el impacto medioambiental más positivo que supone. Aunque también por una mejora en los materiales que se traduce en una mayor calidad de vida. Un reflejo de esta situación es el aumento en 9 puntos porcentuales, con respecto al año anterior, del volumen de quienes están dispuestos a pagar un 15% más con tal de que su vivienda sea </w:t>
      </w:r>
      <w:r w:rsidR="00AF61DA">
        <w:rPr>
          <w:rFonts w:ascii="Open Sans" w:eastAsia="Open Sans" w:hAnsi="Open Sans" w:cs="Open Sans"/>
        </w:rPr>
        <w:t>sostenible “</w:t>
      </w:r>
      <w:r>
        <w:rPr>
          <w:rFonts w:ascii="Open Sans" w:eastAsia="Open Sans" w:hAnsi="Open Sans" w:cs="Open Sans"/>
        </w:rPr>
        <w:t xml:space="preserve">, comenta María Matos, directora de Estudios y portavoz de </w:t>
      </w:r>
      <w:hyperlink r:id="rId16">
        <w:r>
          <w:rPr>
            <w:rFonts w:ascii="Open Sans" w:eastAsia="Open Sans" w:hAnsi="Open Sans" w:cs="Open Sans"/>
            <w:b/>
            <w:color w:val="1155CC"/>
            <w:u w:val="single"/>
          </w:rPr>
          <w:t>Fotocasa</w:t>
        </w:r>
      </w:hyperlink>
      <w:r>
        <w:rPr>
          <w:rFonts w:ascii="Open Sans" w:eastAsia="Open Sans" w:hAnsi="Open Sans" w:cs="Open Sans"/>
        </w:rPr>
        <w:t xml:space="preserve">. </w:t>
      </w:r>
    </w:p>
    <w:p w14:paraId="300FDF3C" w14:textId="26776B07" w:rsidR="0042251B" w:rsidRDefault="0042251B" w:rsidP="0042251B">
      <w:pPr>
        <w:pBdr>
          <w:top w:val="nil"/>
          <w:left w:val="nil"/>
          <w:bottom w:val="nil"/>
          <w:right w:val="nil"/>
          <w:between w:val="nil"/>
        </w:pBdr>
        <w:spacing w:line="276" w:lineRule="auto"/>
        <w:jc w:val="both"/>
        <w:rPr>
          <w:rFonts w:ascii="Open Sans" w:eastAsia="Open Sans" w:hAnsi="Open Sans" w:cs="Open Sans"/>
        </w:rPr>
      </w:pPr>
      <w:r w:rsidRPr="00E26E19">
        <w:rPr>
          <w:rFonts w:ascii="Open Sans" w:eastAsia="Open Sans" w:hAnsi="Open Sans" w:cs="Open Sans"/>
        </w:rPr>
        <w:t xml:space="preserve">Dentro de la agenda 2030, el sector inmobiliario tiene un objetivo claro en materia de sostenibilidad, que es reducir las emisiones de carbono un 55% antes de esa fecha, y seguir avanzando hasta conseguir un parque inmobiliario neutro en emisiones para 2050”, apunta </w:t>
      </w:r>
      <w:r w:rsidRPr="00E26E19">
        <w:rPr>
          <w:rFonts w:ascii="Open Sans" w:eastAsia="Open Sans" w:hAnsi="Open Sans" w:cs="Open Sans"/>
          <w:b/>
          <w:bCs/>
        </w:rPr>
        <w:t xml:space="preserve">Víctor González, director de Marca y Comunicación de </w:t>
      </w:r>
      <w:hyperlink r:id="rId17">
        <w:r w:rsidRPr="00E26E19">
          <w:rPr>
            <w:rFonts w:ascii="Open Sans" w:eastAsia="Open Sans" w:hAnsi="Open Sans" w:cs="Open Sans"/>
            <w:b/>
            <w:bCs/>
            <w:color w:val="1155CC"/>
            <w:u w:val="single"/>
          </w:rPr>
          <w:t>Solvia</w:t>
        </w:r>
      </w:hyperlink>
      <w:r w:rsidRPr="00E26E19">
        <w:rPr>
          <w:rFonts w:ascii="Open Sans" w:eastAsia="Open Sans" w:hAnsi="Open Sans" w:cs="Open Sans"/>
        </w:rPr>
        <w:t>. “En España, con uno de los parques inmobiliarios más envejecidos de Europa, este reto también supone una gran oportunidad para el desarrollo de nuestra industria, afianzando nuestro compromiso presente para la mejorar de la sociedad del futuro</w:t>
      </w:r>
      <w:r w:rsidR="00AF61DA">
        <w:rPr>
          <w:rFonts w:ascii="Open Sans" w:eastAsia="Open Sans" w:hAnsi="Open Sans" w:cs="Open Sans"/>
        </w:rPr>
        <w:t>”,</w:t>
      </w:r>
      <w:r w:rsidRPr="00E26E19">
        <w:rPr>
          <w:rFonts w:ascii="Open Sans" w:eastAsia="Open Sans" w:hAnsi="Open Sans" w:cs="Open Sans"/>
        </w:rPr>
        <w:t xml:space="preserve"> añade</w:t>
      </w:r>
      <w:r>
        <w:rPr>
          <w:rFonts w:ascii="Open Sans" w:eastAsia="Open Sans" w:hAnsi="Open Sans" w:cs="Open Sans"/>
        </w:rPr>
        <w:t>.</w:t>
      </w:r>
    </w:p>
    <w:p w14:paraId="502A5936" w14:textId="77777777" w:rsidR="00A1448B" w:rsidRDefault="00A1448B">
      <w:pPr>
        <w:pBdr>
          <w:top w:val="nil"/>
          <w:left w:val="nil"/>
          <w:bottom w:val="nil"/>
          <w:right w:val="nil"/>
          <w:between w:val="nil"/>
        </w:pBdr>
        <w:spacing w:line="276" w:lineRule="auto"/>
        <w:jc w:val="both"/>
        <w:rPr>
          <w:rFonts w:ascii="Open Sans" w:eastAsia="Open Sans" w:hAnsi="Open Sans" w:cs="Open Sans"/>
        </w:rPr>
      </w:pPr>
    </w:p>
    <w:p w14:paraId="7E73171F" w14:textId="77777777" w:rsidR="00455DA0" w:rsidRDefault="00000000">
      <w:pPr>
        <w:spacing w:after="0" w:line="240" w:lineRule="auto"/>
        <w:ind w:right="-568"/>
        <w:jc w:val="right"/>
        <w:rPr>
          <w:rFonts w:ascii="Times New Roman" w:eastAsia="Times New Roman" w:hAnsi="Times New Roman" w:cs="Times New Roman"/>
          <w:color w:val="2F5496"/>
          <w:sz w:val="24"/>
          <w:szCs w:val="24"/>
        </w:rPr>
      </w:pPr>
      <w:r>
        <w:rPr>
          <w:rFonts w:ascii="Open Sans" w:eastAsia="Open Sans" w:hAnsi="Open Sans" w:cs="Open Sans"/>
          <w:color w:val="2F5496"/>
          <w:sz w:val="24"/>
          <w:szCs w:val="24"/>
        </w:rPr>
        <w:t>Sobre el informe “La sostenibilidad en la demanda de vivienda en España”</w:t>
      </w:r>
    </w:p>
    <w:p w14:paraId="204AF35B" w14:textId="77777777" w:rsidR="00455DA0" w:rsidRDefault="00455DA0">
      <w:pPr>
        <w:spacing w:after="0" w:line="240" w:lineRule="auto"/>
        <w:ind w:right="-568"/>
        <w:rPr>
          <w:rFonts w:ascii="Times New Roman" w:eastAsia="Times New Roman" w:hAnsi="Times New Roman" w:cs="Times New Roman"/>
          <w:sz w:val="24"/>
          <w:szCs w:val="24"/>
        </w:rPr>
      </w:pPr>
    </w:p>
    <w:p w14:paraId="76669D88" w14:textId="77777777" w:rsidR="00455DA0" w:rsidRDefault="00000000">
      <w:pPr>
        <w:shd w:val="clear" w:color="auto" w:fill="FFFFFF"/>
        <w:spacing w:after="0" w:line="240" w:lineRule="auto"/>
        <w:ind w:right="-568"/>
        <w:jc w:val="both"/>
        <w:rPr>
          <w:rFonts w:ascii="Open Sans" w:eastAsia="Open Sans" w:hAnsi="Open Sans" w:cs="Open Sans"/>
          <w:color w:val="000000"/>
        </w:rPr>
      </w:pPr>
      <w:r>
        <w:rPr>
          <w:rFonts w:ascii="Open Sans" w:eastAsia="Open Sans" w:hAnsi="Open Sans" w:cs="Open Sans"/>
          <w:color w:val="000000"/>
        </w:rPr>
        <w:t xml:space="preserve">El portal inmobiliario </w:t>
      </w:r>
      <w:hyperlink r:id="rId18">
        <w:r>
          <w:rPr>
            <w:rFonts w:ascii="Open Sans" w:eastAsia="Open Sans" w:hAnsi="Open Sans" w:cs="Open Sans"/>
            <w:b/>
            <w:color w:val="0000FF"/>
            <w:u w:val="single"/>
          </w:rPr>
          <w:t>Fotocasa</w:t>
        </w:r>
      </w:hyperlink>
      <w:r>
        <w:rPr>
          <w:rFonts w:ascii="Open Sans" w:eastAsia="Open Sans" w:hAnsi="Open Sans" w:cs="Open Sans"/>
          <w:color w:val="000000"/>
        </w:rPr>
        <w:t xml:space="preserve"> y la inmobiliaria </w:t>
      </w:r>
      <w:hyperlink r:id="rId19">
        <w:r>
          <w:rPr>
            <w:rFonts w:ascii="Open Sans" w:eastAsia="Open Sans" w:hAnsi="Open Sans" w:cs="Open Sans"/>
            <w:b/>
            <w:color w:val="0000FF"/>
            <w:u w:val="single"/>
          </w:rPr>
          <w:t>Solvia</w:t>
        </w:r>
      </w:hyperlink>
      <w:r>
        <w:rPr>
          <w:rFonts w:ascii="Open Sans" w:eastAsia="Open Sans" w:hAnsi="Open Sans" w:cs="Open Sans"/>
          <w:color w:val="000000"/>
        </w:rPr>
        <w:t xml:space="preserve"> han realizado el informe</w:t>
      </w:r>
      <w:r>
        <w:rPr>
          <w:rFonts w:ascii="Open Sans" w:eastAsia="Open Sans" w:hAnsi="Open Sans" w:cs="Open Sans"/>
          <w:b/>
          <w:i/>
          <w:color w:val="000000"/>
        </w:rPr>
        <w:t xml:space="preserve"> “La sostenibilidad en la demanda de vivienda en España” </w:t>
      </w:r>
      <w:r>
        <w:rPr>
          <w:rFonts w:ascii="Open Sans" w:eastAsia="Open Sans" w:hAnsi="Open Sans" w:cs="Open Sans"/>
          <w:color w:val="000000"/>
        </w:rPr>
        <w:t xml:space="preserve">en base a un exhaustivo análisis realizado a más de 3.000 personas activas en la búsqueda de vivienda, tanto en venta como en alquiler. </w:t>
      </w:r>
    </w:p>
    <w:p w14:paraId="59B66271" w14:textId="77777777" w:rsidR="00455DA0" w:rsidRDefault="00000000">
      <w:pPr>
        <w:spacing w:before="240" w:after="0" w:line="240" w:lineRule="auto"/>
        <w:ind w:right="-568"/>
        <w:jc w:val="both"/>
        <w:rPr>
          <w:rFonts w:ascii="Times New Roman" w:eastAsia="Times New Roman" w:hAnsi="Times New Roman" w:cs="Times New Roman"/>
          <w:sz w:val="24"/>
          <w:szCs w:val="24"/>
        </w:rPr>
      </w:pPr>
      <w:r>
        <w:rPr>
          <w:rFonts w:ascii="Open Sans" w:eastAsia="Open Sans" w:hAnsi="Open Sans" w:cs="Open Sans"/>
          <w:color w:val="000000"/>
        </w:rPr>
        <w:t>El estudio pone el foco en la sostenibilidad en la búsqueda de vivienda y analiza dos puntos clave existentes en el sector inmobiliario: por un lado, examina el perfil sociodemográfico de las personas que se plantean cambiar de vivienda, tanto en el ámbito de la compra como del alquiler, y la tipología de vivienda buscada. Por otro lado, traza una completa radiografía de la importancia de la sostenibilidad en la búsqueda de vivienda. </w:t>
      </w:r>
    </w:p>
    <w:p w14:paraId="44EB6297" w14:textId="77777777" w:rsidR="00455DA0" w:rsidRDefault="00000000">
      <w:pPr>
        <w:spacing w:before="240" w:after="0" w:line="240" w:lineRule="auto"/>
        <w:ind w:right="-568"/>
        <w:jc w:val="both"/>
        <w:rPr>
          <w:rFonts w:ascii="Times New Roman" w:eastAsia="Times New Roman" w:hAnsi="Times New Roman" w:cs="Times New Roman"/>
          <w:sz w:val="24"/>
          <w:szCs w:val="24"/>
        </w:rPr>
      </w:pPr>
      <w:r>
        <w:rPr>
          <w:rFonts w:ascii="Open Sans" w:eastAsia="Open Sans" w:hAnsi="Open Sans" w:cs="Open Sans"/>
          <w:color w:val="000000"/>
        </w:rPr>
        <w:t>El informe se ha realizado sobre un panel independiente con una muestra de 3.000 personas representativas de la sociedad española que están en proceso de búsqueda de casa, tanto alquiler como compra, y que tienen entre 18 y 75 años. Error muestral +-1,79%.</w:t>
      </w:r>
    </w:p>
    <w:p w14:paraId="15321705" w14:textId="77777777" w:rsidR="00455DA0" w:rsidRDefault="00455DA0">
      <w:pPr>
        <w:spacing w:after="0" w:line="276" w:lineRule="auto"/>
        <w:ind w:right="-720"/>
        <w:jc w:val="right"/>
        <w:rPr>
          <w:rFonts w:ascii="Open Sans" w:eastAsia="Open Sans" w:hAnsi="Open Sans" w:cs="Open Sans"/>
          <w:color w:val="303AB2"/>
          <w:sz w:val="24"/>
          <w:szCs w:val="24"/>
        </w:rPr>
      </w:pPr>
    </w:p>
    <w:p w14:paraId="3DA9DE54" w14:textId="77777777" w:rsidR="00455DA0" w:rsidRDefault="00000000">
      <w:pPr>
        <w:spacing w:after="0" w:line="240" w:lineRule="auto"/>
        <w:ind w:right="-716"/>
        <w:jc w:val="right"/>
        <w:rPr>
          <w:rFonts w:ascii="Open Sans" w:eastAsia="Open Sans" w:hAnsi="Open Sans" w:cs="Open Sans"/>
          <w:color w:val="2F5496"/>
          <w:sz w:val="24"/>
          <w:szCs w:val="24"/>
        </w:rPr>
      </w:pPr>
      <w:r>
        <w:rPr>
          <w:rFonts w:ascii="Open Sans" w:eastAsia="Open Sans" w:hAnsi="Open Sans" w:cs="Open Sans"/>
          <w:color w:val="2F5496"/>
          <w:sz w:val="24"/>
          <w:szCs w:val="24"/>
        </w:rPr>
        <w:t>Sobre Solvia</w:t>
      </w:r>
    </w:p>
    <w:p w14:paraId="38C3093E" w14:textId="77777777" w:rsidR="00455DA0" w:rsidRDefault="00000000">
      <w:pPr>
        <w:shd w:val="clear" w:color="auto" w:fill="FFFFFF"/>
        <w:spacing w:after="0" w:line="276" w:lineRule="auto"/>
        <w:ind w:right="-720"/>
        <w:jc w:val="both"/>
        <w:rPr>
          <w:rFonts w:ascii="Open Sans" w:eastAsia="Open Sans" w:hAnsi="Open Sans" w:cs="Open Sans"/>
        </w:rPr>
      </w:pPr>
      <w:r>
        <w:rPr>
          <w:rFonts w:ascii="Open Sans" w:eastAsia="Open Sans" w:hAnsi="Open Sans" w:cs="Open Sans"/>
        </w:rPr>
        <w:t xml:space="preserve">Solvia es una firma líder en servicios inmobiliarios para particulares, empresas e inversores que opera en todos los segmentos del mercado. Con una cartera de más 110.000 activos bajo gestión, más de 17.000 de ellos en alquiler, cuenta con una contrastada capacidad de gestión y mantenimiento de todo tipo de activos inmobiliarios, tanto residenciales como terciarios y singulares. </w:t>
      </w:r>
    </w:p>
    <w:p w14:paraId="2D46695D" w14:textId="77777777" w:rsidR="00455DA0" w:rsidRDefault="00455DA0">
      <w:pPr>
        <w:shd w:val="clear" w:color="auto" w:fill="FFFFFF"/>
        <w:spacing w:after="0" w:line="276" w:lineRule="auto"/>
        <w:ind w:right="-720"/>
        <w:jc w:val="both"/>
        <w:rPr>
          <w:rFonts w:ascii="Open Sans" w:eastAsia="Open Sans" w:hAnsi="Open Sans" w:cs="Open Sans"/>
        </w:rPr>
      </w:pPr>
    </w:p>
    <w:p w14:paraId="0144E676" w14:textId="77777777" w:rsidR="00455DA0" w:rsidRDefault="00000000">
      <w:pPr>
        <w:shd w:val="clear" w:color="auto" w:fill="FFFFFF"/>
        <w:spacing w:after="0" w:line="276" w:lineRule="auto"/>
        <w:ind w:right="-720"/>
        <w:jc w:val="both"/>
        <w:rPr>
          <w:rFonts w:ascii="Open Sans" w:eastAsia="Open Sans" w:hAnsi="Open Sans" w:cs="Open Sans"/>
          <w:b/>
        </w:rPr>
      </w:pPr>
      <w:r>
        <w:rPr>
          <w:rFonts w:ascii="Open Sans" w:eastAsia="Open Sans" w:hAnsi="Open Sans" w:cs="Open Sans"/>
        </w:rPr>
        <w:t xml:space="preserve">Entre sus servicios destacan la comercialización de inmuebles para compra, venta o alquiler, la gestión de carteras de crédito, así como la consultoría, valoración y </w:t>
      </w:r>
      <w:proofErr w:type="spellStart"/>
      <w:r>
        <w:rPr>
          <w:rFonts w:ascii="Open Sans" w:eastAsia="Open Sans" w:hAnsi="Open Sans" w:cs="Open Sans"/>
        </w:rPr>
        <w:t>advisory</w:t>
      </w:r>
      <w:proofErr w:type="spellEnd"/>
      <w:r>
        <w:rPr>
          <w:rFonts w:ascii="Open Sans" w:eastAsia="Open Sans" w:hAnsi="Open Sans" w:cs="Open Sans"/>
        </w:rPr>
        <w:t xml:space="preserve"> para inversores. Solvia cuenta con una gran capilaridad gracias a la mayor red comercial del mercado. Para más información, visite </w:t>
      </w:r>
      <w:hyperlink r:id="rId20">
        <w:r>
          <w:rPr>
            <w:rFonts w:ascii="Open Sans" w:eastAsia="Open Sans" w:hAnsi="Open Sans" w:cs="Open Sans"/>
            <w:color w:val="0000FF"/>
            <w:u w:val="single"/>
          </w:rPr>
          <w:t>www.solvia.es</w:t>
        </w:r>
      </w:hyperlink>
    </w:p>
    <w:p w14:paraId="4B49EFE5" w14:textId="77777777" w:rsidR="00455DA0" w:rsidRDefault="00455DA0">
      <w:pPr>
        <w:shd w:val="clear" w:color="auto" w:fill="FFFFFF"/>
        <w:spacing w:after="0" w:line="276" w:lineRule="auto"/>
        <w:ind w:right="-720"/>
        <w:jc w:val="both"/>
        <w:rPr>
          <w:rFonts w:ascii="Open Sans" w:eastAsia="Open Sans" w:hAnsi="Open Sans" w:cs="Open Sans"/>
          <w:color w:val="1155CC"/>
          <w:sz w:val="24"/>
          <w:szCs w:val="24"/>
          <w:u w:val="single"/>
        </w:rPr>
      </w:pPr>
    </w:p>
    <w:p w14:paraId="6E84F26A" w14:textId="77777777" w:rsidR="00455DA0" w:rsidRDefault="00000000">
      <w:pPr>
        <w:spacing w:after="0" w:line="240" w:lineRule="auto"/>
        <w:ind w:right="-716"/>
        <w:jc w:val="right"/>
        <w:rPr>
          <w:rFonts w:ascii="Open Sans" w:eastAsia="Open Sans" w:hAnsi="Open Sans" w:cs="Open Sans"/>
          <w:color w:val="2F5496"/>
          <w:sz w:val="24"/>
          <w:szCs w:val="24"/>
        </w:rPr>
      </w:pPr>
      <w:r>
        <w:rPr>
          <w:rFonts w:ascii="Open Sans" w:eastAsia="Open Sans" w:hAnsi="Open Sans" w:cs="Open Sans"/>
          <w:color w:val="2F5496"/>
          <w:sz w:val="24"/>
          <w:szCs w:val="24"/>
        </w:rPr>
        <w:t>Sobre Fotocasa</w:t>
      </w:r>
    </w:p>
    <w:p w14:paraId="7D54CA16" w14:textId="77777777" w:rsidR="00455DA0" w:rsidRDefault="00000000">
      <w:pPr>
        <w:shd w:val="clear" w:color="auto" w:fill="FFFFFF"/>
        <w:spacing w:after="0" w:line="240" w:lineRule="auto"/>
        <w:ind w:right="-716"/>
        <w:jc w:val="both"/>
        <w:rPr>
          <w:rFonts w:ascii="Open Sans" w:eastAsia="Open Sans" w:hAnsi="Open Sans" w:cs="Open Sans"/>
          <w:color w:val="000000"/>
        </w:rPr>
      </w:pPr>
      <w:r>
        <w:rPr>
          <w:rFonts w:ascii="Open Sans" w:eastAsia="Open Sans" w:hAnsi="Open Sans" w:cs="Open Sans"/>
          <w:color w:val="000000"/>
        </w:rPr>
        <w:t>Portal inmobiliario que cuenta con inmuebles de segunda mano, promociones de obra nueva y viviendas de alquiler. Cada mes genera un tráfico de 34 millones de visitas (75% a través de dispositivos móviles). Mensualmente elabora el </w:t>
      </w:r>
      <w:hyperlink r:id="rId21">
        <w:r>
          <w:rPr>
            <w:rFonts w:ascii="Open Sans" w:eastAsia="Open Sans" w:hAnsi="Open Sans" w:cs="Open Sans"/>
            <w:color w:val="0000FF"/>
            <w:u w:val="single"/>
          </w:rPr>
          <w:t>índice inmobiliario Fotocasa</w:t>
        </w:r>
      </w:hyperlink>
      <w:r>
        <w:rPr>
          <w:rFonts w:ascii="Open Sans" w:eastAsia="Open Sans" w:hAnsi="Open Sans" w:cs="Open Sans"/>
          <w:color w:val="000000"/>
        </w:rPr>
        <w:t>, un informe de referencia sobre la evolución del precio medio de la vivienda en España, tanto en venta como en alquiler.</w:t>
      </w:r>
    </w:p>
    <w:p w14:paraId="38D99851" w14:textId="77777777" w:rsidR="00455DA0" w:rsidRDefault="00455DA0">
      <w:pPr>
        <w:shd w:val="clear" w:color="auto" w:fill="FFFFFF"/>
        <w:spacing w:after="0" w:line="240" w:lineRule="auto"/>
        <w:ind w:right="-716"/>
        <w:jc w:val="both"/>
        <w:rPr>
          <w:rFonts w:ascii="Times New Roman" w:eastAsia="Times New Roman" w:hAnsi="Times New Roman" w:cs="Times New Roman"/>
          <w:sz w:val="24"/>
          <w:szCs w:val="24"/>
        </w:rPr>
      </w:pPr>
    </w:p>
    <w:p w14:paraId="0EB52BAD" w14:textId="77777777" w:rsidR="00455DA0" w:rsidRDefault="00000000">
      <w:pPr>
        <w:shd w:val="clear" w:color="auto" w:fill="FFFFFF"/>
        <w:spacing w:after="0" w:line="240" w:lineRule="auto"/>
        <w:ind w:right="-716"/>
        <w:jc w:val="both"/>
        <w:rPr>
          <w:rFonts w:ascii="Times New Roman" w:eastAsia="Times New Roman" w:hAnsi="Times New Roman" w:cs="Times New Roman"/>
          <w:sz w:val="24"/>
          <w:szCs w:val="24"/>
        </w:rPr>
      </w:pPr>
      <w:hyperlink r:id="rId22">
        <w:r>
          <w:rPr>
            <w:rFonts w:ascii="Open Sans" w:eastAsia="Open Sans" w:hAnsi="Open Sans" w:cs="Open Sans"/>
            <w:b/>
            <w:color w:val="0000FF"/>
            <w:u w:val="single"/>
          </w:rPr>
          <w:t>Fotocasa</w:t>
        </w:r>
      </w:hyperlink>
      <w:r>
        <w:rPr>
          <w:rFonts w:ascii="Open Sans" w:eastAsia="Open Sans" w:hAnsi="Open Sans" w:cs="Open Sans"/>
          <w:color w:val="000000"/>
        </w:rPr>
        <w:t> pertenece a </w:t>
      </w:r>
      <w:proofErr w:type="spellStart"/>
      <w:r>
        <w:fldChar w:fldCharType="begin"/>
      </w:r>
      <w:r>
        <w:instrText>HYPERLINK "https://www.adevinta.com/" \h</w:instrText>
      </w:r>
      <w:r>
        <w:fldChar w:fldCharType="separate"/>
      </w:r>
      <w:r>
        <w:rPr>
          <w:rFonts w:ascii="Open Sans" w:eastAsia="Open Sans" w:hAnsi="Open Sans" w:cs="Open Sans"/>
          <w:color w:val="0000FF"/>
          <w:u w:val="single"/>
        </w:rPr>
        <w:t>Adevinta</w:t>
      </w:r>
      <w:proofErr w:type="spellEnd"/>
      <w:r>
        <w:rPr>
          <w:rFonts w:ascii="Open Sans" w:eastAsia="Open Sans" w:hAnsi="Open Sans" w:cs="Open Sans"/>
          <w:color w:val="0000FF"/>
          <w:u w:val="single"/>
        </w:rPr>
        <w:fldChar w:fldCharType="end"/>
      </w:r>
      <w:r>
        <w:rPr>
          <w:rFonts w:ascii="Open Sans" w:eastAsia="Open Sans" w:hAnsi="Open Sans" w:cs="Open Sans"/>
          <w:color w:val="000000"/>
        </w:rPr>
        <w:t xml:space="preserve">, una empresa 100% especializada en Marketplace digitales y el único “pure </w:t>
      </w:r>
      <w:proofErr w:type="spellStart"/>
      <w:r>
        <w:rPr>
          <w:rFonts w:ascii="Open Sans" w:eastAsia="Open Sans" w:hAnsi="Open Sans" w:cs="Open Sans"/>
          <w:color w:val="000000"/>
        </w:rPr>
        <w:t>player</w:t>
      </w:r>
      <w:proofErr w:type="spellEnd"/>
      <w:r>
        <w:rPr>
          <w:rFonts w:ascii="Open Sans" w:eastAsia="Open Sans" w:hAnsi="Open Sans" w:cs="Open Sans"/>
          <w:color w:val="000000"/>
        </w:rPr>
        <w:t>” del sector a nivel mundial. Con presencia en 12 países de Europa, América Latina y África del Norte, el conjunto de sus plataformas locales recibe un promedio de 1.500 millones de visitas cada mes.</w:t>
      </w:r>
    </w:p>
    <w:p w14:paraId="575953ED" w14:textId="77777777" w:rsidR="00455DA0" w:rsidRDefault="00000000">
      <w:pPr>
        <w:shd w:val="clear" w:color="auto" w:fill="FFFFFF"/>
        <w:spacing w:after="0" w:line="240" w:lineRule="auto"/>
        <w:ind w:right="-716"/>
        <w:jc w:val="both"/>
        <w:rPr>
          <w:rFonts w:ascii="Open Sans" w:eastAsia="Open Sans" w:hAnsi="Open Sans" w:cs="Open Sans"/>
          <w:color w:val="000000"/>
        </w:rPr>
      </w:pPr>
      <w:hyperlink r:id="rId23">
        <w:r>
          <w:rPr>
            <w:rFonts w:ascii="Open Sans" w:eastAsia="Open Sans" w:hAnsi="Open Sans" w:cs="Open Sans"/>
            <w:color w:val="0000FF"/>
            <w:u w:val="single"/>
          </w:rPr>
          <w:t>Más información sobre Fotocasa</w:t>
        </w:r>
      </w:hyperlink>
      <w:r>
        <w:rPr>
          <w:rFonts w:ascii="Open Sans" w:eastAsia="Open Sans" w:hAnsi="Open Sans" w:cs="Open Sans"/>
          <w:color w:val="000000"/>
        </w:rPr>
        <w:t>.</w:t>
      </w:r>
    </w:p>
    <w:p w14:paraId="18F5A143" w14:textId="77777777" w:rsidR="00455DA0" w:rsidRDefault="00455DA0">
      <w:pPr>
        <w:shd w:val="clear" w:color="auto" w:fill="FFFFFF"/>
        <w:spacing w:after="0" w:line="240" w:lineRule="auto"/>
        <w:ind w:right="-716"/>
        <w:jc w:val="both"/>
        <w:rPr>
          <w:rFonts w:ascii="Times New Roman" w:eastAsia="Times New Roman" w:hAnsi="Times New Roman" w:cs="Times New Roman"/>
          <w:sz w:val="24"/>
          <w:szCs w:val="24"/>
        </w:rPr>
      </w:pPr>
    </w:p>
    <w:p w14:paraId="22384BFA" w14:textId="77777777" w:rsidR="00455DA0" w:rsidRDefault="00000000">
      <w:pPr>
        <w:shd w:val="clear" w:color="auto" w:fill="FFFFFF"/>
        <w:spacing w:after="0" w:line="240" w:lineRule="auto"/>
        <w:ind w:right="-716"/>
        <w:jc w:val="both"/>
        <w:rPr>
          <w:rFonts w:ascii="Times New Roman" w:eastAsia="Times New Roman" w:hAnsi="Times New Roman" w:cs="Times New Roman"/>
          <w:sz w:val="24"/>
          <w:szCs w:val="24"/>
        </w:rPr>
      </w:pPr>
      <w:r>
        <w:rPr>
          <w:rFonts w:ascii="Open Sans" w:eastAsia="Open Sans" w:hAnsi="Open Sans" w:cs="Open Sans"/>
          <w:color w:val="000000"/>
        </w:rPr>
        <w:lastRenderedPageBreak/>
        <w:t>En España, </w:t>
      </w:r>
      <w:proofErr w:type="spellStart"/>
      <w:r>
        <w:fldChar w:fldCharType="begin"/>
      </w:r>
      <w:r>
        <w:instrText>HYPERLINK "https://www.adevinta.com/" \h</w:instrText>
      </w:r>
      <w:r>
        <w:fldChar w:fldCharType="separate"/>
      </w:r>
      <w:r>
        <w:rPr>
          <w:rFonts w:ascii="Open Sans" w:eastAsia="Open Sans" w:hAnsi="Open Sans" w:cs="Open Sans"/>
          <w:color w:val="0000FF"/>
          <w:u w:val="single"/>
        </w:rPr>
        <w:t>Adevinta</w:t>
      </w:r>
      <w:proofErr w:type="spellEnd"/>
      <w:r>
        <w:rPr>
          <w:rFonts w:ascii="Open Sans" w:eastAsia="Open Sans" w:hAnsi="Open Sans" w:cs="Open Sans"/>
          <w:color w:val="0000FF"/>
          <w:u w:val="single"/>
        </w:rPr>
        <w:fldChar w:fldCharType="end"/>
      </w:r>
      <w:r>
        <w:rPr>
          <w:rFonts w:ascii="Open Sans" w:eastAsia="Open Sans" w:hAnsi="Open Sans" w:cs="Open Sans"/>
          <w:color w:val="000000"/>
        </w:rPr>
        <w:t xml:space="preserve">, antes Schibsted </w:t>
      </w:r>
      <w:proofErr w:type="spellStart"/>
      <w:r>
        <w:rPr>
          <w:rFonts w:ascii="Open Sans" w:eastAsia="Open Sans" w:hAnsi="Open Sans" w:cs="Open Sans"/>
          <w:color w:val="000000"/>
        </w:rPr>
        <w:t>Spain</w:t>
      </w:r>
      <w:proofErr w:type="spellEnd"/>
      <w:r>
        <w:rPr>
          <w:rFonts w:ascii="Open Sans" w:eastAsia="Open Sans" w:hAnsi="Open Sans" w:cs="Open Sans"/>
          <w:color w:val="000000"/>
        </w:rPr>
        <w:t xml:space="preserve">, es una de las principales empresas del sector tecnológico del país y un referente de transformación digital. En sus 40 años de trayectoria en el mercado español de clasificados, los negocios de </w:t>
      </w:r>
      <w:proofErr w:type="spellStart"/>
      <w:r>
        <w:rPr>
          <w:rFonts w:ascii="Open Sans" w:eastAsia="Open Sans" w:hAnsi="Open Sans" w:cs="Open Sans"/>
          <w:color w:val="000000"/>
        </w:rPr>
        <w:t>Adevinta</w:t>
      </w:r>
      <w:proofErr w:type="spellEnd"/>
      <w:r>
        <w:rPr>
          <w:rFonts w:ascii="Open Sans" w:eastAsia="Open Sans" w:hAnsi="Open Sans" w:cs="Open Sans"/>
          <w:color w:val="000000"/>
        </w:rPr>
        <w:t xml:space="preserve"> han evolucionado del papel al online hasta convertirse en el referente de Internet en sectores relevantes como inmobiliaria (</w:t>
      </w:r>
      <w:hyperlink r:id="rId24">
        <w:r>
          <w:rPr>
            <w:rFonts w:ascii="Open Sans" w:eastAsia="Open Sans" w:hAnsi="Open Sans" w:cs="Open Sans"/>
            <w:color w:val="0000FF"/>
            <w:u w:val="single"/>
          </w:rPr>
          <w:t>Fotocasa</w:t>
        </w:r>
      </w:hyperlink>
      <w:r>
        <w:rPr>
          <w:rFonts w:ascii="Open Sans" w:eastAsia="Open Sans" w:hAnsi="Open Sans" w:cs="Open Sans"/>
          <w:color w:val="000000"/>
        </w:rPr>
        <w:t> y </w:t>
      </w:r>
      <w:proofErr w:type="spellStart"/>
      <w:r>
        <w:fldChar w:fldCharType="begin"/>
      </w:r>
      <w:r>
        <w:instrText>HYPERLINK "https://www.habitaclia.com/" \h</w:instrText>
      </w:r>
      <w:r>
        <w:fldChar w:fldCharType="separate"/>
      </w:r>
      <w:r>
        <w:rPr>
          <w:rFonts w:ascii="Open Sans" w:eastAsia="Open Sans" w:hAnsi="Open Sans" w:cs="Open Sans"/>
          <w:color w:val="0000FF"/>
          <w:u w:val="single"/>
        </w:rPr>
        <w:t>habitaclia</w:t>
      </w:r>
      <w:proofErr w:type="spellEnd"/>
      <w:r>
        <w:rPr>
          <w:rFonts w:ascii="Open Sans" w:eastAsia="Open Sans" w:hAnsi="Open Sans" w:cs="Open Sans"/>
          <w:color w:val="0000FF"/>
          <w:u w:val="single"/>
        </w:rPr>
        <w:fldChar w:fldCharType="end"/>
      </w:r>
      <w:r>
        <w:rPr>
          <w:rFonts w:ascii="Open Sans" w:eastAsia="Open Sans" w:hAnsi="Open Sans" w:cs="Open Sans"/>
          <w:color w:val="000000"/>
        </w:rPr>
        <w:t>), empleo (</w:t>
      </w:r>
      <w:hyperlink r:id="rId25">
        <w:r>
          <w:rPr>
            <w:rFonts w:ascii="Open Sans" w:eastAsia="Open Sans" w:hAnsi="Open Sans" w:cs="Open Sans"/>
            <w:color w:val="0000FF"/>
            <w:u w:val="single"/>
          </w:rPr>
          <w:t>Infojobs.net</w:t>
        </w:r>
      </w:hyperlink>
      <w:r>
        <w:rPr>
          <w:rFonts w:ascii="Open Sans" w:eastAsia="Open Sans" w:hAnsi="Open Sans" w:cs="Open Sans"/>
          <w:color w:val="000000"/>
        </w:rPr>
        <w:t>), motor (</w:t>
      </w:r>
      <w:hyperlink r:id="rId26">
        <w:r>
          <w:rPr>
            <w:rFonts w:ascii="Open Sans" w:eastAsia="Open Sans" w:hAnsi="Open Sans" w:cs="Open Sans"/>
            <w:color w:val="0000FF"/>
            <w:u w:val="single"/>
          </w:rPr>
          <w:t>coches.net</w:t>
        </w:r>
      </w:hyperlink>
      <w:r>
        <w:rPr>
          <w:rFonts w:ascii="Open Sans" w:eastAsia="Open Sans" w:hAnsi="Open Sans" w:cs="Open Sans"/>
          <w:color w:val="000000"/>
        </w:rPr>
        <w:t> y </w:t>
      </w:r>
      <w:hyperlink r:id="rId27">
        <w:r>
          <w:rPr>
            <w:rFonts w:ascii="Open Sans" w:eastAsia="Open Sans" w:hAnsi="Open Sans" w:cs="Open Sans"/>
            <w:color w:val="0000FF"/>
            <w:u w:val="single"/>
          </w:rPr>
          <w:t>motos.ne</w:t>
        </w:r>
      </w:hyperlink>
      <w:r>
        <w:rPr>
          <w:rFonts w:ascii="Open Sans" w:eastAsia="Open Sans" w:hAnsi="Open Sans" w:cs="Open Sans"/>
          <w:color w:val="0000FF"/>
          <w:u w:val="single"/>
        </w:rPr>
        <w:t>t</w:t>
      </w:r>
      <w:r>
        <w:rPr>
          <w:rFonts w:ascii="Open Sans" w:eastAsia="Open Sans" w:hAnsi="Open Sans" w:cs="Open Sans"/>
          <w:color w:val="000000"/>
        </w:rPr>
        <w:t>) y segunda mano (</w:t>
      </w:r>
      <w:proofErr w:type="spellStart"/>
      <w:r>
        <w:fldChar w:fldCharType="begin"/>
      </w:r>
      <w:r>
        <w:instrText>HYPERLINK "https://www.milanuncios.es/" \h</w:instrText>
      </w:r>
      <w:r>
        <w:fldChar w:fldCharType="separate"/>
      </w:r>
      <w:r>
        <w:rPr>
          <w:rFonts w:ascii="Open Sans" w:eastAsia="Open Sans" w:hAnsi="Open Sans" w:cs="Open Sans"/>
          <w:color w:val="0000FF"/>
          <w:u w:val="single"/>
        </w:rPr>
        <w:t>Milanuncios</w:t>
      </w:r>
      <w:proofErr w:type="spellEnd"/>
      <w:r>
        <w:rPr>
          <w:rFonts w:ascii="Open Sans" w:eastAsia="Open Sans" w:hAnsi="Open Sans" w:cs="Open Sans"/>
          <w:color w:val="0000FF"/>
          <w:u w:val="single"/>
        </w:rPr>
        <w:fldChar w:fldCharType="end"/>
      </w:r>
      <w:r>
        <w:rPr>
          <w:rFonts w:ascii="Open Sans" w:eastAsia="Open Sans" w:hAnsi="Open Sans" w:cs="Open Sans"/>
          <w:color w:val="000000"/>
        </w:rPr>
        <w:t> y </w:t>
      </w:r>
      <w:proofErr w:type="spellStart"/>
      <w:r>
        <w:fldChar w:fldCharType="begin"/>
      </w:r>
      <w:r>
        <w:instrText>HYPERLINK "https://www.vibbo.com/" \h</w:instrText>
      </w:r>
      <w:r>
        <w:fldChar w:fldCharType="separate"/>
      </w:r>
      <w:r>
        <w:rPr>
          <w:rFonts w:ascii="Open Sans" w:eastAsia="Open Sans" w:hAnsi="Open Sans" w:cs="Open Sans"/>
          <w:color w:val="0000FF"/>
          <w:u w:val="single"/>
        </w:rPr>
        <w:t>vibbo</w:t>
      </w:r>
      <w:proofErr w:type="spellEnd"/>
      <w:r>
        <w:rPr>
          <w:rFonts w:ascii="Open Sans" w:eastAsia="Open Sans" w:hAnsi="Open Sans" w:cs="Open Sans"/>
          <w:color w:val="0000FF"/>
          <w:u w:val="single"/>
        </w:rPr>
        <w:fldChar w:fldCharType="end"/>
      </w:r>
      <w:r>
        <w:rPr>
          <w:rFonts w:ascii="Open Sans" w:eastAsia="Open Sans" w:hAnsi="Open Sans" w:cs="Open Sans"/>
          <w:color w:val="000000"/>
        </w:rPr>
        <w:t xml:space="preserve">). Sus más de 18 millones de usuarios al mes sitúan </w:t>
      </w:r>
      <w:proofErr w:type="spellStart"/>
      <w:r>
        <w:rPr>
          <w:rFonts w:ascii="Open Sans" w:eastAsia="Open Sans" w:hAnsi="Open Sans" w:cs="Open Sans"/>
          <w:color w:val="000000"/>
        </w:rPr>
        <w:t>Adevinta</w:t>
      </w:r>
      <w:proofErr w:type="spellEnd"/>
      <w:r>
        <w:rPr>
          <w:rFonts w:ascii="Open Sans" w:eastAsia="Open Sans" w:hAnsi="Open Sans" w:cs="Open Sans"/>
          <w:color w:val="000000"/>
        </w:rPr>
        <w:t xml:space="preserve"> entre las diez compañías con mayor audiencia de Internet en España (y la mayor empresa digital española). </w:t>
      </w:r>
      <w:proofErr w:type="spellStart"/>
      <w:r>
        <w:rPr>
          <w:rFonts w:ascii="Open Sans" w:eastAsia="Open Sans" w:hAnsi="Open Sans" w:cs="Open Sans"/>
          <w:color w:val="000000"/>
        </w:rPr>
        <w:t>Adevinta</w:t>
      </w:r>
      <w:proofErr w:type="spellEnd"/>
      <w:r>
        <w:rPr>
          <w:rFonts w:ascii="Open Sans" w:eastAsia="Open Sans" w:hAnsi="Open Sans" w:cs="Open Sans"/>
          <w:color w:val="000000"/>
        </w:rPr>
        <w:t xml:space="preserve"> cuenta en la actualidad con una plantilla de más de 1.000 empleados en España. </w:t>
      </w:r>
    </w:p>
    <w:p w14:paraId="64C777FB" w14:textId="77777777" w:rsidR="00455DA0" w:rsidRDefault="00000000">
      <w:pPr>
        <w:shd w:val="clear" w:color="auto" w:fill="FFFFFF"/>
        <w:spacing w:after="0" w:line="240" w:lineRule="auto"/>
        <w:ind w:righ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352C0EF" w14:textId="77777777" w:rsidR="00455DA0" w:rsidRDefault="00000000">
      <w:pPr>
        <w:shd w:val="clear" w:color="auto" w:fill="FFFFFF"/>
        <w:spacing w:after="0" w:line="240" w:lineRule="auto"/>
        <w:ind w:right="-716"/>
        <w:jc w:val="both"/>
        <w:rPr>
          <w:rFonts w:ascii="Times New Roman" w:eastAsia="Times New Roman" w:hAnsi="Times New Roman" w:cs="Times New Roman"/>
          <w:sz w:val="24"/>
          <w:szCs w:val="24"/>
        </w:rPr>
      </w:pPr>
      <w:r>
        <w:rPr>
          <w:rFonts w:ascii="Open Sans" w:eastAsia="Open Sans" w:hAnsi="Open Sans" w:cs="Open Sans"/>
          <w:color w:val="000000"/>
        </w:rPr>
        <w:t xml:space="preserve">Toda nuestra información la puedes encontrar en nuestra </w:t>
      </w:r>
      <w:hyperlink r:id="rId28">
        <w:r>
          <w:rPr>
            <w:rFonts w:ascii="Open Sans" w:eastAsia="Open Sans" w:hAnsi="Open Sans" w:cs="Open Sans"/>
            <w:color w:val="0000FF"/>
            <w:u w:val="single"/>
          </w:rPr>
          <w:t>Sala de Prensa</w:t>
        </w:r>
      </w:hyperlink>
      <w:r>
        <w:rPr>
          <w:rFonts w:ascii="Open Sans" w:eastAsia="Open Sans" w:hAnsi="Open Sans" w:cs="Open Sans"/>
          <w:color w:val="000000"/>
        </w:rPr>
        <w:t>. </w:t>
      </w:r>
    </w:p>
    <w:p w14:paraId="28C0681E" w14:textId="77777777" w:rsidR="00455DA0" w:rsidRDefault="00000000">
      <w:pPr>
        <w:shd w:val="clear" w:color="auto" w:fill="FFFFFF"/>
        <w:spacing w:after="0" w:line="240" w:lineRule="auto"/>
        <w:ind w:righ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86711D3" w14:textId="77777777" w:rsidR="00455DA0" w:rsidRDefault="00455DA0">
      <w:pPr>
        <w:spacing w:after="0" w:line="240" w:lineRule="auto"/>
        <w:rPr>
          <w:rFonts w:ascii="Times New Roman" w:eastAsia="Times New Roman" w:hAnsi="Times New Roman" w:cs="Times New Roman"/>
          <w:sz w:val="24"/>
          <w:szCs w:val="24"/>
        </w:rPr>
      </w:pPr>
    </w:p>
    <w:p w14:paraId="2523BE12" w14:textId="77777777" w:rsidR="00455DA0" w:rsidRDefault="00455DA0">
      <w:pPr>
        <w:spacing w:after="0" w:line="240" w:lineRule="auto"/>
        <w:rPr>
          <w:rFonts w:ascii="Times New Roman" w:eastAsia="Times New Roman" w:hAnsi="Times New Roman" w:cs="Times New Roman"/>
          <w:sz w:val="24"/>
          <w:szCs w:val="24"/>
        </w:rPr>
      </w:pPr>
    </w:p>
    <w:p w14:paraId="673F7A19" w14:textId="77777777" w:rsidR="00455DA0" w:rsidRDefault="00000000">
      <w:pPr>
        <w:spacing w:after="0" w:line="240" w:lineRule="auto"/>
        <w:ind w:right="-716"/>
        <w:rPr>
          <w:rFonts w:ascii="Times New Roman" w:eastAsia="Times New Roman" w:hAnsi="Times New Roman" w:cs="Times New Roman"/>
          <w:b/>
        </w:rPr>
      </w:pPr>
      <w:r>
        <w:rPr>
          <w:rFonts w:ascii="Open Sans" w:eastAsia="Open Sans" w:hAnsi="Open Sans" w:cs="Open Sans"/>
          <w:b/>
          <w:color w:val="303AB2"/>
        </w:rPr>
        <w:t xml:space="preserve">Departamento Comunicación Solvia    </w:t>
      </w:r>
      <w:r>
        <w:rPr>
          <w:rFonts w:ascii="Open Sans" w:eastAsia="Open Sans" w:hAnsi="Open Sans" w:cs="Open Sans"/>
          <w:b/>
          <w:color w:val="303AB2"/>
          <w:sz w:val="20"/>
          <w:szCs w:val="20"/>
        </w:rPr>
        <w:t xml:space="preserve">             </w:t>
      </w:r>
      <w:r>
        <w:rPr>
          <w:rFonts w:ascii="Open Sans" w:eastAsia="Open Sans" w:hAnsi="Open Sans" w:cs="Open Sans"/>
          <w:b/>
          <w:color w:val="303AB2"/>
        </w:rPr>
        <w:t>Departamento Comunicación Fotocasa</w:t>
      </w:r>
    </w:p>
    <w:p w14:paraId="093C0ED1" w14:textId="77777777" w:rsidR="00455DA0" w:rsidRDefault="00000000">
      <w:pPr>
        <w:shd w:val="clear" w:color="auto" w:fill="FFFFFF"/>
        <w:spacing w:after="0" w:line="240" w:lineRule="auto"/>
        <w:ind w:right="-716"/>
        <w:rPr>
          <w:rFonts w:ascii="Times New Roman" w:eastAsia="Times New Roman" w:hAnsi="Times New Roman" w:cs="Times New Roman"/>
          <w:sz w:val="24"/>
          <w:szCs w:val="24"/>
        </w:rPr>
      </w:pPr>
      <w:proofErr w:type="spellStart"/>
      <w:r>
        <w:rPr>
          <w:rFonts w:ascii="Open Sans" w:eastAsia="Open Sans" w:hAnsi="Open Sans" w:cs="Open Sans"/>
          <w:b/>
          <w:sz w:val="19"/>
          <w:szCs w:val="19"/>
        </w:rPr>
        <w:t>Victor</w:t>
      </w:r>
      <w:proofErr w:type="spellEnd"/>
      <w:r>
        <w:rPr>
          <w:rFonts w:ascii="Open Sans" w:eastAsia="Open Sans" w:hAnsi="Open Sans" w:cs="Open Sans"/>
          <w:b/>
          <w:sz w:val="19"/>
          <w:szCs w:val="19"/>
        </w:rPr>
        <w:t xml:space="preserve"> González</w:t>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t xml:space="preserve">      </w:t>
      </w:r>
      <w:r>
        <w:rPr>
          <w:rFonts w:ascii="Open Sans" w:eastAsia="Open Sans" w:hAnsi="Open Sans" w:cs="Open Sans"/>
          <w:b/>
          <w:sz w:val="19"/>
          <w:szCs w:val="19"/>
        </w:rPr>
        <w:t xml:space="preserve">                        </w:t>
      </w:r>
      <w:r>
        <w:rPr>
          <w:rFonts w:ascii="Open Sans" w:eastAsia="Open Sans" w:hAnsi="Open Sans" w:cs="Open Sans"/>
          <w:b/>
          <w:color w:val="000000"/>
          <w:sz w:val="19"/>
          <w:szCs w:val="19"/>
        </w:rPr>
        <w:t>Anaïs López </w:t>
      </w:r>
    </w:p>
    <w:p w14:paraId="60111375" w14:textId="77777777" w:rsidR="00455DA0" w:rsidRDefault="00000000">
      <w:pPr>
        <w:shd w:val="clear" w:color="auto" w:fill="FFFFFF"/>
        <w:spacing w:after="0" w:line="240" w:lineRule="auto"/>
        <w:ind w:right="-716"/>
        <w:rPr>
          <w:rFonts w:ascii="Times New Roman" w:eastAsia="Times New Roman" w:hAnsi="Times New Roman" w:cs="Times New Roman"/>
          <w:sz w:val="24"/>
          <w:szCs w:val="24"/>
        </w:rPr>
      </w:pPr>
      <w:hyperlink r:id="rId29">
        <w:r>
          <w:rPr>
            <w:rFonts w:ascii="Open Sans" w:eastAsia="Open Sans" w:hAnsi="Open Sans" w:cs="Open Sans"/>
            <w:color w:val="0000FF"/>
            <w:sz w:val="19"/>
            <w:szCs w:val="19"/>
            <w:u w:val="single"/>
          </w:rPr>
          <w:t>victor.gonzalez@intrum.com</w:t>
        </w:r>
      </w:hyperlink>
      <w:r>
        <w:rPr>
          <w:rFonts w:ascii="Open Sans" w:eastAsia="Open Sans" w:hAnsi="Open Sans" w:cs="Open Sans"/>
          <w:sz w:val="19"/>
          <w:szCs w:val="19"/>
        </w:rPr>
        <w:t xml:space="preserve">    </w:t>
      </w:r>
      <w:hyperlink r:id="rId30">
        <w:r>
          <w:rPr>
            <w:rFonts w:ascii="Open Sans" w:eastAsia="Open Sans" w:hAnsi="Open Sans" w:cs="Open Sans"/>
            <w:color w:val="0000FF"/>
            <w:sz w:val="19"/>
            <w:szCs w:val="19"/>
          </w:rPr>
          <w:tab/>
        </w:r>
        <w:r>
          <w:rPr>
            <w:rFonts w:ascii="Open Sans" w:eastAsia="Open Sans" w:hAnsi="Open Sans" w:cs="Open Sans"/>
            <w:color w:val="0000FF"/>
            <w:sz w:val="19"/>
            <w:szCs w:val="19"/>
          </w:rPr>
          <w:tab/>
        </w:r>
      </w:hyperlink>
      <w:r>
        <w:rPr>
          <w:rFonts w:ascii="Open Sans" w:eastAsia="Open Sans" w:hAnsi="Open Sans" w:cs="Open Sans"/>
          <w:color w:val="0000FF"/>
          <w:sz w:val="19"/>
          <w:szCs w:val="19"/>
        </w:rPr>
        <w:t xml:space="preserve">                                                               </w:t>
      </w:r>
      <w:hyperlink r:id="rId31">
        <w:r>
          <w:rPr>
            <w:rFonts w:ascii="Open Sans" w:eastAsia="Open Sans" w:hAnsi="Open Sans" w:cs="Open Sans"/>
            <w:color w:val="0000FF"/>
            <w:sz w:val="19"/>
            <w:szCs w:val="19"/>
            <w:u w:val="single"/>
          </w:rPr>
          <w:t>comunicacion@fotocasa.es</w:t>
        </w:r>
      </w:hyperlink>
    </w:p>
    <w:p w14:paraId="0A245DCD" w14:textId="77777777" w:rsidR="00455DA0" w:rsidRDefault="00000000">
      <w:pPr>
        <w:shd w:val="clear" w:color="auto" w:fill="FFFFFF"/>
        <w:spacing w:after="0" w:line="240" w:lineRule="auto"/>
        <w:ind w:right="-716"/>
        <w:rPr>
          <w:rFonts w:ascii="Times New Roman" w:eastAsia="Times New Roman" w:hAnsi="Times New Roman" w:cs="Times New Roman"/>
          <w:sz w:val="24"/>
          <w:szCs w:val="24"/>
        </w:rPr>
      </w:pPr>
      <w:r>
        <w:rPr>
          <w:rFonts w:ascii="Open Sans" w:eastAsia="Open Sans" w:hAnsi="Open Sans" w:cs="Open Sans"/>
          <w:sz w:val="19"/>
          <w:szCs w:val="19"/>
        </w:rPr>
        <w:t xml:space="preserve">619 46 16 40  </w:t>
      </w:r>
      <w:r>
        <w:rPr>
          <w:rFonts w:ascii="Open Sans" w:eastAsia="Open Sans" w:hAnsi="Open Sans" w:cs="Open Sans"/>
          <w:color w:val="000000"/>
          <w:sz w:val="19"/>
          <w:szCs w:val="19"/>
        </w:rPr>
        <w:t xml:space="preserve">    </w:t>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t>                              620 66 29 26</w:t>
      </w:r>
    </w:p>
    <w:p w14:paraId="302F4356" w14:textId="77777777" w:rsidR="00455DA0" w:rsidRDefault="00000000">
      <w:pPr>
        <w:shd w:val="clear" w:color="auto" w:fill="FFFFFF"/>
        <w:spacing w:after="0" w:line="240" w:lineRule="auto"/>
        <w:ind w:right="-716"/>
        <w:rPr>
          <w:rFonts w:ascii="Times New Roman" w:eastAsia="Times New Roman" w:hAnsi="Times New Roman" w:cs="Times New Roman"/>
          <w:sz w:val="24"/>
          <w:szCs w:val="24"/>
        </w:rPr>
      </w:pPr>
      <w:r>
        <w:rPr>
          <w:rFonts w:ascii="Arial" w:eastAsia="Arial" w:hAnsi="Arial" w:cs="Arial"/>
          <w:color w:val="222222"/>
        </w:rPr>
        <w:tab/>
      </w:r>
      <w:r>
        <w:rPr>
          <w:rFonts w:ascii="Arial" w:eastAsia="Arial" w:hAnsi="Arial" w:cs="Arial"/>
          <w:color w:val="222222"/>
        </w:rPr>
        <w:tab/>
        <w:t xml:space="preserve">                </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     </w:t>
      </w:r>
    </w:p>
    <w:p w14:paraId="2037071F" w14:textId="77777777" w:rsidR="00455DA0" w:rsidRDefault="00000000">
      <w:pPr>
        <w:shd w:val="clear" w:color="auto" w:fill="FFFFFF"/>
        <w:spacing w:after="0" w:line="240" w:lineRule="auto"/>
        <w:ind w:right="-716"/>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A18F1AC" w14:textId="77777777" w:rsidR="00455DA0" w:rsidRDefault="00455DA0"/>
    <w:sectPr w:rsidR="00455DA0">
      <w:headerReference w:type="even" r:id="rId32"/>
      <w:headerReference w:type="default" r:id="rId33"/>
      <w:footerReference w:type="even" r:id="rId34"/>
      <w:footerReference w:type="default" r:id="rId35"/>
      <w:headerReference w:type="first" r:id="rId36"/>
      <w:footerReference w:type="first" r:id="rId3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9B5E" w14:textId="77777777" w:rsidR="007541EF" w:rsidRDefault="007541EF">
      <w:pPr>
        <w:spacing w:after="0" w:line="240" w:lineRule="auto"/>
      </w:pPr>
      <w:r>
        <w:separator/>
      </w:r>
    </w:p>
  </w:endnote>
  <w:endnote w:type="continuationSeparator" w:id="0">
    <w:p w14:paraId="7737C957" w14:textId="77777777" w:rsidR="007541EF" w:rsidRDefault="0075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
    <w:altName w:val="Calibri"/>
    <w:charset w:val="00"/>
    <w:family w:val="auto"/>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2AB3" w14:textId="77777777" w:rsidR="00455DA0" w:rsidRDefault="00455DA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7BA7" w14:textId="77777777" w:rsidR="00455DA0" w:rsidRDefault="00455DA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3897" w14:textId="77777777" w:rsidR="00455DA0" w:rsidRDefault="00455DA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7483" w14:textId="77777777" w:rsidR="007541EF" w:rsidRDefault="007541EF">
      <w:pPr>
        <w:spacing w:after="0" w:line="240" w:lineRule="auto"/>
      </w:pPr>
      <w:r>
        <w:separator/>
      </w:r>
    </w:p>
  </w:footnote>
  <w:footnote w:type="continuationSeparator" w:id="0">
    <w:p w14:paraId="74050208" w14:textId="77777777" w:rsidR="007541EF" w:rsidRDefault="00754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0077" w14:textId="77777777" w:rsidR="00455DA0" w:rsidRDefault="00455DA0">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8446" w14:textId="77777777" w:rsidR="00455DA0" w:rsidRDefault="00455DA0">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ABB8" w14:textId="77777777" w:rsidR="00455DA0" w:rsidRDefault="00455DA0">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6383F"/>
    <w:multiLevelType w:val="multilevel"/>
    <w:tmpl w:val="E9983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375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A0"/>
    <w:rsid w:val="0042251B"/>
    <w:rsid w:val="00455DA0"/>
    <w:rsid w:val="005C167D"/>
    <w:rsid w:val="006A2EBC"/>
    <w:rsid w:val="006F3EC2"/>
    <w:rsid w:val="007541EF"/>
    <w:rsid w:val="00A1448B"/>
    <w:rsid w:val="00AB6066"/>
    <w:rsid w:val="00AF61DA"/>
    <w:rsid w:val="00E659D0"/>
    <w:rsid w:val="00F374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1E76"/>
  <w15:docId w15:val="{9B72F62B-B4E2-44C7-A239-B936DBA3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53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NormalWeb">
    <w:name w:val="Normal (Web)"/>
    <w:basedOn w:val="Normal"/>
    <w:uiPriority w:val="99"/>
    <w:semiHidden/>
    <w:unhideWhenUsed/>
    <w:rsid w:val="006C653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6C653F"/>
    <w:rPr>
      <w:color w:val="0000FF"/>
      <w:u w:val="single"/>
    </w:rPr>
  </w:style>
  <w:style w:type="character" w:customStyle="1" w:styleId="apple-tab-span">
    <w:name w:val="apple-tab-span"/>
    <w:basedOn w:val="Fuentedeprrafopredeter"/>
    <w:rsid w:val="006C653F"/>
  </w:style>
  <w:style w:type="character" w:styleId="Mencinsinresolver">
    <w:name w:val="Unresolved Mention"/>
    <w:basedOn w:val="Fuentedeprrafopredeter"/>
    <w:uiPriority w:val="99"/>
    <w:semiHidden/>
    <w:unhideWhenUsed/>
    <w:rsid w:val="00B27BB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26F4E"/>
    <w:pPr>
      <w:ind w:left="720"/>
      <w:contextualSpacing/>
    </w:pPr>
  </w:style>
  <w:style w:type="paragraph" w:styleId="Encabezado">
    <w:name w:val="header"/>
    <w:basedOn w:val="Normal"/>
    <w:link w:val="EncabezadoCar"/>
    <w:uiPriority w:val="99"/>
    <w:unhideWhenUsed/>
    <w:rsid w:val="00AB71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714C"/>
  </w:style>
  <w:style w:type="paragraph" w:styleId="Piedepgina">
    <w:name w:val="footer"/>
    <w:basedOn w:val="Normal"/>
    <w:link w:val="PiedepginaCar"/>
    <w:uiPriority w:val="99"/>
    <w:unhideWhenUsed/>
    <w:rsid w:val="00AB71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fotocasa.es" TargetMode="External"/><Relationship Id="rId26" Type="http://schemas.openxmlformats.org/officeDocument/2006/relationships/hyperlink" Target="https://www.coches.net/" TargetMode="External"/><Relationship Id="rId39" Type="http://schemas.openxmlformats.org/officeDocument/2006/relationships/theme" Target="theme/theme1.xml"/><Relationship Id="rId21" Type="http://schemas.openxmlformats.org/officeDocument/2006/relationships/hyperlink" Target="https://www.fotocasa.es/indic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olvia.es/es/home/1" TargetMode="External"/><Relationship Id="rId17" Type="http://schemas.openxmlformats.org/officeDocument/2006/relationships/hyperlink" Target="https://www.solvia.es/es/home/1" TargetMode="External"/><Relationship Id="rId25" Type="http://schemas.openxmlformats.org/officeDocument/2006/relationships/hyperlink" Target="https://www.infojobs.net/"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tocasa.es/es/" TargetMode="External"/><Relationship Id="rId20" Type="http://schemas.openxmlformats.org/officeDocument/2006/relationships/hyperlink" Target="http://www.solvia.es" TargetMode="External"/><Relationship Id="rId29" Type="http://schemas.openxmlformats.org/officeDocument/2006/relationships/hyperlink" Target="mailto:victor.gonzalez@intru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tocasa.es/es/" TargetMode="External"/><Relationship Id="rId24" Type="http://schemas.openxmlformats.org/officeDocument/2006/relationships/hyperlink" Target="http://www.fotocasa.e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fotocasa.es/es/quienes-somos/" TargetMode="External"/><Relationship Id="rId28" Type="http://schemas.openxmlformats.org/officeDocument/2006/relationships/hyperlink" Target="http://prensa.fotocasa.es" TargetMode="External"/><Relationship Id="rId36" Type="http://schemas.openxmlformats.org/officeDocument/2006/relationships/header" Target="header3.xml"/><Relationship Id="rId10" Type="http://schemas.openxmlformats.org/officeDocument/2006/relationships/hyperlink" Target="https://s36360.pcdn.co/wp-content/uploads/2023/06/Informe-La-sostenibilidad-en-la-demanda-de-vivienda-en-2023.pdf" TargetMode="External"/><Relationship Id="rId19" Type="http://schemas.openxmlformats.org/officeDocument/2006/relationships/hyperlink" Target="https://www.solvia.es/es/home/1" TargetMode="External"/><Relationship Id="rId31" Type="http://schemas.openxmlformats.org/officeDocument/2006/relationships/hyperlink" Target="mailto:comunicacion@fotocasa.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www.fotocasa.es/" TargetMode="External"/><Relationship Id="rId27" Type="http://schemas.openxmlformats.org/officeDocument/2006/relationships/hyperlink" Target="https://motos.coches.net/" TargetMode="External"/><Relationship Id="rId30" Type="http://schemas.openxmlformats.org/officeDocument/2006/relationships/hyperlink" Target="mailto:rtorne@llorenteycuenca.com"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S9SWGt1U6BPVEOYaAJX9WSTyCw==">CgMxLjA4AHIhMTZHVTVVS2RtNHhJYWllc3NfUHYwcEctSW95bmxUOWV6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1506</Words>
  <Characters>8283</Characters>
  <Application>Microsoft Office Word</Application>
  <DocSecurity>0</DocSecurity>
  <Lines>69</Lines>
  <Paragraphs>19</Paragraphs>
  <ScaleCrop>false</ScaleCrop>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López García</dc:creator>
  <cp:lastModifiedBy>Anaïs López García</cp:lastModifiedBy>
  <cp:revision>7</cp:revision>
  <dcterms:created xsi:type="dcterms:W3CDTF">2023-06-20T12:14:00Z</dcterms:created>
  <dcterms:modified xsi:type="dcterms:W3CDTF">2023-09-21T10:04:00Z</dcterms:modified>
</cp:coreProperties>
</file>