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046D7" w:rsidRDefault="00000000">
      <w:pPr>
        <w:ind w:right="-574"/>
      </w:pPr>
      <w:r>
        <w:rPr>
          <w:noProof/>
        </w:rPr>
        <w:drawing>
          <wp:anchor distT="0" distB="0" distL="114300" distR="114300" simplePos="0" relativeHeight="251658240" behindDoc="0" locked="0" layoutInCell="1" hidden="0" allowOverlap="1">
            <wp:simplePos x="0" y="0"/>
            <wp:positionH relativeFrom="column">
              <wp:posOffset>-1078863</wp:posOffset>
            </wp:positionH>
            <wp:positionV relativeFrom="paragraph">
              <wp:posOffset>-350451</wp:posOffset>
            </wp:positionV>
            <wp:extent cx="7581265" cy="1019175"/>
            <wp:effectExtent l="0" t="0" r="0" b="0"/>
            <wp:wrapNone/>
            <wp:docPr id="14239645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rsidR="00E046D7" w:rsidRDefault="00E046D7">
      <w:pPr>
        <w:ind w:right="-574"/>
        <w:jc w:val="right"/>
        <w:rPr>
          <w:rFonts w:ascii="National" w:eastAsia="National" w:hAnsi="National" w:cs="National"/>
          <w:color w:val="303AB2"/>
          <w:sz w:val="36"/>
          <w:szCs w:val="36"/>
        </w:rPr>
      </w:pPr>
    </w:p>
    <w:p w:rsidR="00E046D7" w:rsidRDefault="00E046D7">
      <w:pPr>
        <w:ind w:right="-574"/>
        <w:jc w:val="right"/>
        <w:rPr>
          <w:rFonts w:ascii="National" w:eastAsia="National" w:hAnsi="National" w:cs="National"/>
          <w:color w:val="303AB2"/>
          <w:sz w:val="36"/>
          <w:szCs w:val="36"/>
        </w:rPr>
      </w:pPr>
    </w:p>
    <w:p w:rsidR="00E046D7" w:rsidRDefault="00E046D7">
      <w:pPr>
        <w:spacing w:line="276" w:lineRule="auto"/>
        <w:ind w:right="-574"/>
        <w:jc w:val="center"/>
        <w:rPr>
          <w:rFonts w:ascii="National" w:eastAsia="National" w:hAnsi="National" w:cs="National"/>
          <w:b/>
          <w:color w:val="1DBDC5"/>
          <w:sz w:val="16"/>
          <w:szCs w:val="16"/>
        </w:rPr>
      </w:pPr>
    </w:p>
    <w:p w:rsidR="00E046D7" w:rsidRDefault="00000000">
      <w:pPr>
        <w:spacing w:line="276" w:lineRule="auto"/>
        <w:ind w:right="-574"/>
        <w:jc w:val="center"/>
        <w:rPr>
          <w:rFonts w:ascii="National" w:eastAsia="National" w:hAnsi="National" w:cs="National"/>
          <w:b/>
          <w:color w:val="1DBDC5"/>
          <w:sz w:val="30"/>
          <w:szCs w:val="30"/>
        </w:rPr>
      </w:pPr>
      <w:r>
        <w:rPr>
          <w:rFonts w:ascii="National" w:eastAsia="National" w:hAnsi="National" w:cs="National"/>
          <w:b/>
          <w:color w:val="1DBDC5"/>
          <w:sz w:val="30"/>
          <w:szCs w:val="30"/>
        </w:rPr>
        <w:t>ANÁLISIS PRECIOS VIVIENDAS COMPARTIDAS</w:t>
      </w:r>
    </w:p>
    <w:p w:rsidR="00E046D7" w:rsidRDefault="00000000">
      <w:pPr>
        <w:ind w:right="-574"/>
        <w:jc w:val="center"/>
        <w:rPr>
          <w:rFonts w:ascii="National" w:eastAsia="National" w:hAnsi="National" w:cs="National"/>
          <w:b/>
          <w:color w:val="303AB2"/>
          <w:sz w:val="56"/>
          <w:szCs w:val="56"/>
        </w:rPr>
      </w:pPr>
      <w:r>
        <w:rPr>
          <w:rFonts w:ascii="National" w:eastAsia="National" w:hAnsi="National" w:cs="National"/>
          <w:b/>
          <w:color w:val="303AB2"/>
          <w:sz w:val="56"/>
          <w:szCs w:val="56"/>
        </w:rPr>
        <w:t>Compartir una vivienda en España cuesta un 73% más que en 2015</w:t>
      </w:r>
    </w:p>
    <w:p w:rsidR="00E046D7" w:rsidRDefault="00E046D7">
      <w:pPr>
        <w:spacing w:line="276" w:lineRule="auto"/>
        <w:ind w:right="-574"/>
        <w:rPr>
          <w:rFonts w:ascii="Open Sans" w:eastAsia="Open Sans" w:hAnsi="Open Sans" w:cs="Open Sans"/>
          <w:color w:val="000000"/>
          <w:sz w:val="16"/>
          <w:szCs w:val="16"/>
        </w:rPr>
      </w:pPr>
    </w:p>
    <w:p w:rsidR="00E046D7"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Alquilar una habitación cuesta de media en España 445 euros/mes en agosto, mientras que hace 8 años (2015) costaba 258 euros</w:t>
      </w:r>
    </w:p>
    <w:p w:rsidR="00E046D7"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En ocho comunidades se encarece el precio de las habitaciones por encima del 50% en los últimos 8 años </w:t>
      </w:r>
    </w:p>
    <w:p w:rsidR="00E046D7"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Barcelona sigue siendo la ciudad más cara para compartir con 590 euros/mes</w:t>
      </w:r>
    </w:p>
    <w:p w:rsidR="00E046D7" w:rsidRDefault="00000000">
      <w:pPr>
        <w:numPr>
          <w:ilvl w:val="0"/>
          <w:numId w:val="1"/>
        </w:numPr>
        <w:pBdr>
          <w:top w:val="nil"/>
          <w:left w:val="nil"/>
          <w:bottom w:val="nil"/>
          <w:right w:val="nil"/>
          <w:between w:val="nil"/>
        </w:pBdr>
        <w:spacing w:line="276" w:lineRule="auto"/>
        <w:ind w:right="-574"/>
        <w:jc w:val="both"/>
        <w:rPr>
          <w:rFonts w:ascii="Open Sans" w:eastAsia="Open Sans" w:hAnsi="Open Sans" w:cs="Open Sans"/>
          <w:b/>
          <w:sz w:val="22"/>
          <w:szCs w:val="22"/>
        </w:rPr>
      </w:pPr>
      <w:hyperlink r:id="rId9">
        <w:r>
          <w:rPr>
            <w:rFonts w:ascii="Open Sans" w:eastAsia="Open Sans" w:hAnsi="Open Sans" w:cs="Open Sans"/>
            <w:b/>
            <w:color w:val="1155CC"/>
            <w:sz w:val="22"/>
            <w:szCs w:val="22"/>
            <w:u w:val="single"/>
          </w:rPr>
          <w:t xml:space="preserve">Aquí se puede ver la valoración en vídeo de la </w:t>
        </w:r>
        <w:r w:rsidR="00713C26">
          <w:rPr>
            <w:rFonts w:ascii="Open Sans" w:eastAsia="Open Sans" w:hAnsi="Open Sans" w:cs="Open Sans"/>
            <w:b/>
            <w:color w:val="1155CC"/>
            <w:sz w:val="22"/>
            <w:szCs w:val="22"/>
            <w:u w:val="single"/>
          </w:rPr>
          <w:t>d</w:t>
        </w:r>
        <w:r>
          <w:rPr>
            <w:rFonts w:ascii="Open Sans" w:eastAsia="Open Sans" w:hAnsi="Open Sans" w:cs="Open Sans"/>
            <w:b/>
            <w:color w:val="1155CC"/>
            <w:sz w:val="22"/>
            <w:szCs w:val="22"/>
            <w:u w:val="single"/>
          </w:rPr>
          <w:t>irectora de Estudios de Fotocasa</w:t>
        </w:r>
      </w:hyperlink>
    </w:p>
    <w:p w:rsidR="00E046D7" w:rsidRDefault="00000000">
      <w:pPr>
        <w:spacing w:line="276" w:lineRule="auto"/>
        <w:ind w:right="-574"/>
        <w:rPr>
          <w:rFonts w:ascii="Open Sans Light" w:eastAsia="Open Sans Light" w:hAnsi="Open Sans Light" w:cs="Open Sans Light"/>
          <w:b/>
          <w:color w:val="303AB2"/>
          <w:sz w:val="20"/>
          <w:szCs w:val="20"/>
        </w:rPr>
      </w:pPr>
      <w:r>
        <w:rPr>
          <w:rFonts w:ascii="Open Sans Light" w:eastAsia="Open Sans Light" w:hAnsi="Open Sans Light" w:cs="Open Sans Light"/>
          <w:b/>
          <w:color w:val="303AB2"/>
        </w:rPr>
        <w:br/>
      </w:r>
      <w:r>
        <w:rPr>
          <w:rFonts w:ascii="Open Sans Light" w:eastAsia="Open Sans Light" w:hAnsi="Open Sans Light" w:cs="Open Sans Light"/>
          <w:b/>
          <w:color w:val="303AB2"/>
          <w:sz w:val="20"/>
          <w:szCs w:val="20"/>
        </w:rPr>
        <w:t>Madrid, 6 de septiembre de 2023</w:t>
      </w:r>
    </w:p>
    <w:p w:rsidR="00E046D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Compartir una vivienda en España cuesta como media 445 euros al mes, es decir, un 50% más que hace 5 años (desde 2018) y un 73% más respecto a hace 8 años (2015), según el estudio a mitad año de </w:t>
      </w:r>
      <w:r>
        <w:rPr>
          <w:rFonts w:ascii="Open Sans" w:eastAsia="Open Sans" w:hAnsi="Open Sans" w:cs="Open Sans"/>
          <w:b/>
          <w:i/>
          <w:color w:val="000000"/>
          <w:sz w:val="22"/>
          <w:szCs w:val="22"/>
        </w:rPr>
        <w:t>“Viviendas compartidas en España en 2023</w:t>
      </w:r>
      <w:r>
        <w:rPr>
          <w:rFonts w:ascii="Open Sans" w:eastAsia="Open Sans" w:hAnsi="Open Sans" w:cs="Open Sans"/>
          <w:color w:val="000000"/>
          <w:sz w:val="22"/>
          <w:szCs w:val="22"/>
        </w:rPr>
        <w:t xml:space="preserve">” basado en los precios de la vivienda en alquiler del mes de agosto de los últimos 8 años del Índice Inmobiliario </w:t>
      </w:r>
      <w:hyperlink r:id="rId10">
        <w:r>
          <w:rPr>
            <w:rFonts w:ascii="Open Sans" w:eastAsia="Open Sans" w:hAnsi="Open Sans" w:cs="Open Sans"/>
            <w:color w:val="0000FF"/>
            <w:sz w:val="22"/>
            <w:szCs w:val="22"/>
            <w:u w:val="single"/>
          </w:rPr>
          <w:t>Fotocasa</w:t>
        </w:r>
      </w:hyperlink>
      <w:r>
        <w:rPr>
          <w:rFonts w:ascii="Times New Roman" w:eastAsia="Times New Roman" w:hAnsi="Times New Roman" w:cs="Times New Roman"/>
          <w:color w:val="000000"/>
          <w:sz w:val="22"/>
          <w:szCs w:val="22"/>
        </w:rPr>
        <w:t xml:space="preserve">. </w:t>
      </w:r>
    </w:p>
    <w:p w:rsidR="00E046D7" w:rsidRDefault="00000000">
      <w:pPr>
        <w:pBdr>
          <w:top w:val="nil"/>
          <w:left w:val="nil"/>
          <w:bottom w:val="nil"/>
          <w:right w:val="nil"/>
          <w:between w:val="nil"/>
        </w:pBdr>
        <w:shd w:val="clear" w:color="auto" w:fill="FFFFFF"/>
        <w:spacing w:before="280" w:after="280" w:line="276" w:lineRule="auto"/>
        <w:ind w:right="-574"/>
        <w:jc w:val="center"/>
        <w:rPr>
          <w:b/>
          <w:color w:val="303AB2"/>
          <w:sz w:val="30"/>
          <w:szCs w:val="30"/>
        </w:rPr>
      </w:pPr>
      <w:r>
        <w:rPr>
          <w:b/>
          <w:color w:val="303AB2"/>
          <w:sz w:val="30"/>
          <w:szCs w:val="30"/>
        </w:rPr>
        <w:t>Variación interanual (%) del precio por años en España</w:t>
      </w:r>
    </w:p>
    <w:p w:rsidR="00E046D7"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color w:val="000000"/>
        </w:rPr>
      </w:pPr>
      <w:r>
        <w:rPr>
          <w:rFonts w:ascii="Times New Roman" w:eastAsia="Times New Roman" w:hAnsi="Times New Roman" w:cs="Times New Roman"/>
          <w:noProof/>
          <w:color w:val="000000"/>
        </w:rPr>
        <w:drawing>
          <wp:inline distT="0" distB="0" distL="0" distR="0">
            <wp:extent cx="5901070" cy="2685415"/>
            <wp:effectExtent l="0" t="0" r="0" b="0"/>
            <wp:docPr id="1423964575" name="Gráfico 1423964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046D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Si analizamos los precios de 2023 con los de 2015 (hace 8 años) vemos que la diferencia se dispara hasta alcanzar el 73%, es decir, se pasa de los 258 euros/mes de agosto de 2015 a los 445 euros/mes de agosto de 2023.</w:t>
      </w:r>
    </w:p>
    <w:p w:rsidR="00E046D7" w:rsidRDefault="00000000">
      <w:pPr>
        <w:pBdr>
          <w:top w:val="nil"/>
          <w:left w:val="nil"/>
          <w:bottom w:val="nil"/>
          <w:right w:val="nil"/>
          <w:between w:val="nil"/>
        </w:pBdr>
        <w:shd w:val="clear" w:color="auto" w:fill="FFFFFF"/>
        <w:spacing w:before="280" w:after="280" w:line="276" w:lineRule="auto"/>
        <w:ind w:right="-291"/>
        <w:jc w:val="both"/>
        <w:rPr>
          <w:rFonts w:ascii="Open Sans" w:eastAsia="Open Sans" w:hAnsi="Open Sans" w:cs="Open Sans"/>
          <w:color w:val="000000"/>
          <w:sz w:val="22"/>
          <w:szCs w:val="22"/>
        </w:rPr>
      </w:pPr>
      <w:r>
        <w:rPr>
          <w:rFonts w:ascii="Open Sans" w:eastAsia="Open Sans" w:hAnsi="Open Sans" w:cs="Open Sans"/>
          <w:color w:val="000000"/>
          <w:sz w:val="22"/>
          <w:szCs w:val="22"/>
        </w:rPr>
        <w:t>“</w:t>
      </w:r>
      <w:r>
        <w:rPr>
          <w:rFonts w:ascii="Open Sans" w:eastAsia="Open Sans" w:hAnsi="Open Sans" w:cs="Open Sans"/>
          <w:sz w:val="22"/>
          <w:szCs w:val="22"/>
        </w:rPr>
        <w:t>El salario medio en España es de 2.100 euros al mes según la Seguridad Social. Si se tiene en cuenta que la recomendación de los organismos de control es no destinar más del 30% del sueldo a pagar la vivienda, la gran mayoría de demandantes no puede permitirse un alquiler de una vivienda entera, ya que ronda los 900 euros. El consistente encarecimiento del precio del alquiler de los últimos años ha llegado a sobrepasar los registros máximos históricos, lo que está obligando a los demandantes a darse por vencidos y a compartir vivienda, como solución habitacional al poder repartir gastos. Es la única vía por la que la mayoría de los jóvenes puede afrontar el pago de un alquiler</w:t>
      </w:r>
      <w:r>
        <w:rPr>
          <w:rFonts w:ascii="Open Sans" w:eastAsia="Open Sans" w:hAnsi="Open Sans" w:cs="Open Sans"/>
          <w:color w:val="000000"/>
          <w:sz w:val="22"/>
          <w:szCs w:val="22"/>
        </w:rPr>
        <w:t>”, explica Mar</w:t>
      </w:r>
      <w:r>
        <w:rPr>
          <w:rFonts w:ascii="Open Sans" w:eastAsia="Open Sans" w:hAnsi="Open Sans" w:cs="Open Sans"/>
          <w:sz w:val="22"/>
          <w:szCs w:val="22"/>
        </w:rPr>
        <w:t>ía Matos</w:t>
      </w:r>
      <w:r>
        <w:rPr>
          <w:rFonts w:ascii="Open Sans" w:eastAsia="Open Sans" w:hAnsi="Open Sans" w:cs="Open Sans"/>
          <w:color w:val="000000"/>
          <w:sz w:val="22"/>
          <w:szCs w:val="22"/>
        </w:rPr>
        <w:t xml:space="preserve"> directora de Estudios </w:t>
      </w:r>
      <w:r>
        <w:rPr>
          <w:rFonts w:ascii="Open Sans" w:eastAsia="Open Sans" w:hAnsi="Open Sans" w:cs="Open Sans"/>
          <w:sz w:val="22"/>
          <w:szCs w:val="22"/>
        </w:rPr>
        <w:t>y portavoz</w:t>
      </w:r>
      <w:r>
        <w:rPr>
          <w:rFonts w:ascii="Open Sans" w:eastAsia="Open Sans" w:hAnsi="Open Sans" w:cs="Open Sans"/>
          <w:color w:val="000000"/>
          <w:sz w:val="22"/>
          <w:szCs w:val="22"/>
        </w:rPr>
        <w:t xml:space="preserve"> </w:t>
      </w:r>
      <w:hyperlink r:id="rId12">
        <w:r>
          <w:rPr>
            <w:rFonts w:ascii="Open Sans" w:eastAsia="Open Sans" w:hAnsi="Open Sans" w:cs="Open Sans"/>
            <w:b/>
            <w:color w:val="0000FF"/>
            <w:sz w:val="22"/>
            <w:szCs w:val="22"/>
            <w:u w:val="single"/>
          </w:rPr>
          <w:t>Fotocasa</w:t>
        </w:r>
      </w:hyperlink>
      <w:r>
        <w:rPr>
          <w:rFonts w:ascii="Open Sans" w:eastAsia="Open Sans" w:hAnsi="Open Sans" w:cs="Open Sans"/>
          <w:color w:val="000000"/>
          <w:sz w:val="22"/>
          <w:szCs w:val="22"/>
        </w:rPr>
        <w:t xml:space="preserve">. </w:t>
      </w:r>
    </w:p>
    <w:p w:rsidR="006D4287" w:rsidRPr="006D4287" w:rsidRDefault="006D4287" w:rsidP="006D4287">
      <w:pPr>
        <w:pBdr>
          <w:top w:val="nil"/>
          <w:left w:val="nil"/>
          <w:bottom w:val="nil"/>
          <w:right w:val="nil"/>
          <w:between w:val="nil"/>
        </w:pBdr>
        <w:shd w:val="clear" w:color="auto" w:fill="FFFFFF"/>
        <w:spacing w:before="280" w:after="280" w:line="276" w:lineRule="auto"/>
        <w:ind w:right="-291"/>
        <w:jc w:val="center"/>
        <w:rPr>
          <w:rFonts w:ascii="Open Sans" w:eastAsia="Open Sans" w:hAnsi="Open Sans" w:cs="Open Sans"/>
          <w:b/>
          <w:bCs/>
          <w:color w:val="000000"/>
          <w:sz w:val="22"/>
          <w:szCs w:val="22"/>
        </w:rPr>
      </w:pPr>
      <w:hyperlink r:id="rId13" w:history="1">
        <w:r w:rsidRPr="006D4287">
          <w:rPr>
            <w:rStyle w:val="Hipervnculo"/>
            <w:rFonts w:ascii="Open Sans" w:eastAsia="Open Sans" w:hAnsi="Open Sans" w:cs="Open Sans"/>
            <w:b/>
            <w:bCs/>
            <w:sz w:val="22"/>
            <w:szCs w:val="22"/>
          </w:rPr>
          <w:t>Declaraciones de María Matos, directora de Estudios de Fotocasa</w:t>
        </w:r>
      </w:hyperlink>
    </w:p>
    <w:p w:rsidR="006D4287" w:rsidRDefault="006D4287">
      <w:pPr>
        <w:pBdr>
          <w:top w:val="nil"/>
          <w:left w:val="nil"/>
          <w:bottom w:val="nil"/>
          <w:right w:val="nil"/>
          <w:between w:val="nil"/>
        </w:pBdr>
        <w:shd w:val="clear" w:color="auto" w:fill="FFFFFF"/>
        <w:spacing w:before="280" w:after="280" w:line="276" w:lineRule="auto"/>
        <w:ind w:right="-291"/>
        <w:jc w:val="both"/>
        <w:rPr>
          <w:rFonts w:ascii="Open Sans" w:eastAsia="Open Sans" w:hAnsi="Open Sans" w:cs="Open Sans"/>
          <w:color w:val="000000"/>
          <w:sz w:val="22"/>
          <w:szCs w:val="22"/>
        </w:rPr>
      </w:pPr>
      <w:r>
        <w:rPr>
          <w:noProof/>
        </w:rPr>
        <w:drawing>
          <wp:inline distT="0" distB="0" distL="0" distR="0" wp14:anchorId="01506A6F" wp14:editId="732E2289">
            <wp:extent cx="5770905" cy="3208020"/>
            <wp:effectExtent l="0" t="0" r="1270" b="0"/>
            <wp:docPr id="296654345" name="Imagen 1" descr="Interfaz de usuario gráfica, Aplicación&#10;&#10;Descripción generada automá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54345" name="Imagen 1" descr="Interfaz de usuario gráfica, Aplicación&#10;&#10;Descripción generada automáticamente">
                      <a:hlinkClick r:id="rId9"/>
                    </pic:cNvPr>
                    <pic:cNvPicPr/>
                  </pic:nvPicPr>
                  <pic:blipFill>
                    <a:blip r:embed="rId14"/>
                    <a:stretch>
                      <a:fillRect/>
                    </a:stretch>
                  </pic:blipFill>
                  <pic:spPr>
                    <a:xfrm>
                      <a:off x="0" y="0"/>
                      <a:ext cx="5776239" cy="3210985"/>
                    </a:xfrm>
                    <a:prstGeom prst="rect">
                      <a:avLst/>
                    </a:prstGeom>
                  </pic:spPr>
                </pic:pic>
              </a:graphicData>
            </a:graphic>
          </wp:inline>
        </w:drawing>
      </w:r>
    </w:p>
    <w:p w:rsidR="006D4287" w:rsidRDefault="006D4287">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p>
    <w:p w:rsidR="006D428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orden de las comunidades autónomas que se han visto afectadas por el incremento del alquiler de las habitaciones en 2023 es: Canarias con 28,6%, País Vasco con 12,2%, Cataluña con 9,6%, </w:t>
      </w:r>
      <w:proofErr w:type="spellStart"/>
      <w:r>
        <w:rPr>
          <w:rFonts w:ascii="Open Sans" w:eastAsia="Open Sans" w:hAnsi="Open Sans" w:cs="Open Sans"/>
          <w:color w:val="000000"/>
          <w:sz w:val="22"/>
          <w:szCs w:val="22"/>
        </w:rPr>
        <w:t>Comunitat</w:t>
      </w:r>
      <w:proofErr w:type="spellEnd"/>
      <w:r>
        <w:rPr>
          <w:rFonts w:ascii="Open Sans" w:eastAsia="Open Sans" w:hAnsi="Open Sans" w:cs="Open Sans"/>
          <w:color w:val="000000"/>
          <w:sz w:val="22"/>
          <w:szCs w:val="22"/>
        </w:rPr>
        <w:t xml:space="preserve"> Valenciana con 8,1%, Madrid con 5,8%, Andalucía con 3,4%, Aragón con 2,0% y Castilla-La Mancha con 0,4%. Por otro lado, en cuatro comunidades el precio interanual desciende y son: Asturias con -3,2%, Región de Murcia con -3,3%, Galicia con -4,7% y Castilla y León con -4,7%.</w:t>
      </w:r>
    </w:p>
    <w:p w:rsidR="00E046D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lastRenderedPageBreak/>
        <w:t xml:space="preserve">En cuanto a los precios, son seis las comunidades con un precio por encima de los 400 euros al mes en agosto de 2023 y son: Cataluña con 565 euros/mes, Madrid con 502 euros/mes, Navarra con 476 euros/mes, Baleares con 474 euros/mes, País Vasco con 464 euros/mes y Canarias con 423 euros/mes. Le siguen con un precio inferior las comunidades de </w:t>
      </w:r>
      <w:proofErr w:type="spellStart"/>
      <w:r>
        <w:rPr>
          <w:rFonts w:ascii="Open Sans" w:eastAsia="Open Sans" w:hAnsi="Open Sans" w:cs="Open Sans"/>
          <w:color w:val="000000"/>
          <w:sz w:val="22"/>
          <w:szCs w:val="22"/>
        </w:rPr>
        <w:t>Comunitat</w:t>
      </w:r>
      <w:proofErr w:type="spellEnd"/>
      <w:r>
        <w:rPr>
          <w:rFonts w:ascii="Open Sans" w:eastAsia="Open Sans" w:hAnsi="Open Sans" w:cs="Open Sans"/>
          <w:color w:val="000000"/>
          <w:sz w:val="22"/>
          <w:szCs w:val="22"/>
        </w:rPr>
        <w:t xml:space="preserve"> Valenciana con 367 euros/mes, Aragón con 352 euros/mes, Andalucía con 332 euros/mes, Región de Murcia con 296 euros/mes, Galicia con 292 euros/mes, Asturias con 288 euros/mes, Castilla y León con 267 euros/mes, Castilla-La Mancha con 249 euros/mes y Extremadura con 226 euros/mes.</w:t>
      </w:r>
    </w:p>
    <w:p w:rsidR="00E046D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Pero si echamos la vista a hace 8 años (2015), vemos que el acumulativo en el incremento del precio de las habitaciones se ha disparado por encima de un 50% en 8 comunidades y son: Navarra con 115,7%, Canarias con 91,6%, Cataluña con 82,6%, </w:t>
      </w:r>
      <w:proofErr w:type="spellStart"/>
      <w:r>
        <w:rPr>
          <w:rFonts w:ascii="Open Sans" w:eastAsia="Open Sans" w:hAnsi="Open Sans" w:cs="Open Sans"/>
          <w:color w:val="000000"/>
          <w:sz w:val="22"/>
          <w:szCs w:val="22"/>
        </w:rPr>
        <w:t>Comunitat</w:t>
      </w:r>
      <w:proofErr w:type="spellEnd"/>
      <w:r>
        <w:rPr>
          <w:rFonts w:ascii="Open Sans" w:eastAsia="Open Sans" w:hAnsi="Open Sans" w:cs="Open Sans"/>
          <w:color w:val="000000"/>
          <w:sz w:val="22"/>
          <w:szCs w:val="22"/>
        </w:rPr>
        <w:t xml:space="preserve"> Valenciana con 78,5%, Galicia con 56,3%, Madrid con 55,0%, Región de Murcia con 51,9% y Andalucía con 50,5%. </w:t>
      </w:r>
    </w:p>
    <w:p w:rsidR="00E046D7" w:rsidRDefault="00000000">
      <w:pPr>
        <w:spacing w:line="276" w:lineRule="auto"/>
        <w:ind w:right="-574"/>
        <w:rPr>
          <w:b/>
          <w:color w:val="303AB2"/>
          <w:sz w:val="30"/>
          <w:szCs w:val="30"/>
        </w:rPr>
      </w:pPr>
      <w:r>
        <w:rPr>
          <w:b/>
          <w:color w:val="303AB2"/>
          <w:sz w:val="30"/>
          <w:szCs w:val="30"/>
        </w:rPr>
        <w:t>Precio por comunidades autónomas</w:t>
      </w:r>
    </w:p>
    <w:p w:rsidR="00E046D7" w:rsidRDefault="00E046D7">
      <w:pPr>
        <w:ind w:left="-1134"/>
        <w:jc w:val="both"/>
        <w:rPr>
          <w:rFonts w:ascii="Open Sans Light" w:eastAsia="Open Sans Light" w:hAnsi="Open Sans Light" w:cs="Open Sans Light"/>
          <w:color w:val="404040"/>
        </w:rPr>
      </w:pPr>
    </w:p>
    <w:tbl>
      <w:tblPr>
        <w:tblStyle w:val="a2"/>
        <w:tblW w:w="890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122"/>
        <w:gridCol w:w="1701"/>
        <w:gridCol w:w="1701"/>
        <w:gridCol w:w="1617"/>
        <w:gridCol w:w="1761"/>
      </w:tblGrid>
      <w:tr w:rsidR="00E046D7" w:rsidTr="00E046D7">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122" w:type="dxa"/>
            <w:vAlign w:val="center"/>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CC.AA.</w:t>
            </w:r>
          </w:p>
        </w:tc>
        <w:tc>
          <w:tcPr>
            <w:tcW w:w="1701" w:type="dxa"/>
            <w:vAlign w:val="center"/>
          </w:tcPr>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agosto 2023</w:t>
            </w:r>
          </w:p>
        </w:tc>
        <w:tc>
          <w:tcPr>
            <w:tcW w:w="1701" w:type="dxa"/>
            <w:vAlign w:val="center"/>
          </w:tcPr>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agosto 2022 (1 año)</w:t>
            </w:r>
          </w:p>
        </w:tc>
        <w:tc>
          <w:tcPr>
            <w:tcW w:w="1617" w:type="dxa"/>
            <w:vAlign w:val="center"/>
          </w:tcPr>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agosto 2018</w:t>
            </w:r>
          </w:p>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(5 años)</w:t>
            </w:r>
          </w:p>
        </w:tc>
        <w:tc>
          <w:tcPr>
            <w:tcW w:w="1761" w:type="dxa"/>
            <w:vAlign w:val="center"/>
          </w:tcPr>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agosto 215</w:t>
            </w:r>
          </w:p>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(8 años)</w:t>
            </w:r>
          </w:p>
        </w:tc>
      </w:tr>
      <w:tr w:rsidR="00E046D7" w:rsidTr="00E046D7">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12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332 €</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321 €</w:t>
            </w:r>
          </w:p>
        </w:tc>
        <w:tc>
          <w:tcPr>
            <w:tcW w:w="16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245 €</w:t>
            </w:r>
          </w:p>
        </w:tc>
        <w:tc>
          <w:tcPr>
            <w:tcW w:w="176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220 €</w:t>
            </w:r>
          </w:p>
        </w:tc>
      </w:tr>
      <w:tr w:rsidR="00E046D7" w:rsidTr="00E046D7">
        <w:trPr>
          <w:trHeight w:val="120"/>
        </w:trPr>
        <w:tc>
          <w:tcPr>
            <w:cnfStyle w:val="001000000000" w:firstRow="0" w:lastRow="0" w:firstColumn="1" w:lastColumn="0" w:oddVBand="0" w:evenVBand="0" w:oddHBand="0" w:evenHBand="0" w:firstRowFirstColumn="0" w:firstRowLastColumn="0" w:lastRowFirstColumn="0" w:lastRowLastColumn="0"/>
            <w:tcW w:w="212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352 €</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345 €</w:t>
            </w:r>
          </w:p>
        </w:tc>
        <w:tc>
          <w:tcPr>
            <w:tcW w:w="16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241 €</w:t>
            </w:r>
          </w:p>
        </w:tc>
        <w:tc>
          <w:tcPr>
            <w:tcW w:w="176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243 €</w:t>
            </w:r>
          </w:p>
        </w:tc>
      </w:tr>
      <w:tr w:rsidR="00E046D7" w:rsidTr="00E046D7">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12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288 €</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297 €</w:t>
            </w:r>
          </w:p>
        </w:tc>
        <w:tc>
          <w:tcPr>
            <w:tcW w:w="16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238 €</w:t>
            </w:r>
          </w:p>
        </w:tc>
        <w:tc>
          <w:tcPr>
            <w:tcW w:w="176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212 €</w:t>
            </w:r>
          </w:p>
        </w:tc>
      </w:tr>
      <w:tr w:rsidR="00E046D7" w:rsidTr="00E046D7">
        <w:trPr>
          <w:trHeight w:val="120"/>
        </w:trPr>
        <w:tc>
          <w:tcPr>
            <w:cnfStyle w:val="001000000000" w:firstRow="0" w:lastRow="0" w:firstColumn="1" w:lastColumn="0" w:oddVBand="0" w:evenVBand="0" w:oddHBand="0" w:evenHBand="0" w:firstRowFirstColumn="0" w:firstRowLastColumn="0" w:lastRowFirstColumn="0" w:lastRowLastColumn="0"/>
            <w:tcW w:w="212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474 €</w:t>
            </w:r>
          </w:p>
        </w:tc>
        <w:tc>
          <w:tcPr>
            <w:tcW w:w="1701" w:type="dxa"/>
            <w:vAlign w:val="bottom"/>
          </w:tcPr>
          <w:p w:rsidR="00E046D7" w:rsidRDefault="00E046D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617" w:type="dxa"/>
            <w:vAlign w:val="bottom"/>
          </w:tcPr>
          <w:p w:rsidR="00E046D7" w:rsidRDefault="00E046D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p>
        </w:tc>
        <w:tc>
          <w:tcPr>
            <w:tcW w:w="1761" w:type="dxa"/>
            <w:vAlign w:val="bottom"/>
          </w:tcPr>
          <w:p w:rsidR="00E046D7" w:rsidRDefault="00E046D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r>
      <w:tr w:rsidR="00E046D7" w:rsidTr="00E046D7">
        <w:trPr>
          <w:cnfStyle w:val="000000100000" w:firstRow="0" w:lastRow="0" w:firstColumn="0" w:lastColumn="0" w:oddVBand="0" w:evenVBand="0" w:oddHBand="1" w:evenHBand="0" w:firstRowFirstColumn="0" w:firstRowLastColumn="0" w:lastRowFirstColumn="0" w:lastRowLastColumn="0"/>
          <w:trHeight w:val="126"/>
        </w:trPr>
        <w:tc>
          <w:tcPr>
            <w:cnfStyle w:val="001000000000" w:firstRow="0" w:lastRow="0" w:firstColumn="1" w:lastColumn="0" w:oddVBand="0" w:evenVBand="0" w:oddHBand="0" w:evenHBand="0" w:firstRowFirstColumn="0" w:firstRowLastColumn="0" w:lastRowFirstColumn="0" w:lastRowLastColumn="0"/>
            <w:tcW w:w="212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423 €</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329 €</w:t>
            </w:r>
          </w:p>
        </w:tc>
        <w:tc>
          <w:tcPr>
            <w:tcW w:w="16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281 €</w:t>
            </w:r>
          </w:p>
        </w:tc>
        <w:tc>
          <w:tcPr>
            <w:tcW w:w="176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221 €</w:t>
            </w:r>
          </w:p>
        </w:tc>
      </w:tr>
      <w:tr w:rsidR="00E046D7" w:rsidTr="00E046D7">
        <w:trPr>
          <w:trHeight w:val="120"/>
        </w:trPr>
        <w:tc>
          <w:tcPr>
            <w:cnfStyle w:val="001000000000" w:firstRow="0" w:lastRow="0" w:firstColumn="1" w:lastColumn="0" w:oddVBand="0" w:evenVBand="0" w:oddHBand="0" w:evenHBand="0" w:firstRowFirstColumn="0" w:firstRowLastColumn="0" w:lastRowFirstColumn="0" w:lastRowLastColumn="0"/>
            <w:tcW w:w="212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267 €</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280 €</w:t>
            </w:r>
          </w:p>
        </w:tc>
        <w:tc>
          <w:tcPr>
            <w:tcW w:w="16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219 €</w:t>
            </w:r>
          </w:p>
        </w:tc>
        <w:tc>
          <w:tcPr>
            <w:tcW w:w="176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208 €</w:t>
            </w:r>
          </w:p>
        </w:tc>
      </w:tr>
      <w:tr w:rsidR="00E046D7" w:rsidTr="00E046D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12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249 €</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248 €</w:t>
            </w:r>
          </w:p>
        </w:tc>
        <w:tc>
          <w:tcPr>
            <w:tcW w:w="16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196 €</w:t>
            </w:r>
          </w:p>
        </w:tc>
        <w:tc>
          <w:tcPr>
            <w:tcW w:w="176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177 €</w:t>
            </w:r>
          </w:p>
        </w:tc>
      </w:tr>
      <w:tr w:rsidR="00E046D7" w:rsidTr="00E046D7">
        <w:trPr>
          <w:trHeight w:val="247"/>
        </w:trPr>
        <w:tc>
          <w:tcPr>
            <w:cnfStyle w:val="001000000000" w:firstRow="0" w:lastRow="0" w:firstColumn="1" w:lastColumn="0" w:oddVBand="0" w:evenVBand="0" w:oddHBand="0" w:evenHBand="0" w:firstRowFirstColumn="0" w:firstRowLastColumn="0" w:lastRowFirstColumn="0" w:lastRowLastColumn="0"/>
            <w:tcW w:w="212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565 €</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516 €</w:t>
            </w:r>
          </w:p>
        </w:tc>
        <w:tc>
          <w:tcPr>
            <w:tcW w:w="16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424 €</w:t>
            </w:r>
          </w:p>
        </w:tc>
        <w:tc>
          <w:tcPr>
            <w:tcW w:w="176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310 €</w:t>
            </w:r>
          </w:p>
        </w:tc>
      </w:tr>
      <w:tr w:rsidR="00E046D7" w:rsidTr="00E046D7">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122" w:type="dxa"/>
            <w:vAlign w:val="bottom"/>
          </w:tcPr>
          <w:p w:rsidR="00E046D7"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367 €</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339 €</w:t>
            </w:r>
          </w:p>
        </w:tc>
        <w:tc>
          <w:tcPr>
            <w:tcW w:w="16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246 €</w:t>
            </w:r>
          </w:p>
        </w:tc>
        <w:tc>
          <w:tcPr>
            <w:tcW w:w="176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205 €</w:t>
            </w:r>
          </w:p>
        </w:tc>
      </w:tr>
      <w:tr w:rsidR="00E046D7" w:rsidTr="00E046D7">
        <w:trPr>
          <w:trHeight w:val="120"/>
        </w:trPr>
        <w:tc>
          <w:tcPr>
            <w:cnfStyle w:val="001000000000" w:firstRow="0" w:lastRow="0" w:firstColumn="1" w:lastColumn="0" w:oddVBand="0" w:evenVBand="0" w:oddHBand="0" w:evenHBand="0" w:firstRowFirstColumn="0" w:firstRowLastColumn="0" w:lastRowFirstColumn="0" w:lastRowLastColumn="0"/>
            <w:tcW w:w="2122" w:type="dxa"/>
            <w:shd w:val="clear" w:color="auto" w:fill="FFC000"/>
            <w:vAlign w:val="bottom"/>
          </w:tcPr>
          <w:p w:rsidR="00E046D7" w:rsidRDefault="00000000">
            <w:pPr>
              <w:rPr>
                <w:rFonts w:ascii="Open Sans" w:eastAsia="Open Sans" w:hAnsi="Open Sans" w:cs="Open Sans"/>
                <w:color w:val="000000"/>
                <w:sz w:val="22"/>
                <w:szCs w:val="22"/>
              </w:rPr>
            </w:pPr>
            <w:r>
              <w:rPr>
                <w:rFonts w:ascii="Open Sans" w:eastAsia="Open Sans" w:hAnsi="Open Sans" w:cs="Open Sans"/>
                <w:color w:val="000000"/>
                <w:sz w:val="22"/>
                <w:szCs w:val="22"/>
              </w:rPr>
              <w:t>España</w:t>
            </w:r>
          </w:p>
        </w:tc>
        <w:tc>
          <w:tcPr>
            <w:tcW w:w="1701" w:type="dxa"/>
            <w:shd w:val="clear" w:color="auto" w:fill="FFC000"/>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445 €</w:t>
            </w:r>
          </w:p>
        </w:tc>
        <w:tc>
          <w:tcPr>
            <w:tcW w:w="1701" w:type="dxa"/>
            <w:shd w:val="clear" w:color="auto" w:fill="FFC000"/>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423 €</w:t>
            </w:r>
          </w:p>
        </w:tc>
        <w:tc>
          <w:tcPr>
            <w:tcW w:w="1617" w:type="dxa"/>
            <w:shd w:val="clear" w:color="auto" w:fill="FFC000"/>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297 €</w:t>
            </w:r>
          </w:p>
        </w:tc>
        <w:tc>
          <w:tcPr>
            <w:tcW w:w="1761" w:type="dxa"/>
            <w:shd w:val="clear" w:color="auto" w:fill="FFC000"/>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color w:val="000000"/>
                <w:sz w:val="22"/>
                <w:szCs w:val="22"/>
              </w:rPr>
              <w:t>258 €</w:t>
            </w:r>
          </w:p>
        </w:tc>
      </w:tr>
      <w:tr w:rsidR="00E046D7" w:rsidTr="00E046D7">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12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226 €</w:t>
            </w:r>
          </w:p>
        </w:tc>
        <w:tc>
          <w:tcPr>
            <w:tcW w:w="1701" w:type="dxa"/>
            <w:vAlign w:val="bottom"/>
          </w:tcPr>
          <w:p w:rsidR="00E046D7" w:rsidRDefault="00E046D7">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p>
        </w:tc>
        <w:tc>
          <w:tcPr>
            <w:tcW w:w="16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174 €</w:t>
            </w:r>
          </w:p>
        </w:tc>
        <w:tc>
          <w:tcPr>
            <w:tcW w:w="176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169 €</w:t>
            </w:r>
          </w:p>
        </w:tc>
      </w:tr>
      <w:tr w:rsidR="00E046D7" w:rsidTr="00E046D7">
        <w:trPr>
          <w:trHeight w:val="126"/>
        </w:trPr>
        <w:tc>
          <w:tcPr>
            <w:cnfStyle w:val="001000000000" w:firstRow="0" w:lastRow="0" w:firstColumn="1" w:lastColumn="0" w:oddVBand="0" w:evenVBand="0" w:oddHBand="0" w:evenHBand="0" w:firstRowFirstColumn="0" w:firstRowLastColumn="0" w:lastRowFirstColumn="0" w:lastRowLastColumn="0"/>
            <w:tcW w:w="212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292 €</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306 €</w:t>
            </w:r>
          </w:p>
        </w:tc>
        <w:tc>
          <w:tcPr>
            <w:tcW w:w="16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194 €</w:t>
            </w:r>
          </w:p>
        </w:tc>
        <w:tc>
          <w:tcPr>
            <w:tcW w:w="176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187 €</w:t>
            </w:r>
          </w:p>
        </w:tc>
      </w:tr>
      <w:tr w:rsidR="00E046D7" w:rsidTr="00E046D7">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12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502 €</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475 €</w:t>
            </w:r>
          </w:p>
        </w:tc>
        <w:tc>
          <w:tcPr>
            <w:tcW w:w="16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394 €</w:t>
            </w:r>
          </w:p>
        </w:tc>
        <w:tc>
          <w:tcPr>
            <w:tcW w:w="176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324 €</w:t>
            </w:r>
          </w:p>
        </w:tc>
      </w:tr>
      <w:tr w:rsidR="00E046D7" w:rsidTr="00E046D7">
        <w:trPr>
          <w:trHeight w:val="120"/>
        </w:trPr>
        <w:tc>
          <w:tcPr>
            <w:cnfStyle w:val="001000000000" w:firstRow="0" w:lastRow="0" w:firstColumn="1" w:lastColumn="0" w:oddVBand="0" w:evenVBand="0" w:oddHBand="0" w:evenHBand="0" w:firstRowFirstColumn="0" w:firstRowLastColumn="0" w:lastRowFirstColumn="0" w:lastRowLastColumn="0"/>
            <w:tcW w:w="212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476 €</w:t>
            </w:r>
          </w:p>
        </w:tc>
        <w:tc>
          <w:tcPr>
            <w:tcW w:w="1701" w:type="dxa"/>
            <w:vAlign w:val="bottom"/>
          </w:tcPr>
          <w:p w:rsidR="00E046D7" w:rsidRDefault="00E046D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p>
        </w:tc>
        <w:tc>
          <w:tcPr>
            <w:tcW w:w="1617" w:type="dxa"/>
            <w:vAlign w:val="bottom"/>
          </w:tcPr>
          <w:p w:rsidR="00E046D7" w:rsidRDefault="00E046D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76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221 €</w:t>
            </w:r>
          </w:p>
        </w:tc>
      </w:tr>
      <w:tr w:rsidR="00E046D7" w:rsidTr="00E046D7">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212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464 €</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414 €</w:t>
            </w:r>
          </w:p>
        </w:tc>
        <w:tc>
          <w:tcPr>
            <w:tcW w:w="16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336 €</w:t>
            </w:r>
          </w:p>
        </w:tc>
        <w:tc>
          <w:tcPr>
            <w:tcW w:w="176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314 €</w:t>
            </w:r>
          </w:p>
        </w:tc>
      </w:tr>
      <w:tr w:rsidR="00E046D7" w:rsidTr="00E046D7">
        <w:trPr>
          <w:trHeight w:val="226"/>
        </w:trPr>
        <w:tc>
          <w:tcPr>
            <w:cnfStyle w:val="001000000000" w:firstRow="0" w:lastRow="0" w:firstColumn="1" w:lastColumn="0" w:oddVBand="0" w:evenVBand="0" w:oddHBand="0" w:evenHBand="0" w:firstRowFirstColumn="0" w:firstRowLastColumn="0" w:lastRowFirstColumn="0" w:lastRowLastColumn="0"/>
            <w:tcW w:w="212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296 €</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306 €</w:t>
            </w:r>
          </w:p>
        </w:tc>
        <w:tc>
          <w:tcPr>
            <w:tcW w:w="16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237 €</w:t>
            </w:r>
          </w:p>
        </w:tc>
        <w:tc>
          <w:tcPr>
            <w:tcW w:w="176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195 €</w:t>
            </w:r>
          </w:p>
        </w:tc>
      </w:tr>
    </w:tbl>
    <w:p w:rsidR="00E046D7" w:rsidRDefault="00E046D7">
      <w:pPr>
        <w:spacing w:line="276" w:lineRule="auto"/>
        <w:ind w:right="-574"/>
        <w:rPr>
          <w:b/>
          <w:color w:val="303AB2"/>
          <w:sz w:val="30"/>
          <w:szCs w:val="30"/>
        </w:rPr>
      </w:pPr>
    </w:p>
    <w:p w:rsidR="00672DC6" w:rsidRDefault="00672DC6">
      <w:pPr>
        <w:spacing w:line="276" w:lineRule="auto"/>
        <w:ind w:right="-574"/>
        <w:rPr>
          <w:b/>
          <w:color w:val="303AB2"/>
          <w:sz w:val="30"/>
          <w:szCs w:val="30"/>
        </w:rPr>
      </w:pPr>
    </w:p>
    <w:p w:rsidR="00672DC6" w:rsidRDefault="00672DC6">
      <w:pPr>
        <w:spacing w:line="276" w:lineRule="auto"/>
        <w:ind w:right="-574"/>
        <w:rPr>
          <w:b/>
          <w:color w:val="303AB2"/>
          <w:sz w:val="30"/>
          <w:szCs w:val="30"/>
        </w:rPr>
      </w:pPr>
    </w:p>
    <w:p w:rsidR="00E046D7" w:rsidRDefault="00000000">
      <w:pPr>
        <w:spacing w:line="276" w:lineRule="auto"/>
        <w:ind w:right="-574"/>
        <w:rPr>
          <w:b/>
          <w:color w:val="303AB2"/>
          <w:sz w:val="30"/>
          <w:szCs w:val="30"/>
        </w:rPr>
      </w:pPr>
      <w:r>
        <w:rPr>
          <w:b/>
          <w:color w:val="303AB2"/>
          <w:sz w:val="30"/>
          <w:szCs w:val="30"/>
        </w:rPr>
        <w:lastRenderedPageBreak/>
        <w:t>Acumulativo por comunidades autónomas</w:t>
      </w:r>
    </w:p>
    <w:p w:rsidR="00E046D7" w:rsidRDefault="00E046D7">
      <w:pPr>
        <w:ind w:left="-1134"/>
        <w:jc w:val="both"/>
        <w:rPr>
          <w:rFonts w:ascii="Open Sans Light" w:eastAsia="Open Sans Light" w:hAnsi="Open Sans Light" w:cs="Open Sans Light"/>
          <w:color w:val="404040"/>
        </w:rPr>
      </w:pPr>
    </w:p>
    <w:tbl>
      <w:tblPr>
        <w:tblStyle w:val="a3"/>
        <w:tblW w:w="8992"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082"/>
        <w:gridCol w:w="1741"/>
        <w:gridCol w:w="1701"/>
        <w:gridCol w:w="1751"/>
        <w:gridCol w:w="1717"/>
      </w:tblGrid>
      <w:tr w:rsidR="00E046D7" w:rsidTr="00E046D7">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2082" w:type="dxa"/>
            <w:vAlign w:val="center"/>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CC.AA.</w:t>
            </w:r>
          </w:p>
        </w:tc>
        <w:tc>
          <w:tcPr>
            <w:tcW w:w="1741" w:type="dxa"/>
            <w:vAlign w:val="center"/>
          </w:tcPr>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Acumulativo</w:t>
            </w:r>
          </w:p>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1 año</w:t>
            </w:r>
          </w:p>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vs 2022)</w:t>
            </w:r>
          </w:p>
        </w:tc>
        <w:tc>
          <w:tcPr>
            <w:tcW w:w="1701" w:type="dxa"/>
            <w:vAlign w:val="center"/>
          </w:tcPr>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Acumulativo</w:t>
            </w:r>
          </w:p>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3 años</w:t>
            </w:r>
          </w:p>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vs 2020)</w:t>
            </w:r>
          </w:p>
        </w:tc>
        <w:tc>
          <w:tcPr>
            <w:tcW w:w="1751" w:type="dxa"/>
          </w:tcPr>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Acumulativo</w:t>
            </w:r>
          </w:p>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5 años</w:t>
            </w:r>
          </w:p>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vs 2018)</w:t>
            </w:r>
          </w:p>
        </w:tc>
        <w:tc>
          <w:tcPr>
            <w:tcW w:w="1717" w:type="dxa"/>
            <w:vAlign w:val="center"/>
          </w:tcPr>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 xml:space="preserve">Acumulativo </w:t>
            </w:r>
          </w:p>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8 años</w:t>
            </w:r>
          </w:p>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vs 2015)</w:t>
            </w:r>
          </w:p>
        </w:tc>
      </w:tr>
      <w:tr w:rsidR="00E046D7" w:rsidTr="00E046D7">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08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Andalucía</w:t>
            </w:r>
          </w:p>
        </w:tc>
        <w:tc>
          <w:tcPr>
            <w:tcW w:w="174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24%</w:t>
            </w:r>
          </w:p>
        </w:tc>
        <w:tc>
          <w:tcPr>
            <w:tcW w:w="175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w:t>
            </w:r>
          </w:p>
        </w:tc>
        <w:tc>
          <w:tcPr>
            <w:tcW w:w="17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50%</w:t>
            </w:r>
          </w:p>
        </w:tc>
      </w:tr>
      <w:tr w:rsidR="00E046D7" w:rsidTr="00E046D7">
        <w:trPr>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Aragón</w:t>
            </w:r>
          </w:p>
        </w:tc>
        <w:tc>
          <w:tcPr>
            <w:tcW w:w="174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32%</w:t>
            </w:r>
          </w:p>
        </w:tc>
        <w:tc>
          <w:tcPr>
            <w:tcW w:w="175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w:t>
            </w:r>
          </w:p>
        </w:tc>
        <w:tc>
          <w:tcPr>
            <w:tcW w:w="17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45%</w:t>
            </w:r>
          </w:p>
        </w:tc>
      </w:tr>
      <w:tr w:rsidR="00E046D7" w:rsidTr="00E046D7">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174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C00000"/>
                <w:sz w:val="22"/>
                <w:szCs w:val="22"/>
              </w:rPr>
              <w:t>-3%</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10%</w:t>
            </w:r>
          </w:p>
        </w:tc>
        <w:tc>
          <w:tcPr>
            <w:tcW w:w="175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21%</w:t>
            </w:r>
          </w:p>
        </w:tc>
        <w:tc>
          <w:tcPr>
            <w:tcW w:w="17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36%</w:t>
            </w:r>
          </w:p>
        </w:tc>
      </w:tr>
      <w:tr w:rsidR="00E046D7" w:rsidTr="00E046D7">
        <w:trPr>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Baleares</w:t>
            </w:r>
          </w:p>
        </w:tc>
        <w:tc>
          <w:tcPr>
            <w:tcW w:w="174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25%</w:t>
            </w:r>
          </w:p>
        </w:tc>
        <w:tc>
          <w:tcPr>
            <w:tcW w:w="1751" w:type="dxa"/>
            <w:vAlign w:val="bottom"/>
          </w:tcPr>
          <w:p w:rsidR="00E046D7" w:rsidRDefault="00E046D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c>
          <w:tcPr>
            <w:tcW w:w="1717" w:type="dxa"/>
            <w:vAlign w:val="bottom"/>
          </w:tcPr>
          <w:p w:rsidR="00E046D7" w:rsidRDefault="00E046D7">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p>
        </w:tc>
      </w:tr>
      <w:tr w:rsidR="00E046D7" w:rsidTr="00E046D7">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208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Canarias</w:t>
            </w:r>
          </w:p>
        </w:tc>
        <w:tc>
          <w:tcPr>
            <w:tcW w:w="174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29%</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49%</w:t>
            </w:r>
          </w:p>
        </w:tc>
        <w:tc>
          <w:tcPr>
            <w:tcW w:w="175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7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92%</w:t>
            </w:r>
          </w:p>
        </w:tc>
      </w:tr>
      <w:tr w:rsidR="00E046D7" w:rsidTr="00E046D7">
        <w:trPr>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Castilla y León</w:t>
            </w:r>
          </w:p>
        </w:tc>
        <w:tc>
          <w:tcPr>
            <w:tcW w:w="174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C00000"/>
                <w:sz w:val="22"/>
                <w:szCs w:val="22"/>
              </w:rPr>
              <w:t>-5%</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21%</w:t>
            </w:r>
          </w:p>
        </w:tc>
        <w:tc>
          <w:tcPr>
            <w:tcW w:w="175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22%</w:t>
            </w:r>
          </w:p>
        </w:tc>
        <w:tc>
          <w:tcPr>
            <w:tcW w:w="17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29%</w:t>
            </w:r>
          </w:p>
        </w:tc>
      </w:tr>
      <w:tr w:rsidR="00E046D7" w:rsidTr="00E046D7">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08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Castilla-La Mancha</w:t>
            </w:r>
          </w:p>
        </w:tc>
        <w:tc>
          <w:tcPr>
            <w:tcW w:w="174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0%</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14%</w:t>
            </w:r>
          </w:p>
        </w:tc>
        <w:tc>
          <w:tcPr>
            <w:tcW w:w="175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w:t>
            </w:r>
          </w:p>
        </w:tc>
        <w:tc>
          <w:tcPr>
            <w:tcW w:w="17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41%</w:t>
            </w:r>
          </w:p>
        </w:tc>
      </w:tr>
      <w:tr w:rsidR="00E046D7" w:rsidTr="00E046D7">
        <w:trPr>
          <w:trHeight w:val="242"/>
        </w:trPr>
        <w:tc>
          <w:tcPr>
            <w:cnfStyle w:val="001000000000" w:firstRow="0" w:lastRow="0" w:firstColumn="1" w:lastColumn="0" w:oddVBand="0" w:evenVBand="0" w:oddHBand="0" w:evenHBand="0" w:firstRowFirstColumn="0" w:firstRowLastColumn="0" w:lastRowFirstColumn="0" w:lastRowLastColumn="0"/>
            <w:tcW w:w="208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Cataluña</w:t>
            </w:r>
          </w:p>
        </w:tc>
        <w:tc>
          <w:tcPr>
            <w:tcW w:w="174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10%</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43%</w:t>
            </w:r>
          </w:p>
        </w:tc>
        <w:tc>
          <w:tcPr>
            <w:tcW w:w="175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w:t>
            </w:r>
          </w:p>
        </w:tc>
        <w:tc>
          <w:tcPr>
            <w:tcW w:w="17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83%</w:t>
            </w:r>
          </w:p>
        </w:tc>
      </w:tr>
      <w:tr w:rsidR="00E046D7" w:rsidTr="00E046D7">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rsidR="00E046D7" w:rsidRDefault="00000000">
            <w:pPr>
              <w:rPr>
                <w:rFonts w:ascii="Open Sans" w:eastAsia="Open Sans" w:hAnsi="Open Sans" w:cs="Open Sans"/>
                <w:sz w:val="22"/>
                <w:szCs w:val="22"/>
              </w:rPr>
            </w:pPr>
            <w:proofErr w:type="spellStart"/>
            <w:r>
              <w:rPr>
                <w:rFonts w:ascii="Open Sans" w:eastAsia="Open Sans" w:hAnsi="Open Sans" w:cs="Open Sans"/>
                <w:b w:val="0"/>
                <w:sz w:val="22"/>
                <w:szCs w:val="22"/>
              </w:rPr>
              <w:t>Comunitat</w:t>
            </w:r>
            <w:proofErr w:type="spellEnd"/>
            <w:r>
              <w:rPr>
                <w:rFonts w:ascii="Open Sans" w:eastAsia="Open Sans" w:hAnsi="Open Sans" w:cs="Open Sans"/>
                <w:b w:val="0"/>
                <w:sz w:val="22"/>
                <w:szCs w:val="22"/>
              </w:rPr>
              <w:t xml:space="preserve"> Valenciana</w:t>
            </w:r>
          </w:p>
        </w:tc>
        <w:tc>
          <w:tcPr>
            <w:tcW w:w="174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8%</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35%</w:t>
            </w:r>
          </w:p>
        </w:tc>
        <w:tc>
          <w:tcPr>
            <w:tcW w:w="175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49%</w:t>
            </w:r>
          </w:p>
        </w:tc>
        <w:tc>
          <w:tcPr>
            <w:tcW w:w="17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78%</w:t>
            </w:r>
          </w:p>
        </w:tc>
      </w:tr>
      <w:tr w:rsidR="00E046D7" w:rsidTr="00E046D7">
        <w:trPr>
          <w:trHeight w:val="117"/>
        </w:trPr>
        <w:tc>
          <w:tcPr>
            <w:cnfStyle w:val="001000000000" w:firstRow="0" w:lastRow="0" w:firstColumn="1" w:lastColumn="0" w:oddVBand="0" w:evenVBand="0" w:oddHBand="0" w:evenHBand="0" w:firstRowFirstColumn="0" w:firstRowLastColumn="0" w:lastRowFirstColumn="0" w:lastRowLastColumn="0"/>
            <w:tcW w:w="2082" w:type="dxa"/>
            <w:shd w:val="clear" w:color="auto" w:fill="FFC000"/>
            <w:vAlign w:val="bottom"/>
          </w:tcPr>
          <w:p w:rsidR="00E046D7" w:rsidRDefault="00000000">
            <w:pPr>
              <w:rPr>
                <w:rFonts w:ascii="Open Sans" w:eastAsia="Open Sans" w:hAnsi="Open Sans" w:cs="Open Sans"/>
                <w:color w:val="000000"/>
                <w:sz w:val="22"/>
                <w:szCs w:val="22"/>
              </w:rPr>
            </w:pPr>
            <w:r>
              <w:rPr>
                <w:rFonts w:ascii="Open Sans" w:eastAsia="Open Sans" w:hAnsi="Open Sans" w:cs="Open Sans"/>
                <w:color w:val="000000"/>
                <w:sz w:val="22"/>
                <w:szCs w:val="22"/>
              </w:rPr>
              <w:t>España</w:t>
            </w:r>
          </w:p>
        </w:tc>
        <w:tc>
          <w:tcPr>
            <w:tcW w:w="1741" w:type="dxa"/>
            <w:shd w:val="clear" w:color="auto" w:fill="FFC000"/>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w:t>
            </w:r>
          </w:p>
        </w:tc>
        <w:tc>
          <w:tcPr>
            <w:tcW w:w="1701" w:type="dxa"/>
            <w:shd w:val="clear" w:color="auto" w:fill="FFC000"/>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40%</w:t>
            </w:r>
          </w:p>
        </w:tc>
        <w:tc>
          <w:tcPr>
            <w:tcW w:w="1751" w:type="dxa"/>
            <w:shd w:val="clear" w:color="auto" w:fill="FFC000"/>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50%</w:t>
            </w:r>
          </w:p>
        </w:tc>
        <w:tc>
          <w:tcPr>
            <w:tcW w:w="1717" w:type="dxa"/>
            <w:shd w:val="clear" w:color="auto" w:fill="FFC000"/>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sz w:val="22"/>
                <w:szCs w:val="22"/>
              </w:rPr>
            </w:pPr>
            <w:r>
              <w:rPr>
                <w:rFonts w:ascii="Open Sans" w:eastAsia="Open Sans" w:hAnsi="Open Sans" w:cs="Open Sans"/>
                <w:b/>
                <w:sz w:val="22"/>
                <w:szCs w:val="22"/>
              </w:rPr>
              <w:t>73%</w:t>
            </w:r>
          </w:p>
        </w:tc>
      </w:tr>
      <w:tr w:rsidR="00E046D7" w:rsidTr="00E046D7">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Extremadura</w:t>
            </w:r>
          </w:p>
        </w:tc>
        <w:tc>
          <w:tcPr>
            <w:tcW w:w="174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29%</w:t>
            </w:r>
          </w:p>
        </w:tc>
        <w:tc>
          <w:tcPr>
            <w:tcW w:w="175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30%</w:t>
            </w:r>
          </w:p>
        </w:tc>
        <w:tc>
          <w:tcPr>
            <w:tcW w:w="17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34%</w:t>
            </w:r>
          </w:p>
        </w:tc>
      </w:tr>
      <w:tr w:rsidR="00E046D7" w:rsidTr="00E046D7">
        <w:trPr>
          <w:trHeight w:val="123"/>
        </w:trPr>
        <w:tc>
          <w:tcPr>
            <w:cnfStyle w:val="001000000000" w:firstRow="0" w:lastRow="0" w:firstColumn="1" w:lastColumn="0" w:oddVBand="0" w:evenVBand="0" w:oddHBand="0" w:evenHBand="0" w:firstRowFirstColumn="0" w:firstRowLastColumn="0" w:lastRowFirstColumn="0" w:lastRowLastColumn="0"/>
            <w:tcW w:w="208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Galicia</w:t>
            </w:r>
          </w:p>
        </w:tc>
        <w:tc>
          <w:tcPr>
            <w:tcW w:w="174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C00000"/>
                <w:sz w:val="22"/>
                <w:szCs w:val="22"/>
              </w:rPr>
              <w:t>-5%</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29%</w:t>
            </w:r>
          </w:p>
        </w:tc>
        <w:tc>
          <w:tcPr>
            <w:tcW w:w="175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51%</w:t>
            </w:r>
          </w:p>
        </w:tc>
        <w:tc>
          <w:tcPr>
            <w:tcW w:w="17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56%</w:t>
            </w:r>
          </w:p>
        </w:tc>
      </w:tr>
      <w:tr w:rsidR="00E046D7" w:rsidTr="00E046D7">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174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6%</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32%</w:t>
            </w:r>
          </w:p>
        </w:tc>
        <w:tc>
          <w:tcPr>
            <w:tcW w:w="175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w:t>
            </w:r>
          </w:p>
        </w:tc>
        <w:tc>
          <w:tcPr>
            <w:tcW w:w="17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55%</w:t>
            </w:r>
          </w:p>
        </w:tc>
      </w:tr>
      <w:tr w:rsidR="00E046D7" w:rsidTr="00E046D7">
        <w:trPr>
          <w:trHeight w:val="117"/>
        </w:trPr>
        <w:tc>
          <w:tcPr>
            <w:cnfStyle w:val="001000000000" w:firstRow="0" w:lastRow="0" w:firstColumn="1" w:lastColumn="0" w:oddVBand="0" w:evenVBand="0" w:oddHBand="0" w:evenHBand="0" w:firstRowFirstColumn="0" w:firstRowLastColumn="0" w:lastRowFirstColumn="0" w:lastRowLastColumn="0"/>
            <w:tcW w:w="208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174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b/>
                <w:color w:val="000000"/>
                <w:sz w:val="22"/>
                <w:szCs w:val="22"/>
              </w:rPr>
              <w:t>-</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5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sz w:val="22"/>
                <w:szCs w:val="22"/>
              </w:rPr>
              <w:t>-</w:t>
            </w:r>
          </w:p>
        </w:tc>
        <w:tc>
          <w:tcPr>
            <w:tcW w:w="17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116%</w:t>
            </w:r>
          </w:p>
        </w:tc>
      </w:tr>
      <w:tr w:rsidR="00E046D7" w:rsidTr="00E046D7">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208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País Vasco</w:t>
            </w:r>
          </w:p>
        </w:tc>
        <w:tc>
          <w:tcPr>
            <w:tcW w:w="174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12%</w:t>
            </w:r>
          </w:p>
        </w:tc>
        <w:tc>
          <w:tcPr>
            <w:tcW w:w="170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33%</w:t>
            </w:r>
          </w:p>
        </w:tc>
        <w:tc>
          <w:tcPr>
            <w:tcW w:w="1751"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w:t>
            </w:r>
          </w:p>
        </w:tc>
        <w:tc>
          <w:tcPr>
            <w:tcW w:w="17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48%</w:t>
            </w:r>
          </w:p>
        </w:tc>
      </w:tr>
      <w:tr w:rsidR="00E046D7" w:rsidTr="00E046D7">
        <w:trPr>
          <w:trHeight w:val="221"/>
        </w:trPr>
        <w:tc>
          <w:tcPr>
            <w:cnfStyle w:val="001000000000" w:firstRow="0" w:lastRow="0" w:firstColumn="1" w:lastColumn="0" w:oddVBand="0" w:evenVBand="0" w:oddHBand="0" w:evenHBand="0" w:firstRowFirstColumn="0" w:firstRowLastColumn="0" w:lastRowFirstColumn="0" w:lastRowLastColumn="0"/>
            <w:tcW w:w="2082"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Región de Murcia</w:t>
            </w:r>
          </w:p>
        </w:tc>
        <w:tc>
          <w:tcPr>
            <w:tcW w:w="174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b/>
                <w:color w:val="000000"/>
                <w:sz w:val="22"/>
                <w:szCs w:val="22"/>
              </w:rPr>
            </w:pPr>
            <w:r>
              <w:rPr>
                <w:rFonts w:ascii="Open Sans" w:eastAsia="Open Sans" w:hAnsi="Open Sans" w:cs="Open Sans"/>
                <w:color w:val="000000"/>
                <w:sz w:val="22"/>
                <w:szCs w:val="22"/>
              </w:rPr>
              <w:t>-3%</w:t>
            </w:r>
          </w:p>
        </w:tc>
        <w:tc>
          <w:tcPr>
            <w:tcW w:w="170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w:t>
            </w:r>
          </w:p>
        </w:tc>
        <w:tc>
          <w:tcPr>
            <w:tcW w:w="1751"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25%</w:t>
            </w:r>
          </w:p>
        </w:tc>
        <w:tc>
          <w:tcPr>
            <w:tcW w:w="17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w:t>
            </w:r>
          </w:p>
        </w:tc>
      </w:tr>
    </w:tbl>
    <w:p w:rsidR="00E046D7" w:rsidRDefault="00000000">
      <w:pPr>
        <w:pBdr>
          <w:top w:val="nil"/>
          <w:left w:val="nil"/>
          <w:bottom w:val="nil"/>
          <w:right w:val="nil"/>
          <w:between w:val="nil"/>
        </w:pBdr>
        <w:shd w:val="clear" w:color="auto" w:fill="FFFFFF"/>
        <w:spacing w:before="280" w:after="280" w:line="276" w:lineRule="auto"/>
        <w:ind w:right="-574"/>
        <w:jc w:val="center"/>
        <w:rPr>
          <w:b/>
          <w:color w:val="303AB2"/>
          <w:sz w:val="30"/>
          <w:szCs w:val="30"/>
        </w:rPr>
      </w:pPr>
      <w:r>
        <w:rPr>
          <w:b/>
          <w:color w:val="303AB2"/>
          <w:sz w:val="30"/>
          <w:szCs w:val="30"/>
        </w:rPr>
        <w:t>Precio medio de la vivienda compartida por CC.AA. de agosto 2023</w:t>
      </w:r>
    </w:p>
    <w:p w:rsidR="00E046D7" w:rsidRDefault="00000000">
      <w:pPr>
        <w:pBdr>
          <w:top w:val="nil"/>
          <w:left w:val="nil"/>
          <w:bottom w:val="nil"/>
          <w:right w:val="nil"/>
          <w:between w:val="nil"/>
        </w:pBdr>
        <w:shd w:val="clear" w:color="auto" w:fill="FFFFFF"/>
        <w:spacing w:before="280" w:after="280" w:line="276" w:lineRule="auto"/>
        <w:ind w:right="-574"/>
        <w:jc w:val="center"/>
        <w:rPr>
          <w:rFonts w:ascii="Open Sans" w:eastAsia="Open Sans" w:hAnsi="Open Sans" w:cs="Open Sans"/>
          <w:b/>
          <w:color w:val="000000"/>
        </w:rPr>
      </w:pPr>
      <w:r>
        <w:rPr>
          <w:rFonts w:ascii="Times New Roman" w:eastAsia="Times New Roman" w:hAnsi="Times New Roman" w:cs="Times New Roman"/>
          <w:noProof/>
          <w:color w:val="000000"/>
        </w:rPr>
        <w:drawing>
          <wp:inline distT="0" distB="0" distL="0" distR="0">
            <wp:extent cx="5975468" cy="3310890"/>
            <wp:effectExtent l="0" t="0" r="0" b="0"/>
            <wp:docPr id="1423964574" name="Gráfico 1423964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46D7" w:rsidRDefault="00000000">
      <w:pPr>
        <w:spacing w:line="276" w:lineRule="auto"/>
        <w:ind w:right="-574"/>
        <w:rPr>
          <w:b/>
          <w:color w:val="303AB2"/>
          <w:sz w:val="30"/>
          <w:szCs w:val="30"/>
        </w:rPr>
      </w:pPr>
      <w:r>
        <w:rPr>
          <w:b/>
          <w:color w:val="303AB2"/>
          <w:sz w:val="30"/>
          <w:szCs w:val="30"/>
        </w:rPr>
        <w:lastRenderedPageBreak/>
        <w:t>Por ciudades</w:t>
      </w:r>
    </w:p>
    <w:p w:rsidR="00E046D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En 13 de las 15 de las ciudades analizadas el precio mensual de las habitaciones ha aumentado respecto al año anterior y son: Bilbao con 20,7%, L'Hospitalet de Llobregat con 20,5%, Burjassot con 17,4%, Barcelona capital con 10,3%, Alcalá de Henares con 9,6%, Valencia capital con 9,6%, Villaviciosa de Odón con 8,9%, Granada capital con 8,6%, Sevilla capital con 6,4%, Madrid capital con 5,8%, Oviedo con 3,1%, Getafe con 2,4% y Córdoba capital con 0,7%. Por otro lado, las dos únicas ciudades estudiadas en el que el precio de las habitaciones ha descendido respecto al año anterior son</w:t>
      </w:r>
      <w:r>
        <w:rPr>
          <w:rFonts w:ascii="Times New Roman" w:eastAsia="Times New Roman" w:hAnsi="Times New Roman" w:cs="Times New Roman"/>
          <w:color w:val="000000"/>
        </w:rPr>
        <w:t xml:space="preserve"> </w:t>
      </w:r>
      <w:r>
        <w:rPr>
          <w:rFonts w:ascii="Open Sans" w:eastAsia="Open Sans" w:hAnsi="Open Sans" w:cs="Open Sans"/>
          <w:color w:val="000000"/>
          <w:sz w:val="22"/>
          <w:szCs w:val="22"/>
        </w:rPr>
        <w:t>Zaragoza capital (-0,8%) y Salamanca capital (-11,1%).</w:t>
      </w:r>
    </w:p>
    <w:p w:rsidR="00E046D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El estudio de </w:t>
      </w:r>
      <w:hyperlink r:id="rId16">
        <w:r>
          <w:rPr>
            <w:rFonts w:ascii="Open Sans" w:eastAsia="Open Sans" w:hAnsi="Open Sans" w:cs="Open Sans"/>
            <w:color w:val="0000FF"/>
            <w:sz w:val="22"/>
            <w:szCs w:val="22"/>
            <w:u w:val="single"/>
          </w:rPr>
          <w:t>Fotocasa</w:t>
        </w:r>
      </w:hyperlink>
      <w:r>
        <w:rPr>
          <w:rFonts w:ascii="Open Sans" w:eastAsia="Open Sans" w:hAnsi="Open Sans" w:cs="Open Sans"/>
          <w:color w:val="000000"/>
          <w:sz w:val="22"/>
          <w:szCs w:val="22"/>
        </w:rPr>
        <w:t xml:space="preserve"> analiza también el precio de los principales municipios españoles. La ciudad más cara para compartir una vivienda es Barcelona capital con 590 euros al mes. El resto de las ciudades analizadas por encima de los 400 euros al mes son: Bilbao con 536 euros/mes, L'Hospitalet de Llobregat con 534 euros/mes, Madrid capital con 522 euros/mes, Pamplona / Iruña con 504 euros/mes, Málaga capital con 463 euros/mes, Villaviciosa de Odón con 450 euros/mes y Getafe con 446 euros/mes.</w:t>
      </w:r>
    </w:p>
    <w:p w:rsidR="00E046D7" w:rsidRDefault="00000000">
      <w:pPr>
        <w:pBdr>
          <w:top w:val="nil"/>
          <w:left w:val="nil"/>
          <w:bottom w:val="nil"/>
          <w:right w:val="nil"/>
          <w:between w:val="nil"/>
        </w:pBdr>
        <w:shd w:val="clear" w:color="auto" w:fill="FFFFFF"/>
        <w:spacing w:before="280" w:after="280" w:line="276" w:lineRule="auto"/>
        <w:ind w:right="-574"/>
        <w:jc w:val="both"/>
        <w:rPr>
          <w:rFonts w:ascii="Open Sans" w:eastAsia="Open Sans" w:hAnsi="Open Sans" w:cs="Open Sans"/>
          <w:color w:val="000000"/>
          <w:sz w:val="22"/>
          <w:szCs w:val="22"/>
        </w:rPr>
      </w:pPr>
      <w:r>
        <w:rPr>
          <w:rFonts w:ascii="Open Sans" w:eastAsia="Open Sans" w:hAnsi="Open Sans" w:cs="Open Sans"/>
          <w:color w:val="000000"/>
          <w:sz w:val="22"/>
          <w:szCs w:val="22"/>
        </w:rPr>
        <w:t>Por otro lado, el precio del resto de las ciudades más económicas para alquilar una habitación es Alcoy / Alcoi con 206 euros/mes, Jaén capital con 240 euros/mes, Elche / Elx con 249 euros/mes, Castellón de la Plana / Castelló de la Plana con 261 euros/mes, Salamanca capital con 263 euros/mes, Valladolid capital con 275 euros/mes, Oviedo con 283 euros/mes, Córdoba capital con 289 euros/mes, Murcia capital con 305 euros/mes, Granada capital con 332 euros/mes, Alcalá de Henares con 332 euros/mes, Burjassot con 354 euros/mes, Zaragoza capital con 362 euros/mes, Alicante / Alacant con 377 euros/mes, Sevilla capital con 381 euros/mes y Valencia capital con 383 euros/mes.</w:t>
      </w:r>
    </w:p>
    <w:p w:rsidR="00E046D7" w:rsidRDefault="00000000">
      <w:pPr>
        <w:spacing w:line="276" w:lineRule="auto"/>
        <w:ind w:right="-574"/>
        <w:rPr>
          <w:b/>
          <w:color w:val="303AB2"/>
          <w:sz w:val="30"/>
          <w:szCs w:val="30"/>
        </w:rPr>
      </w:pPr>
      <w:r>
        <w:rPr>
          <w:b/>
          <w:color w:val="303AB2"/>
          <w:sz w:val="30"/>
          <w:szCs w:val="30"/>
        </w:rPr>
        <w:t xml:space="preserve">Precio medio de la vivienda compartida por municipios  </w:t>
      </w:r>
    </w:p>
    <w:p w:rsidR="00E046D7" w:rsidRDefault="00E046D7">
      <w:pPr>
        <w:spacing w:line="276" w:lineRule="auto"/>
        <w:ind w:right="-574"/>
        <w:rPr>
          <w:color w:val="303AB2"/>
          <w:sz w:val="30"/>
          <w:szCs w:val="30"/>
        </w:rPr>
      </w:pPr>
    </w:p>
    <w:tbl>
      <w:tblPr>
        <w:tblStyle w:val="a4"/>
        <w:tblW w:w="8931"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8"/>
        <w:gridCol w:w="2977"/>
        <w:gridCol w:w="1417"/>
        <w:gridCol w:w="1629"/>
        <w:gridCol w:w="1490"/>
      </w:tblGrid>
      <w:tr w:rsidR="00E046D7" w:rsidTr="00E046D7">
        <w:trPr>
          <w:cnfStyle w:val="100000000000" w:firstRow="1" w:lastRow="0" w:firstColumn="0" w:lastColumn="0" w:oddVBand="0" w:evenVBand="0" w:oddHBand="0" w:evenHBand="0" w:firstRowFirstColumn="0" w:firstRowLastColumn="0" w:lastRowFirstColumn="0" w:lastRowLastColumn="0"/>
          <w:trHeight w:val="473"/>
        </w:trPr>
        <w:tc>
          <w:tcPr>
            <w:cnfStyle w:val="001000000000" w:firstRow="0" w:lastRow="0" w:firstColumn="1" w:lastColumn="0" w:oddVBand="0" w:evenVBand="0" w:oddHBand="0" w:evenHBand="0" w:firstRowFirstColumn="0" w:firstRowLastColumn="0" w:lastRowFirstColumn="0" w:lastRowLastColumn="0"/>
            <w:tcW w:w="1418" w:type="dxa"/>
            <w:vAlign w:val="center"/>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Provincia</w:t>
            </w:r>
          </w:p>
        </w:tc>
        <w:tc>
          <w:tcPr>
            <w:tcW w:w="2977" w:type="dxa"/>
            <w:vAlign w:val="center"/>
          </w:tcPr>
          <w:p w:rsidR="00E046D7" w:rsidRDefault="00000000">
            <w:pP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Municipio</w:t>
            </w:r>
          </w:p>
        </w:tc>
        <w:tc>
          <w:tcPr>
            <w:tcW w:w="1417" w:type="dxa"/>
            <w:vAlign w:val="center"/>
          </w:tcPr>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€/mes habitación agosto 2023</w:t>
            </w:r>
          </w:p>
        </w:tc>
        <w:tc>
          <w:tcPr>
            <w:tcW w:w="1629" w:type="dxa"/>
            <w:vAlign w:val="center"/>
          </w:tcPr>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Acumulativo</w:t>
            </w:r>
          </w:p>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1 año</w:t>
            </w:r>
          </w:p>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vs 2022)</w:t>
            </w:r>
          </w:p>
        </w:tc>
        <w:tc>
          <w:tcPr>
            <w:tcW w:w="1490" w:type="dxa"/>
            <w:vAlign w:val="center"/>
          </w:tcPr>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Acumulativo</w:t>
            </w:r>
          </w:p>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3 años</w:t>
            </w:r>
          </w:p>
          <w:p w:rsidR="00E046D7" w:rsidRDefault="00000000">
            <w:pPr>
              <w:jc w:val="center"/>
              <w:cnfStyle w:val="100000000000" w:firstRow="1"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b w:val="0"/>
                <w:sz w:val="22"/>
                <w:szCs w:val="22"/>
              </w:rPr>
              <w:t>(2023 vs 2020)</w:t>
            </w:r>
          </w:p>
        </w:tc>
      </w:tr>
      <w:tr w:rsidR="00E046D7" w:rsidTr="00E046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Bizkaia</w:t>
            </w:r>
          </w:p>
        </w:tc>
        <w:tc>
          <w:tcPr>
            <w:tcW w:w="2977" w:type="dxa"/>
            <w:vAlign w:val="bottom"/>
          </w:tcPr>
          <w:p w:rsidR="00E046D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Bilbao</w:t>
            </w:r>
          </w:p>
        </w:tc>
        <w:tc>
          <w:tcPr>
            <w:tcW w:w="14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536 €</w:t>
            </w:r>
          </w:p>
        </w:tc>
        <w:tc>
          <w:tcPr>
            <w:tcW w:w="1629"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20,7%</w:t>
            </w:r>
          </w:p>
        </w:tc>
        <w:tc>
          <w:tcPr>
            <w:tcW w:w="1490"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44,9%</w:t>
            </w:r>
          </w:p>
        </w:tc>
      </w:tr>
      <w:tr w:rsidR="00E046D7" w:rsidTr="00E046D7">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977" w:type="dxa"/>
            <w:vAlign w:val="bottom"/>
          </w:tcPr>
          <w:p w:rsidR="00E046D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L'Hospitalet de Llobregat</w:t>
            </w:r>
          </w:p>
        </w:tc>
        <w:tc>
          <w:tcPr>
            <w:tcW w:w="14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534 €</w:t>
            </w:r>
          </w:p>
        </w:tc>
        <w:tc>
          <w:tcPr>
            <w:tcW w:w="1629"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20,5%</w:t>
            </w:r>
          </w:p>
        </w:tc>
        <w:tc>
          <w:tcPr>
            <w:tcW w:w="1490" w:type="dxa"/>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E046D7" w:rsidTr="00E046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977" w:type="dxa"/>
            <w:vAlign w:val="bottom"/>
          </w:tcPr>
          <w:p w:rsidR="00E046D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Burjassot</w:t>
            </w:r>
          </w:p>
        </w:tc>
        <w:tc>
          <w:tcPr>
            <w:tcW w:w="14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354 €</w:t>
            </w:r>
          </w:p>
        </w:tc>
        <w:tc>
          <w:tcPr>
            <w:tcW w:w="1629"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17,4%</w:t>
            </w:r>
          </w:p>
        </w:tc>
        <w:tc>
          <w:tcPr>
            <w:tcW w:w="1490" w:type="dxa"/>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E046D7" w:rsidTr="00E046D7">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Barcelona</w:t>
            </w:r>
          </w:p>
        </w:tc>
        <w:tc>
          <w:tcPr>
            <w:tcW w:w="2977" w:type="dxa"/>
            <w:vAlign w:val="bottom"/>
          </w:tcPr>
          <w:p w:rsidR="00E046D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Barcelona capital</w:t>
            </w:r>
          </w:p>
        </w:tc>
        <w:tc>
          <w:tcPr>
            <w:tcW w:w="14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590 €</w:t>
            </w:r>
          </w:p>
        </w:tc>
        <w:tc>
          <w:tcPr>
            <w:tcW w:w="1629"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10,3%</w:t>
            </w:r>
          </w:p>
        </w:tc>
        <w:tc>
          <w:tcPr>
            <w:tcW w:w="1490"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42,0%</w:t>
            </w:r>
          </w:p>
        </w:tc>
      </w:tr>
      <w:tr w:rsidR="00E046D7" w:rsidTr="00E046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977" w:type="dxa"/>
            <w:vAlign w:val="bottom"/>
          </w:tcPr>
          <w:p w:rsidR="00E046D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Alcalá de Henares</w:t>
            </w:r>
          </w:p>
        </w:tc>
        <w:tc>
          <w:tcPr>
            <w:tcW w:w="14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332 €</w:t>
            </w:r>
          </w:p>
        </w:tc>
        <w:tc>
          <w:tcPr>
            <w:tcW w:w="1629"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c>
          <w:tcPr>
            <w:tcW w:w="1490"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10,7%</w:t>
            </w:r>
          </w:p>
        </w:tc>
      </w:tr>
      <w:tr w:rsidR="00E046D7" w:rsidTr="00E046D7">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Valencia</w:t>
            </w:r>
          </w:p>
        </w:tc>
        <w:tc>
          <w:tcPr>
            <w:tcW w:w="2977" w:type="dxa"/>
            <w:vAlign w:val="bottom"/>
          </w:tcPr>
          <w:p w:rsidR="00E046D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Valencia capital</w:t>
            </w:r>
          </w:p>
        </w:tc>
        <w:tc>
          <w:tcPr>
            <w:tcW w:w="14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383 €</w:t>
            </w:r>
          </w:p>
        </w:tc>
        <w:tc>
          <w:tcPr>
            <w:tcW w:w="1629"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9,6%</w:t>
            </w:r>
          </w:p>
        </w:tc>
        <w:tc>
          <w:tcPr>
            <w:tcW w:w="1490"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31,3%</w:t>
            </w:r>
          </w:p>
        </w:tc>
      </w:tr>
      <w:tr w:rsidR="00E046D7" w:rsidTr="00E046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977" w:type="dxa"/>
            <w:vAlign w:val="bottom"/>
          </w:tcPr>
          <w:p w:rsidR="00E046D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Villaviciosa de Odón</w:t>
            </w:r>
          </w:p>
        </w:tc>
        <w:tc>
          <w:tcPr>
            <w:tcW w:w="14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450 €</w:t>
            </w:r>
          </w:p>
        </w:tc>
        <w:tc>
          <w:tcPr>
            <w:tcW w:w="1629"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8,9%</w:t>
            </w:r>
          </w:p>
        </w:tc>
        <w:tc>
          <w:tcPr>
            <w:tcW w:w="1490"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r w:rsidR="00E046D7" w:rsidTr="00E046D7">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Granada</w:t>
            </w:r>
          </w:p>
        </w:tc>
        <w:tc>
          <w:tcPr>
            <w:tcW w:w="2977" w:type="dxa"/>
            <w:vAlign w:val="bottom"/>
          </w:tcPr>
          <w:p w:rsidR="00E046D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Granada capital</w:t>
            </w:r>
          </w:p>
        </w:tc>
        <w:tc>
          <w:tcPr>
            <w:tcW w:w="14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332 €</w:t>
            </w:r>
          </w:p>
        </w:tc>
        <w:tc>
          <w:tcPr>
            <w:tcW w:w="1629"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8,6%</w:t>
            </w:r>
          </w:p>
        </w:tc>
        <w:tc>
          <w:tcPr>
            <w:tcW w:w="1490"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37,2%</w:t>
            </w:r>
          </w:p>
        </w:tc>
      </w:tr>
      <w:tr w:rsidR="00E046D7" w:rsidTr="00E046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lastRenderedPageBreak/>
              <w:t>Sevilla</w:t>
            </w:r>
          </w:p>
        </w:tc>
        <w:tc>
          <w:tcPr>
            <w:tcW w:w="2977" w:type="dxa"/>
            <w:vAlign w:val="bottom"/>
          </w:tcPr>
          <w:p w:rsidR="00E046D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Sevilla capital</w:t>
            </w:r>
          </w:p>
        </w:tc>
        <w:tc>
          <w:tcPr>
            <w:tcW w:w="14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381 €</w:t>
            </w:r>
          </w:p>
        </w:tc>
        <w:tc>
          <w:tcPr>
            <w:tcW w:w="1629"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6,4%</w:t>
            </w:r>
          </w:p>
        </w:tc>
        <w:tc>
          <w:tcPr>
            <w:tcW w:w="1490"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27,7%</w:t>
            </w:r>
          </w:p>
        </w:tc>
      </w:tr>
      <w:tr w:rsidR="00E046D7" w:rsidTr="00E046D7">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977" w:type="dxa"/>
            <w:vAlign w:val="bottom"/>
          </w:tcPr>
          <w:p w:rsidR="00E046D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Madrid capital</w:t>
            </w:r>
          </w:p>
        </w:tc>
        <w:tc>
          <w:tcPr>
            <w:tcW w:w="14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522 €</w:t>
            </w:r>
          </w:p>
        </w:tc>
        <w:tc>
          <w:tcPr>
            <w:tcW w:w="1629"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5,8%</w:t>
            </w:r>
          </w:p>
        </w:tc>
        <w:tc>
          <w:tcPr>
            <w:tcW w:w="1490"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32,0%</w:t>
            </w:r>
          </w:p>
        </w:tc>
      </w:tr>
      <w:tr w:rsidR="00E046D7" w:rsidTr="00E046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Asturias</w:t>
            </w:r>
          </w:p>
        </w:tc>
        <w:tc>
          <w:tcPr>
            <w:tcW w:w="2977" w:type="dxa"/>
            <w:vAlign w:val="bottom"/>
          </w:tcPr>
          <w:p w:rsidR="00E046D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Oviedo</w:t>
            </w:r>
          </w:p>
        </w:tc>
        <w:tc>
          <w:tcPr>
            <w:tcW w:w="14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283 €</w:t>
            </w:r>
          </w:p>
        </w:tc>
        <w:tc>
          <w:tcPr>
            <w:tcW w:w="1629"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3,1%</w:t>
            </w:r>
          </w:p>
        </w:tc>
        <w:tc>
          <w:tcPr>
            <w:tcW w:w="1490"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000000"/>
                <w:sz w:val="22"/>
                <w:szCs w:val="22"/>
              </w:rPr>
              <w:t>9,7%</w:t>
            </w:r>
          </w:p>
        </w:tc>
      </w:tr>
      <w:tr w:rsidR="00E046D7" w:rsidTr="00E046D7">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Madrid</w:t>
            </w:r>
          </w:p>
        </w:tc>
        <w:tc>
          <w:tcPr>
            <w:tcW w:w="2977" w:type="dxa"/>
            <w:vAlign w:val="bottom"/>
          </w:tcPr>
          <w:p w:rsidR="00E046D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Getafe</w:t>
            </w:r>
          </w:p>
        </w:tc>
        <w:tc>
          <w:tcPr>
            <w:tcW w:w="14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446 €</w:t>
            </w:r>
          </w:p>
        </w:tc>
        <w:tc>
          <w:tcPr>
            <w:tcW w:w="1629"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w:t>
            </w:r>
          </w:p>
        </w:tc>
        <w:tc>
          <w:tcPr>
            <w:tcW w:w="1490"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FF0000"/>
                <w:sz w:val="22"/>
                <w:szCs w:val="22"/>
              </w:rPr>
            </w:pPr>
            <w:r>
              <w:rPr>
                <w:rFonts w:ascii="Open Sans" w:eastAsia="Open Sans" w:hAnsi="Open Sans" w:cs="Open Sans"/>
                <w:color w:val="000000"/>
                <w:sz w:val="22"/>
                <w:szCs w:val="22"/>
              </w:rPr>
              <w:t>-</w:t>
            </w:r>
          </w:p>
        </w:tc>
      </w:tr>
      <w:tr w:rsidR="00E046D7" w:rsidTr="00E046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Córdoba</w:t>
            </w:r>
          </w:p>
        </w:tc>
        <w:tc>
          <w:tcPr>
            <w:tcW w:w="2977" w:type="dxa"/>
            <w:vAlign w:val="bottom"/>
          </w:tcPr>
          <w:p w:rsidR="00E046D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Córdoba capital</w:t>
            </w:r>
          </w:p>
        </w:tc>
        <w:tc>
          <w:tcPr>
            <w:tcW w:w="14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289 €</w:t>
            </w:r>
          </w:p>
        </w:tc>
        <w:tc>
          <w:tcPr>
            <w:tcW w:w="1629"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0,7%</w:t>
            </w:r>
          </w:p>
        </w:tc>
        <w:tc>
          <w:tcPr>
            <w:tcW w:w="1490"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27,2%</w:t>
            </w:r>
          </w:p>
        </w:tc>
      </w:tr>
      <w:tr w:rsidR="00E046D7" w:rsidTr="00E046D7">
        <w:trPr>
          <w:trHeight w:val="241"/>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Zaragoza</w:t>
            </w:r>
          </w:p>
        </w:tc>
        <w:tc>
          <w:tcPr>
            <w:tcW w:w="2977" w:type="dxa"/>
            <w:vAlign w:val="bottom"/>
          </w:tcPr>
          <w:p w:rsidR="00E046D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Zaragoza capital</w:t>
            </w:r>
          </w:p>
        </w:tc>
        <w:tc>
          <w:tcPr>
            <w:tcW w:w="14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362 €</w:t>
            </w:r>
          </w:p>
        </w:tc>
        <w:tc>
          <w:tcPr>
            <w:tcW w:w="1629"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-0,8%</w:t>
            </w:r>
          </w:p>
        </w:tc>
        <w:tc>
          <w:tcPr>
            <w:tcW w:w="1490"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34,6%</w:t>
            </w:r>
          </w:p>
        </w:tc>
      </w:tr>
      <w:tr w:rsidR="00E046D7" w:rsidTr="00E046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Salamanca</w:t>
            </w:r>
          </w:p>
        </w:tc>
        <w:tc>
          <w:tcPr>
            <w:tcW w:w="2977" w:type="dxa"/>
            <w:vAlign w:val="bottom"/>
          </w:tcPr>
          <w:p w:rsidR="00E046D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Salamanca capital</w:t>
            </w:r>
          </w:p>
        </w:tc>
        <w:tc>
          <w:tcPr>
            <w:tcW w:w="14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263 €</w:t>
            </w:r>
          </w:p>
        </w:tc>
        <w:tc>
          <w:tcPr>
            <w:tcW w:w="1629"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9C0006"/>
                <w:sz w:val="22"/>
                <w:szCs w:val="22"/>
              </w:rPr>
              <w:t>-11,1%</w:t>
            </w:r>
          </w:p>
        </w:tc>
        <w:tc>
          <w:tcPr>
            <w:tcW w:w="1490"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13,0%</w:t>
            </w:r>
          </w:p>
        </w:tc>
      </w:tr>
      <w:tr w:rsidR="00E046D7" w:rsidTr="00E046D7">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977" w:type="dxa"/>
            <w:vAlign w:val="bottom"/>
          </w:tcPr>
          <w:p w:rsidR="00E046D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Alcoy / Alcoi</w:t>
            </w:r>
          </w:p>
        </w:tc>
        <w:tc>
          <w:tcPr>
            <w:tcW w:w="14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206 €</w:t>
            </w:r>
          </w:p>
        </w:tc>
        <w:tc>
          <w:tcPr>
            <w:tcW w:w="1629"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90"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000000"/>
                <w:sz w:val="22"/>
                <w:szCs w:val="22"/>
              </w:rPr>
              <w:t>-</w:t>
            </w:r>
          </w:p>
        </w:tc>
      </w:tr>
      <w:tr w:rsidR="00E046D7" w:rsidTr="00E046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Jaén</w:t>
            </w:r>
          </w:p>
        </w:tc>
        <w:tc>
          <w:tcPr>
            <w:tcW w:w="2977" w:type="dxa"/>
            <w:vAlign w:val="bottom"/>
          </w:tcPr>
          <w:p w:rsidR="00E046D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Jaén capital</w:t>
            </w:r>
          </w:p>
        </w:tc>
        <w:tc>
          <w:tcPr>
            <w:tcW w:w="14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240 €</w:t>
            </w:r>
          </w:p>
        </w:tc>
        <w:tc>
          <w:tcPr>
            <w:tcW w:w="1629" w:type="dxa"/>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90"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sz w:val="22"/>
                <w:szCs w:val="22"/>
              </w:rPr>
            </w:pPr>
            <w:r>
              <w:rPr>
                <w:rFonts w:ascii="Open Sans" w:eastAsia="Open Sans" w:hAnsi="Open Sans" w:cs="Open Sans"/>
                <w:color w:val="000000"/>
                <w:sz w:val="22"/>
                <w:szCs w:val="22"/>
              </w:rPr>
              <w:t>25,4%</w:t>
            </w:r>
          </w:p>
        </w:tc>
      </w:tr>
      <w:tr w:rsidR="00E046D7" w:rsidTr="00E046D7">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977" w:type="dxa"/>
            <w:vAlign w:val="bottom"/>
          </w:tcPr>
          <w:p w:rsidR="00E046D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Elche / Elx</w:t>
            </w:r>
          </w:p>
        </w:tc>
        <w:tc>
          <w:tcPr>
            <w:tcW w:w="14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249 €</w:t>
            </w:r>
          </w:p>
        </w:tc>
        <w:tc>
          <w:tcPr>
            <w:tcW w:w="1629" w:type="dxa"/>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90" w:type="dxa"/>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000000"/>
                <w:sz w:val="22"/>
                <w:szCs w:val="22"/>
              </w:rPr>
              <w:t>-</w:t>
            </w:r>
          </w:p>
        </w:tc>
      </w:tr>
      <w:tr w:rsidR="00E046D7" w:rsidTr="00E046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Castellón</w:t>
            </w:r>
          </w:p>
        </w:tc>
        <w:tc>
          <w:tcPr>
            <w:tcW w:w="2977" w:type="dxa"/>
            <w:vAlign w:val="bottom"/>
          </w:tcPr>
          <w:p w:rsidR="00E046D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Castellón de la Plana / Castelló de la Plana</w:t>
            </w:r>
          </w:p>
        </w:tc>
        <w:tc>
          <w:tcPr>
            <w:tcW w:w="14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261 €</w:t>
            </w:r>
          </w:p>
        </w:tc>
        <w:tc>
          <w:tcPr>
            <w:tcW w:w="1629" w:type="dxa"/>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90" w:type="dxa"/>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000000"/>
                <w:sz w:val="22"/>
                <w:szCs w:val="22"/>
              </w:rPr>
              <w:t>-</w:t>
            </w:r>
          </w:p>
        </w:tc>
      </w:tr>
      <w:tr w:rsidR="00E046D7" w:rsidTr="00E046D7">
        <w:trPr>
          <w:trHeight w:val="241"/>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Valladolid</w:t>
            </w:r>
          </w:p>
        </w:tc>
        <w:tc>
          <w:tcPr>
            <w:tcW w:w="2977" w:type="dxa"/>
            <w:vAlign w:val="bottom"/>
          </w:tcPr>
          <w:p w:rsidR="00E046D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Valladolid capital</w:t>
            </w:r>
          </w:p>
        </w:tc>
        <w:tc>
          <w:tcPr>
            <w:tcW w:w="14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275 €</w:t>
            </w:r>
          </w:p>
        </w:tc>
        <w:tc>
          <w:tcPr>
            <w:tcW w:w="1629" w:type="dxa"/>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90"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CC0000"/>
                <w:sz w:val="22"/>
                <w:szCs w:val="22"/>
              </w:rPr>
            </w:pPr>
            <w:r>
              <w:rPr>
                <w:rFonts w:ascii="Open Sans" w:eastAsia="Open Sans" w:hAnsi="Open Sans" w:cs="Open Sans"/>
                <w:color w:val="000000"/>
                <w:sz w:val="22"/>
                <w:szCs w:val="22"/>
              </w:rPr>
              <w:t>25,3%</w:t>
            </w:r>
          </w:p>
        </w:tc>
      </w:tr>
      <w:tr w:rsidR="00E046D7" w:rsidTr="00E046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Murcia</w:t>
            </w:r>
          </w:p>
        </w:tc>
        <w:tc>
          <w:tcPr>
            <w:tcW w:w="2977" w:type="dxa"/>
            <w:vAlign w:val="bottom"/>
          </w:tcPr>
          <w:p w:rsidR="00E046D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Murcia capital</w:t>
            </w:r>
          </w:p>
        </w:tc>
        <w:tc>
          <w:tcPr>
            <w:tcW w:w="14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305 €</w:t>
            </w:r>
          </w:p>
        </w:tc>
        <w:tc>
          <w:tcPr>
            <w:tcW w:w="1629" w:type="dxa"/>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90"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28,9%</w:t>
            </w:r>
          </w:p>
        </w:tc>
      </w:tr>
      <w:tr w:rsidR="00E046D7" w:rsidTr="00E046D7">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Alicante</w:t>
            </w:r>
          </w:p>
        </w:tc>
        <w:tc>
          <w:tcPr>
            <w:tcW w:w="2977" w:type="dxa"/>
            <w:vAlign w:val="bottom"/>
          </w:tcPr>
          <w:p w:rsidR="00E046D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Alicante / Alacant</w:t>
            </w:r>
          </w:p>
        </w:tc>
        <w:tc>
          <w:tcPr>
            <w:tcW w:w="14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377 €</w:t>
            </w:r>
          </w:p>
        </w:tc>
        <w:tc>
          <w:tcPr>
            <w:tcW w:w="1629" w:type="dxa"/>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90"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36,0%</w:t>
            </w:r>
          </w:p>
        </w:tc>
      </w:tr>
      <w:tr w:rsidR="00E046D7" w:rsidTr="00E046D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Málaga</w:t>
            </w:r>
          </w:p>
        </w:tc>
        <w:tc>
          <w:tcPr>
            <w:tcW w:w="2977" w:type="dxa"/>
            <w:vAlign w:val="bottom"/>
          </w:tcPr>
          <w:p w:rsidR="00E046D7" w:rsidRDefault="00000000">
            <w:pP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Málaga capital</w:t>
            </w:r>
          </w:p>
        </w:tc>
        <w:tc>
          <w:tcPr>
            <w:tcW w:w="1417"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463 €</w:t>
            </w:r>
          </w:p>
        </w:tc>
        <w:tc>
          <w:tcPr>
            <w:tcW w:w="1629" w:type="dxa"/>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90" w:type="dxa"/>
            <w:vAlign w:val="bottom"/>
          </w:tcPr>
          <w:p w:rsidR="00E046D7" w:rsidRDefault="00000000">
            <w:pPr>
              <w:jc w:val="center"/>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50,9%</w:t>
            </w:r>
          </w:p>
        </w:tc>
      </w:tr>
      <w:tr w:rsidR="00E046D7" w:rsidTr="00E046D7">
        <w:trPr>
          <w:trHeight w:val="229"/>
        </w:trPr>
        <w:tc>
          <w:tcPr>
            <w:cnfStyle w:val="001000000000" w:firstRow="0" w:lastRow="0" w:firstColumn="1" w:lastColumn="0" w:oddVBand="0" w:evenVBand="0" w:oddHBand="0" w:evenHBand="0" w:firstRowFirstColumn="0" w:firstRowLastColumn="0" w:lastRowFirstColumn="0" w:lastRowLastColumn="0"/>
            <w:tcW w:w="1418" w:type="dxa"/>
            <w:vAlign w:val="bottom"/>
          </w:tcPr>
          <w:p w:rsidR="00E046D7" w:rsidRDefault="00000000">
            <w:pPr>
              <w:rPr>
                <w:rFonts w:ascii="Open Sans" w:eastAsia="Open Sans" w:hAnsi="Open Sans" w:cs="Open Sans"/>
                <w:sz w:val="22"/>
                <w:szCs w:val="22"/>
              </w:rPr>
            </w:pPr>
            <w:r>
              <w:rPr>
                <w:rFonts w:ascii="Open Sans" w:eastAsia="Open Sans" w:hAnsi="Open Sans" w:cs="Open Sans"/>
                <w:b w:val="0"/>
                <w:sz w:val="22"/>
                <w:szCs w:val="22"/>
              </w:rPr>
              <w:t>Navarra</w:t>
            </w:r>
          </w:p>
        </w:tc>
        <w:tc>
          <w:tcPr>
            <w:tcW w:w="2977" w:type="dxa"/>
            <w:vAlign w:val="bottom"/>
          </w:tcPr>
          <w:p w:rsidR="00E046D7" w:rsidRDefault="00000000">
            <w:pP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Pamplona / Iruña</w:t>
            </w:r>
          </w:p>
        </w:tc>
        <w:tc>
          <w:tcPr>
            <w:tcW w:w="1417"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504 €</w:t>
            </w:r>
          </w:p>
        </w:tc>
        <w:tc>
          <w:tcPr>
            <w:tcW w:w="1629" w:type="dxa"/>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c>
          <w:tcPr>
            <w:tcW w:w="1490" w:type="dxa"/>
            <w:vAlign w:val="bottom"/>
          </w:tcPr>
          <w:p w:rsidR="00E046D7" w:rsidRDefault="00000000">
            <w:pPr>
              <w:jc w:val="cente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sz w:val="22"/>
                <w:szCs w:val="22"/>
              </w:rPr>
            </w:pPr>
            <w:r>
              <w:rPr>
                <w:rFonts w:ascii="Open Sans" w:eastAsia="Open Sans" w:hAnsi="Open Sans" w:cs="Open Sans"/>
                <w:color w:val="000000"/>
                <w:sz w:val="22"/>
                <w:szCs w:val="22"/>
              </w:rPr>
              <w:t>-</w:t>
            </w:r>
          </w:p>
        </w:tc>
      </w:tr>
    </w:tbl>
    <w:p w:rsidR="00E046D7" w:rsidRDefault="00E046D7" w:rsidP="00672DC6">
      <w:pPr>
        <w:spacing w:line="276" w:lineRule="auto"/>
        <w:ind w:right="-716"/>
        <w:rPr>
          <w:rFonts w:ascii="Open Sans Light" w:eastAsia="Open Sans Light" w:hAnsi="Open Sans Light" w:cs="Open Sans Light"/>
          <w:b/>
          <w:color w:val="303AB2"/>
        </w:rPr>
      </w:pPr>
    </w:p>
    <w:p w:rsidR="00E046D7" w:rsidRDefault="00000000">
      <w:pPr>
        <w:spacing w:line="276" w:lineRule="auto"/>
        <w:ind w:right="-433"/>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rsidR="00E046D7" w:rsidRDefault="00000000">
      <w:pPr>
        <w:shd w:val="clear" w:color="auto" w:fill="FFFFFF"/>
        <w:spacing w:before="280" w:after="280" w:line="276" w:lineRule="auto"/>
        <w:ind w:right="-433"/>
        <w:jc w:val="both"/>
        <w:rPr>
          <w:rFonts w:ascii="Open Sans" w:eastAsia="Open Sans" w:hAnsi="Open Sans" w:cs="Open Sans"/>
          <w:color w:val="000000"/>
          <w:sz w:val="22"/>
          <w:szCs w:val="22"/>
        </w:rPr>
      </w:pPr>
      <w:r>
        <w:rPr>
          <w:rFonts w:ascii="Open Sans" w:eastAsia="Open Sans" w:hAnsi="Open Sans" w:cs="Open Sans"/>
          <w:color w:val="000000"/>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7">
        <w:r>
          <w:rPr>
            <w:rFonts w:ascii="Open Sans" w:eastAsia="Open Sans" w:hAnsi="Open Sans" w:cs="Open Sans"/>
            <w:color w:val="0000FF"/>
            <w:sz w:val="22"/>
            <w:szCs w:val="22"/>
            <w:u w:val="single"/>
          </w:rPr>
          <w:t>índice inmobiliario Fotocasa</w:t>
        </w:r>
      </w:hyperlink>
      <w:r>
        <w:rPr>
          <w:rFonts w:ascii="Open Sans" w:eastAsia="Open Sans" w:hAnsi="Open Sans" w:cs="Open Sans"/>
          <w:color w:val="000000"/>
          <w:sz w:val="22"/>
          <w:szCs w:val="22"/>
        </w:rPr>
        <w:t xml:space="preserve">, un informe de referencia sobre la evolución del precio medio de la vivienda en España, tanto en venta como en alquiler. Toda nuestra información la puedes encontrar en nuestra </w:t>
      </w:r>
      <w:hyperlink r:id="rId18">
        <w:r>
          <w:rPr>
            <w:rFonts w:ascii="Open Sans" w:eastAsia="Open Sans" w:hAnsi="Open Sans" w:cs="Open Sans"/>
            <w:color w:val="0000FF"/>
            <w:sz w:val="22"/>
            <w:szCs w:val="22"/>
            <w:u w:val="single"/>
          </w:rPr>
          <w:t>Sala de Prensa</w:t>
        </w:r>
      </w:hyperlink>
      <w:r>
        <w:rPr>
          <w:rFonts w:ascii="Open Sans" w:eastAsia="Open Sans" w:hAnsi="Open Sans" w:cs="Open Sans"/>
          <w:color w:val="000000"/>
          <w:sz w:val="22"/>
          <w:szCs w:val="22"/>
        </w:rPr>
        <w:t xml:space="preserve">. </w:t>
      </w:r>
    </w:p>
    <w:bookmarkStart w:id="0" w:name="_heading=h.2s8eyo1" w:colFirst="0" w:colLast="0"/>
    <w:bookmarkEnd w:id="0"/>
    <w:p w:rsidR="00E046D7" w:rsidRDefault="00000000">
      <w:pPr>
        <w:shd w:val="clear" w:color="auto" w:fill="FFFFFF"/>
        <w:spacing w:before="280" w:after="280" w:line="276" w:lineRule="auto"/>
        <w:ind w:right="-433"/>
        <w:jc w:val="both"/>
        <w:rPr>
          <w:rFonts w:ascii="Open Sans" w:eastAsia="Open Sans" w:hAnsi="Open Sans" w:cs="Open Sans"/>
          <w:color w:val="000000"/>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color w:val="000000"/>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color w:val="000000"/>
          <w:sz w:val="22"/>
          <w:szCs w:val="22"/>
        </w:rPr>
        <w:t xml:space="preserve">, una empresa 100% especializada en </w:t>
      </w:r>
      <w:proofErr w:type="spellStart"/>
      <w:r>
        <w:rPr>
          <w:rFonts w:ascii="Open Sans" w:eastAsia="Open Sans" w:hAnsi="Open Sans" w:cs="Open Sans"/>
          <w:color w:val="000000"/>
          <w:sz w:val="22"/>
          <w:szCs w:val="22"/>
        </w:rPr>
        <w:t>Marketplaces</w:t>
      </w:r>
      <w:proofErr w:type="spellEnd"/>
      <w:r>
        <w:rPr>
          <w:rFonts w:ascii="Open Sans" w:eastAsia="Open Sans" w:hAnsi="Open Sans" w:cs="Open Sans"/>
          <w:color w:val="000000"/>
          <w:sz w:val="22"/>
          <w:szCs w:val="22"/>
        </w:rPr>
        <w:t xml:space="preserve"> digitales y el único “pure </w:t>
      </w:r>
      <w:proofErr w:type="spellStart"/>
      <w:r>
        <w:rPr>
          <w:rFonts w:ascii="Open Sans" w:eastAsia="Open Sans" w:hAnsi="Open Sans" w:cs="Open Sans"/>
          <w:color w:val="000000"/>
          <w:sz w:val="22"/>
          <w:szCs w:val="22"/>
        </w:rPr>
        <w:t>player</w:t>
      </w:r>
      <w:proofErr w:type="spellEnd"/>
      <w:r>
        <w:rPr>
          <w:rFonts w:ascii="Open Sans" w:eastAsia="Open Sans" w:hAnsi="Open Sans" w:cs="Open Sans"/>
          <w:color w:val="000000"/>
          <w:sz w:val="22"/>
          <w:szCs w:val="22"/>
        </w:rPr>
        <w:t xml:space="preserve">” del sector a nivel mundial. </w:t>
      </w:r>
    </w:p>
    <w:p w:rsidR="00E046D7" w:rsidRDefault="00000000">
      <w:pPr>
        <w:shd w:val="clear" w:color="auto" w:fill="FFFFFF"/>
        <w:spacing w:before="280" w:after="280" w:line="276" w:lineRule="auto"/>
        <w:ind w:right="-433"/>
        <w:jc w:val="both"/>
        <w:rPr>
          <w:rFonts w:ascii="Open Sans" w:eastAsia="Open Sans" w:hAnsi="Open Sans" w:cs="Open Sans"/>
          <w:color w:val="000000"/>
          <w:sz w:val="22"/>
          <w:szCs w:val="22"/>
        </w:rPr>
      </w:pPr>
      <w:hyperlink r:id="rId19">
        <w:r>
          <w:rPr>
            <w:rFonts w:ascii="Open Sans" w:eastAsia="Open Sans" w:hAnsi="Open Sans" w:cs="Open Sans"/>
            <w:color w:val="0000FF"/>
            <w:sz w:val="22"/>
            <w:szCs w:val="22"/>
            <w:u w:val="single"/>
          </w:rPr>
          <w:t>Más información sobre Fotocasa</w:t>
        </w:r>
      </w:hyperlink>
      <w:r>
        <w:rPr>
          <w:rFonts w:ascii="Open Sans" w:eastAsia="Open Sans" w:hAnsi="Open Sans" w:cs="Open Sans"/>
          <w:color w:val="000000"/>
          <w:sz w:val="22"/>
          <w:szCs w:val="22"/>
        </w:rPr>
        <w:t xml:space="preserve">. </w:t>
      </w:r>
    </w:p>
    <w:p w:rsidR="00E046D7" w:rsidRDefault="00000000">
      <w:pPr>
        <w:spacing w:line="276" w:lineRule="auto"/>
        <w:ind w:right="-433"/>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rsidR="00E046D7" w:rsidRDefault="00000000">
      <w:pPr>
        <w:spacing w:before="143" w:after="200"/>
        <w:ind w:right="-433"/>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20">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22">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3">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4">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rsidR="00E046D7" w:rsidRDefault="00000000">
      <w:pPr>
        <w:spacing w:before="143" w:after="200"/>
        <w:ind w:right="-433"/>
        <w:jc w:val="both"/>
        <w:rPr>
          <w:rFonts w:ascii="Open Sans" w:eastAsia="Open Sans" w:hAnsi="Open Sans" w:cs="Open Sans"/>
          <w:color w:val="000000"/>
          <w:sz w:val="22"/>
          <w:szCs w:val="22"/>
        </w:rPr>
      </w:pPr>
      <w:r>
        <w:rPr>
          <w:rFonts w:ascii="Open Sans" w:eastAsia="Open Sans" w:hAnsi="Open Sans" w:cs="Open Sans"/>
          <w:color w:val="000000"/>
          <w:sz w:val="22"/>
          <w:szCs w:val="22"/>
        </w:rPr>
        <w:t xml:space="preserve">Los negocios de </w:t>
      </w: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w:t>
      </w:r>
      <w:r>
        <w:rPr>
          <w:rFonts w:ascii="Open Sans" w:eastAsia="Open Sans" w:hAnsi="Open Sans" w:cs="Open Sans"/>
          <w:color w:val="000000"/>
          <w:sz w:val="22"/>
          <w:szCs w:val="22"/>
        </w:rPr>
        <w:lastRenderedPageBreak/>
        <w:t>innovadora, otorgando una nueva oportunidad a quienes la están buscando y dando a las cosas una segunda vida.</w:t>
      </w:r>
    </w:p>
    <w:p w:rsidR="00E046D7" w:rsidRDefault="00000000">
      <w:pPr>
        <w:spacing w:before="143" w:after="200"/>
        <w:ind w:right="-433"/>
        <w:jc w:val="both"/>
        <w:rPr>
          <w:rFonts w:ascii="Open Sans" w:eastAsia="Open Sans" w:hAnsi="Open Sans" w:cs="Open Sans"/>
          <w:color w:val="000000"/>
          <w:sz w:val="22"/>
          <w:szCs w:val="22"/>
        </w:rPr>
      </w:pPr>
      <w:proofErr w:type="spellStart"/>
      <w:r>
        <w:rPr>
          <w:rFonts w:ascii="Open Sans" w:eastAsia="Open Sans" w:hAnsi="Open Sans" w:cs="Open Sans"/>
          <w:color w:val="000000"/>
          <w:sz w:val="22"/>
          <w:szCs w:val="22"/>
        </w:rPr>
        <w:t>Adevinta</w:t>
      </w:r>
      <w:proofErr w:type="spellEnd"/>
      <w:r>
        <w:rPr>
          <w:rFonts w:ascii="Open Sans" w:eastAsia="Open Sans" w:hAnsi="Open Sans" w:cs="Open Sans"/>
          <w:color w:val="000000"/>
          <w:sz w:val="22"/>
          <w:szCs w:val="22"/>
        </w:rPr>
        <w:t xml:space="preserve"> tiene presencia mundial en 11 países. El conjunto de sus plataformas locales recibe un promedio de 3.000 millones de visitas cada mes. </w:t>
      </w:r>
    </w:p>
    <w:p w:rsidR="00E046D7" w:rsidRDefault="00000000">
      <w:pPr>
        <w:spacing w:after="160"/>
        <w:ind w:right="-433"/>
        <w:jc w:val="both"/>
        <w:rPr>
          <w:rFonts w:ascii="Open Sans" w:eastAsia="Open Sans" w:hAnsi="Open Sans" w:cs="Open Sans"/>
          <w:color w:val="1155CC"/>
          <w:sz w:val="22"/>
          <w:szCs w:val="22"/>
          <w:u w:val="single"/>
        </w:rPr>
      </w:pPr>
      <w:r>
        <w:rPr>
          <w:rFonts w:ascii="Open Sans" w:eastAsia="Open Sans" w:hAnsi="Open Sans" w:cs="Open Sans"/>
          <w:sz w:val="22"/>
          <w:szCs w:val="22"/>
        </w:rPr>
        <w:t xml:space="preserve">Más información en </w:t>
      </w:r>
      <w:hyperlink r:id="rId25">
        <w:r>
          <w:rPr>
            <w:rFonts w:ascii="Open Sans" w:eastAsia="Open Sans" w:hAnsi="Open Sans" w:cs="Open Sans"/>
            <w:color w:val="1155CC"/>
            <w:sz w:val="22"/>
            <w:szCs w:val="22"/>
            <w:u w:val="single"/>
          </w:rPr>
          <w:t>adevinta.es</w:t>
        </w:r>
      </w:hyperlink>
    </w:p>
    <w:p w:rsidR="00E046D7" w:rsidRDefault="00E046D7">
      <w:pPr>
        <w:spacing w:after="160"/>
        <w:ind w:right="-433"/>
        <w:jc w:val="both"/>
        <w:rPr>
          <w:rFonts w:ascii="Open Sans" w:eastAsia="Open Sans" w:hAnsi="Open Sans" w:cs="Open Sans"/>
        </w:rPr>
      </w:pPr>
    </w:p>
    <w:p w:rsidR="00E046D7" w:rsidRDefault="00000000">
      <w:pPr>
        <w:spacing w:line="276" w:lineRule="auto"/>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rsidR="00E046D7" w:rsidRDefault="00000000">
      <w:pPr>
        <w:shd w:val="clear" w:color="auto" w:fill="FFFFFF"/>
        <w:spacing w:line="276" w:lineRule="auto"/>
        <w:ind w:right="-433"/>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rsidR="00E046D7" w:rsidRDefault="00000000">
      <w:pPr>
        <w:shd w:val="clear" w:color="auto" w:fill="FFFFFF"/>
        <w:spacing w:line="276" w:lineRule="auto"/>
        <w:ind w:right="-433"/>
        <w:rPr>
          <w:rFonts w:ascii="Open Sans" w:eastAsia="Open Sans" w:hAnsi="Open Sans" w:cs="Open Sans"/>
          <w:color w:val="0000FF"/>
          <w:sz w:val="22"/>
          <w:szCs w:val="22"/>
          <w:u w:val="single"/>
        </w:rPr>
      </w:pPr>
      <w:hyperlink r:id="rId26">
        <w:r>
          <w:rPr>
            <w:rFonts w:ascii="Open Sans" w:eastAsia="Open Sans" w:hAnsi="Open Sans" w:cs="Open Sans"/>
            <w:color w:val="0000FF"/>
            <w:sz w:val="22"/>
            <w:szCs w:val="22"/>
            <w:u w:val="single"/>
          </w:rPr>
          <w:t>comunicacion@fotocasa.es</w:t>
        </w:r>
      </w:hyperlink>
    </w:p>
    <w:p w:rsidR="00E046D7" w:rsidRDefault="00000000">
      <w:pPr>
        <w:shd w:val="clear" w:color="auto" w:fill="FFFFFF"/>
        <w:spacing w:line="276" w:lineRule="auto"/>
        <w:ind w:right="-433"/>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rsidR="00E046D7" w:rsidRDefault="00E046D7">
      <w:pPr>
        <w:spacing w:line="276" w:lineRule="auto"/>
        <w:ind w:right="-433"/>
        <w:rPr>
          <w:rFonts w:ascii="Open Sans Light" w:eastAsia="Open Sans Light" w:hAnsi="Open Sans Light" w:cs="Open Sans Light"/>
          <w:b/>
          <w:color w:val="303AB2"/>
          <w:sz w:val="22"/>
          <w:szCs w:val="22"/>
        </w:rPr>
      </w:pPr>
    </w:p>
    <w:p w:rsidR="00E046D7" w:rsidRDefault="00E046D7">
      <w:pPr>
        <w:spacing w:line="276" w:lineRule="auto"/>
        <w:ind w:right="-433"/>
        <w:rPr>
          <w:rFonts w:ascii="Open Sans Light" w:eastAsia="Open Sans Light" w:hAnsi="Open Sans Light" w:cs="Open Sans Light"/>
          <w:b/>
          <w:color w:val="303AB2"/>
          <w:sz w:val="22"/>
          <w:szCs w:val="22"/>
        </w:rPr>
      </w:pPr>
    </w:p>
    <w:p w:rsidR="00E046D7" w:rsidRDefault="00000000">
      <w:pPr>
        <w:spacing w:line="276" w:lineRule="auto"/>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rsidR="00E046D7" w:rsidRDefault="00000000">
      <w:pPr>
        <w:shd w:val="clear" w:color="auto" w:fill="FFFFFF"/>
        <w:spacing w:line="276" w:lineRule="auto"/>
        <w:ind w:right="-433"/>
        <w:rPr>
          <w:rFonts w:ascii="Open Sans" w:eastAsia="Open Sans" w:hAnsi="Open Sans" w:cs="Open Sans"/>
          <w:b/>
          <w:color w:val="000000"/>
          <w:sz w:val="22"/>
          <w:szCs w:val="22"/>
        </w:rPr>
      </w:pPr>
      <w:r>
        <w:rPr>
          <w:rFonts w:ascii="Open Sans" w:eastAsia="Open Sans" w:hAnsi="Open Sans" w:cs="Open Sans"/>
          <w:b/>
          <w:color w:val="000000"/>
          <w:sz w:val="22"/>
          <w:szCs w:val="22"/>
        </w:rPr>
        <w:t>Ramon Torné</w:t>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r>
      <w:r>
        <w:rPr>
          <w:rFonts w:ascii="Open Sans" w:eastAsia="Open Sans" w:hAnsi="Open Sans" w:cs="Open Sans"/>
          <w:b/>
          <w:color w:val="000000"/>
          <w:sz w:val="22"/>
          <w:szCs w:val="22"/>
        </w:rPr>
        <w:tab/>
        <w:t xml:space="preserve">                 </w:t>
      </w:r>
    </w:p>
    <w:p w:rsidR="00E046D7" w:rsidRPr="00713C26" w:rsidRDefault="00000000">
      <w:pPr>
        <w:shd w:val="clear" w:color="auto" w:fill="FFFFFF"/>
        <w:spacing w:line="276" w:lineRule="auto"/>
        <w:ind w:right="-433"/>
        <w:rPr>
          <w:rFonts w:ascii="Open Sans" w:eastAsia="Open Sans" w:hAnsi="Open Sans" w:cs="Open Sans"/>
          <w:color w:val="0000FF"/>
          <w:sz w:val="22"/>
          <w:szCs w:val="22"/>
          <w:u w:val="single"/>
          <w:lang w:val="en-US"/>
        </w:rPr>
      </w:pPr>
      <w:hyperlink r:id="rId27">
        <w:r w:rsidRPr="00713C26">
          <w:rPr>
            <w:rFonts w:ascii="Open Sans" w:eastAsia="Open Sans" w:hAnsi="Open Sans" w:cs="Open Sans"/>
            <w:color w:val="0000FF"/>
            <w:sz w:val="22"/>
            <w:szCs w:val="22"/>
            <w:u w:val="single"/>
            <w:lang w:val="en-US"/>
          </w:rPr>
          <w:t>rtorne@llorenteycuenca.com</w:t>
        </w:r>
      </w:hyperlink>
      <w:r w:rsidRPr="00713C26">
        <w:rPr>
          <w:rFonts w:ascii="Open Sans" w:eastAsia="Open Sans" w:hAnsi="Open Sans" w:cs="Open Sans"/>
          <w:color w:val="0000FF"/>
          <w:sz w:val="22"/>
          <w:szCs w:val="22"/>
          <w:lang w:val="en-US"/>
        </w:rPr>
        <w:tab/>
      </w:r>
      <w:r w:rsidRPr="00713C26">
        <w:rPr>
          <w:rFonts w:ascii="Open Sans" w:eastAsia="Open Sans" w:hAnsi="Open Sans" w:cs="Open Sans"/>
          <w:color w:val="0000FF"/>
          <w:sz w:val="22"/>
          <w:szCs w:val="22"/>
          <w:lang w:val="en-US"/>
        </w:rPr>
        <w:tab/>
      </w:r>
      <w:r w:rsidRPr="00713C26">
        <w:rPr>
          <w:rFonts w:ascii="Open Sans" w:eastAsia="Open Sans" w:hAnsi="Open Sans" w:cs="Open Sans"/>
          <w:color w:val="0000FF"/>
          <w:sz w:val="22"/>
          <w:szCs w:val="22"/>
          <w:lang w:val="en-US"/>
        </w:rPr>
        <w:tab/>
      </w:r>
    </w:p>
    <w:p w:rsidR="00E046D7" w:rsidRPr="00713C26" w:rsidRDefault="00000000">
      <w:pPr>
        <w:shd w:val="clear" w:color="auto" w:fill="FFFFFF"/>
        <w:spacing w:line="276" w:lineRule="auto"/>
        <w:ind w:right="-433"/>
        <w:rPr>
          <w:rFonts w:ascii="Open Sans" w:eastAsia="Open Sans" w:hAnsi="Open Sans" w:cs="Open Sans"/>
          <w:color w:val="000000"/>
          <w:sz w:val="22"/>
          <w:szCs w:val="22"/>
          <w:lang w:val="en-US"/>
        </w:rPr>
      </w:pPr>
      <w:r w:rsidRPr="00713C26">
        <w:rPr>
          <w:rFonts w:ascii="Open Sans" w:eastAsia="Open Sans" w:hAnsi="Open Sans" w:cs="Open Sans"/>
          <w:color w:val="000000"/>
          <w:sz w:val="22"/>
          <w:szCs w:val="22"/>
          <w:lang w:val="en-US"/>
        </w:rPr>
        <w:t xml:space="preserve">638 68 19 85      </w:t>
      </w:r>
      <w:r w:rsidRPr="00713C26">
        <w:rPr>
          <w:rFonts w:ascii="Open Sans" w:eastAsia="Open Sans" w:hAnsi="Open Sans" w:cs="Open Sans"/>
          <w:color w:val="000000"/>
          <w:sz w:val="22"/>
          <w:szCs w:val="22"/>
          <w:lang w:val="en-US"/>
        </w:rPr>
        <w:tab/>
      </w:r>
      <w:r w:rsidRPr="00713C26">
        <w:rPr>
          <w:rFonts w:ascii="Open Sans" w:eastAsia="Open Sans" w:hAnsi="Open Sans" w:cs="Open Sans"/>
          <w:color w:val="000000"/>
          <w:sz w:val="22"/>
          <w:szCs w:val="22"/>
          <w:lang w:val="en-US"/>
        </w:rPr>
        <w:tab/>
      </w:r>
      <w:r w:rsidRPr="00713C26">
        <w:rPr>
          <w:rFonts w:ascii="Open Sans" w:eastAsia="Open Sans" w:hAnsi="Open Sans" w:cs="Open Sans"/>
          <w:color w:val="000000"/>
          <w:sz w:val="22"/>
          <w:szCs w:val="22"/>
          <w:lang w:val="en-US"/>
        </w:rPr>
        <w:tab/>
      </w:r>
      <w:r w:rsidRPr="00713C26">
        <w:rPr>
          <w:rFonts w:ascii="Open Sans" w:eastAsia="Open Sans" w:hAnsi="Open Sans" w:cs="Open Sans"/>
          <w:color w:val="000000"/>
          <w:sz w:val="22"/>
          <w:szCs w:val="22"/>
          <w:lang w:val="en-US"/>
        </w:rPr>
        <w:tab/>
      </w:r>
      <w:r w:rsidRPr="00713C26">
        <w:rPr>
          <w:rFonts w:ascii="Open Sans" w:eastAsia="Open Sans" w:hAnsi="Open Sans" w:cs="Open Sans"/>
          <w:color w:val="000000"/>
          <w:sz w:val="22"/>
          <w:szCs w:val="22"/>
          <w:lang w:val="en-US"/>
        </w:rPr>
        <w:tab/>
      </w:r>
      <w:r w:rsidRPr="00713C26">
        <w:rPr>
          <w:rFonts w:ascii="Open Sans" w:eastAsia="Open Sans" w:hAnsi="Open Sans" w:cs="Open Sans"/>
          <w:color w:val="000000"/>
          <w:sz w:val="22"/>
          <w:szCs w:val="22"/>
          <w:lang w:val="en-US"/>
        </w:rPr>
        <w:tab/>
      </w:r>
      <w:r w:rsidRPr="00713C26">
        <w:rPr>
          <w:rFonts w:ascii="Open Sans" w:eastAsia="Open Sans" w:hAnsi="Open Sans" w:cs="Open Sans"/>
          <w:color w:val="000000"/>
          <w:sz w:val="22"/>
          <w:szCs w:val="22"/>
          <w:lang w:val="en-US"/>
        </w:rPr>
        <w:tab/>
      </w:r>
      <w:r w:rsidRPr="00713C26">
        <w:rPr>
          <w:rFonts w:ascii="Open Sans" w:eastAsia="Open Sans" w:hAnsi="Open Sans" w:cs="Open Sans"/>
          <w:color w:val="000000"/>
          <w:sz w:val="22"/>
          <w:szCs w:val="22"/>
          <w:lang w:val="en-US"/>
        </w:rPr>
        <w:tab/>
      </w:r>
    </w:p>
    <w:p w:rsidR="00E046D7" w:rsidRPr="00713C26" w:rsidRDefault="00000000">
      <w:pPr>
        <w:shd w:val="clear" w:color="auto" w:fill="FFFFFF"/>
        <w:ind w:right="-433"/>
        <w:rPr>
          <w:rFonts w:ascii="Arial" w:eastAsia="Arial" w:hAnsi="Arial" w:cs="Arial"/>
          <w:color w:val="222222"/>
          <w:sz w:val="22"/>
          <w:szCs w:val="22"/>
          <w:lang w:val="en-US"/>
        </w:rPr>
      </w:pPr>
      <w:r w:rsidRPr="00713C26">
        <w:rPr>
          <w:rFonts w:ascii="Arial" w:eastAsia="Arial" w:hAnsi="Arial" w:cs="Arial"/>
          <w:color w:val="222222"/>
          <w:sz w:val="22"/>
          <w:szCs w:val="22"/>
          <w:lang w:val="en-US"/>
        </w:rPr>
        <w:tab/>
      </w:r>
      <w:r w:rsidRPr="00713C26">
        <w:rPr>
          <w:rFonts w:ascii="Arial" w:eastAsia="Arial" w:hAnsi="Arial" w:cs="Arial"/>
          <w:color w:val="222222"/>
          <w:sz w:val="22"/>
          <w:szCs w:val="22"/>
          <w:lang w:val="en-US"/>
        </w:rPr>
        <w:tab/>
      </w:r>
      <w:r w:rsidRPr="00713C26">
        <w:rPr>
          <w:rFonts w:ascii="Arial" w:eastAsia="Arial" w:hAnsi="Arial" w:cs="Arial"/>
          <w:color w:val="222222"/>
          <w:sz w:val="22"/>
          <w:szCs w:val="22"/>
          <w:lang w:val="en-US"/>
        </w:rPr>
        <w:tab/>
      </w:r>
      <w:r w:rsidRPr="00713C26">
        <w:rPr>
          <w:rFonts w:ascii="Arial" w:eastAsia="Arial" w:hAnsi="Arial" w:cs="Arial"/>
          <w:color w:val="222222"/>
          <w:sz w:val="22"/>
          <w:szCs w:val="22"/>
          <w:lang w:val="en-US"/>
        </w:rPr>
        <w:tab/>
      </w:r>
      <w:r w:rsidRPr="00713C26">
        <w:rPr>
          <w:rFonts w:ascii="Arial" w:eastAsia="Arial" w:hAnsi="Arial" w:cs="Arial"/>
          <w:color w:val="222222"/>
          <w:sz w:val="22"/>
          <w:szCs w:val="22"/>
          <w:lang w:val="en-US"/>
        </w:rPr>
        <w:tab/>
        <w:t xml:space="preserve">     </w:t>
      </w:r>
    </w:p>
    <w:p w:rsidR="00E046D7" w:rsidRPr="00713C26" w:rsidRDefault="00000000">
      <w:pPr>
        <w:shd w:val="clear" w:color="auto" w:fill="FFFFFF"/>
        <w:ind w:right="-433"/>
        <w:rPr>
          <w:rFonts w:ascii="Open Sans" w:eastAsia="Open Sans" w:hAnsi="Open Sans" w:cs="Open Sans"/>
          <w:b/>
          <w:color w:val="000000"/>
          <w:sz w:val="22"/>
          <w:szCs w:val="22"/>
          <w:lang w:val="en-US"/>
        </w:rPr>
      </w:pPr>
      <w:r w:rsidRPr="00713C26">
        <w:rPr>
          <w:rFonts w:ascii="Open Sans" w:eastAsia="Open Sans" w:hAnsi="Open Sans" w:cs="Open Sans"/>
          <w:b/>
          <w:color w:val="000000"/>
          <w:sz w:val="22"/>
          <w:szCs w:val="22"/>
          <w:lang w:val="en-US"/>
        </w:rPr>
        <w:t>Fanny Merino</w:t>
      </w:r>
    </w:p>
    <w:p w:rsidR="00E046D7" w:rsidRPr="00713C26" w:rsidRDefault="00000000">
      <w:pPr>
        <w:shd w:val="clear" w:color="auto" w:fill="FFFFFF"/>
        <w:ind w:right="-433"/>
        <w:rPr>
          <w:rFonts w:ascii="Open Sans" w:eastAsia="Open Sans" w:hAnsi="Open Sans" w:cs="Open Sans"/>
          <w:b/>
          <w:color w:val="000000"/>
          <w:sz w:val="22"/>
          <w:szCs w:val="22"/>
          <w:lang w:val="en-US"/>
        </w:rPr>
      </w:pPr>
      <w:hyperlink r:id="rId28">
        <w:r w:rsidRPr="00713C26">
          <w:rPr>
            <w:rFonts w:ascii="Open Sans" w:eastAsia="Open Sans" w:hAnsi="Open Sans" w:cs="Open Sans"/>
            <w:color w:val="0000FF"/>
            <w:sz w:val="22"/>
            <w:szCs w:val="22"/>
            <w:u w:val="single"/>
            <w:lang w:val="en-US"/>
          </w:rPr>
          <w:t>emerino@llorenteycuenca.com</w:t>
        </w:r>
      </w:hyperlink>
      <w:r w:rsidRPr="00713C26">
        <w:rPr>
          <w:rFonts w:ascii="Open Sans" w:eastAsia="Open Sans" w:hAnsi="Open Sans" w:cs="Open Sans"/>
          <w:color w:val="0000FF"/>
          <w:sz w:val="22"/>
          <w:szCs w:val="22"/>
          <w:lang w:val="en-US"/>
        </w:rPr>
        <w:tab/>
      </w:r>
      <w:r w:rsidRPr="00713C26">
        <w:rPr>
          <w:rFonts w:ascii="Open Sans" w:eastAsia="Open Sans" w:hAnsi="Open Sans" w:cs="Open Sans"/>
          <w:color w:val="0000FF"/>
          <w:sz w:val="22"/>
          <w:szCs w:val="22"/>
          <w:lang w:val="en-US"/>
        </w:rPr>
        <w:tab/>
      </w:r>
    </w:p>
    <w:p w:rsidR="00E046D7" w:rsidRPr="00713C26" w:rsidRDefault="00000000">
      <w:pPr>
        <w:shd w:val="clear" w:color="auto" w:fill="FFFFFF"/>
        <w:ind w:right="-433"/>
        <w:rPr>
          <w:rFonts w:ascii="Open Sans" w:eastAsia="Open Sans" w:hAnsi="Open Sans" w:cs="Open Sans"/>
          <w:color w:val="000000"/>
          <w:sz w:val="22"/>
          <w:szCs w:val="22"/>
          <w:lang w:val="en-US"/>
        </w:rPr>
      </w:pPr>
      <w:r w:rsidRPr="00713C26">
        <w:rPr>
          <w:rFonts w:ascii="Open Sans" w:eastAsia="Open Sans" w:hAnsi="Open Sans" w:cs="Open Sans"/>
          <w:color w:val="000000"/>
          <w:sz w:val="22"/>
          <w:szCs w:val="22"/>
          <w:lang w:val="en-US"/>
        </w:rPr>
        <w:t>663 35 69 75 </w:t>
      </w:r>
    </w:p>
    <w:p w:rsidR="00E046D7" w:rsidRPr="00713C26" w:rsidRDefault="00E046D7">
      <w:pPr>
        <w:shd w:val="clear" w:color="auto" w:fill="FFFFFF"/>
        <w:ind w:right="-433"/>
        <w:rPr>
          <w:rFonts w:ascii="Open Sans" w:eastAsia="Open Sans" w:hAnsi="Open Sans" w:cs="Open Sans"/>
          <w:color w:val="000000"/>
          <w:sz w:val="22"/>
          <w:szCs w:val="22"/>
          <w:lang w:val="en-US"/>
        </w:rPr>
      </w:pPr>
    </w:p>
    <w:p w:rsidR="00E046D7" w:rsidRPr="00713C26" w:rsidRDefault="00000000">
      <w:pPr>
        <w:shd w:val="clear" w:color="auto" w:fill="FFFFFF"/>
        <w:ind w:right="-433"/>
        <w:rPr>
          <w:rFonts w:ascii="Open Sans" w:eastAsia="Open Sans" w:hAnsi="Open Sans" w:cs="Open Sans"/>
          <w:b/>
          <w:color w:val="000000"/>
          <w:sz w:val="22"/>
          <w:szCs w:val="22"/>
          <w:lang w:val="en-US"/>
        </w:rPr>
      </w:pPr>
      <w:r w:rsidRPr="00713C26">
        <w:rPr>
          <w:rFonts w:ascii="Open Sans" w:eastAsia="Open Sans" w:hAnsi="Open Sans" w:cs="Open Sans"/>
          <w:b/>
          <w:color w:val="000000"/>
          <w:sz w:val="22"/>
          <w:szCs w:val="22"/>
          <w:lang w:val="en-US"/>
        </w:rPr>
        <w:t>Paula Iglesias</w:t>
      </w:r>
    </w:p>
    <w:p w:rsidR="00E046D7" w:rsidRPr="00713C26" w:rsidRDefault="00000000">
      <w:pPr>
        <w:shd w:val="clear" w:color="auto" w:fill="FFFFFF"/>
        <w:ind w:right="-433"/>
        <w:rPr>
          <w:rFonts w:ascii="Open Sans" w:eastAsia="Open Sans" w:hAnsi="Open Sans" w:cs="Open Sans"/>
          <w:b/>
          <w:color w:val="000000"/>
          <w:sz w:val="22"/>
          <w:szCs w:val="22"/>
          <w:lang w:val="en-US"/>
        </w:rPr>
      </w:pPr>
      <w:hyperlink r:id="rId29">
        <w:r w:rsidRPr="00713C26">
          <w:rPr>
            <w:rFonts w:ascii="Open Sans" w:eastAsia="Open Sans" w:hAnsi="Open Sans" w:cs="Open Sans"/>
            <w:color w:val="0000FF"/>
            <w:sz w:val="22"/>
            <w:szCs w:val="22"/>
            <w:u w:val="single"/>
            <w:lang w:val="en-US"/>
          </w:rPr>
          <w:t>piglesias@llorenteycuenca.com</w:t>
        </w:r>
      </w:hyperlink>
      <w:r w:rsidRPr="00713C26">
        <w:rPr>
          <w:rFonts w:ascii="Open Sans" w:eastAsia="Open Sans" w:hAnsi="Open Sans" w:cs="Open Sans"/>
          <w:color w:val="0000FF"/>
          <w:sz w:val="22"/>
          <w:szCs w:val="22"/>
          <w:lang w:val="en-US"/>
        </w:rPr>
        <w:tab/>
      </w:r>
      <w:r w:rsidRPr="00713C26">
        <w:rPr>
          <w:rFonts w:ascii="Open Sans" w:eastAsia="Open Sans" w:hAnsi="Open Sans" w:cs="Open Sans"/>
          <w:color w:val="0000FF"/>
          <w:sz w:val="22"/>
          <w:szCs w:val="22"/>
          <w:lang w:val="en-US"/>
        </w:rPr>
        <w:tab/>
      </w:r>
    </w:p>
    <w:p w:rsidR="00E046D7" w:rsidRDefault="00000000">
      <w:pPr>
        <w:shd w:val="clear" w:color="auto" w:fill="FFFFFF"/>
        <w:ind w:right="-433"/>
        <w:rPr>
          <w:rFonts w:ascii="Open Sans" w:eastAsia="Open Sans" w:hAnsi="Open Sans" w:cs="Open Sans"/>
          <w:color w:val="000000"/>
          <w:sz w:val="21"/>
          <w:szCs w:val="21"/>
        </w:rPr>
      </w:pPr>
      <w:r>
        <w:rPr>
          <w:rFonts w:ascii="Open Sans" w:eastAsia="Open Sans" w:hAnsi="Open Sans" w:cs="Open Sans"/>
          <w:color w:val="000000"/>
          <w:sz w:val="22"/>
          <w:szCs w:val="22"/>
        </w:rPr>
        <w:t>662 450 236</w:t>
      </w:r>
    </w:p>
    <w:p w:rsidR="00E046D7" w:rsidRDefault="00E046D7">
      <w:pPr>
        <w:pBdr>
          <w:top w:val="nil"/>
          <w:left w:val="nil"/>
          <w:bottom w:val="nil"/>
          <w:right w:val="nil"/>
          <w:between w:val="nil"/>
        </w:pBdr>
        <w:shd w:val="clear" w:color="auto" w:fill="FFFFFF"/>
        <w:spacing w:line="276" w:lineRule="auto"/>
        <w:ind w:right="-574"/>
        <w:jc w:val="right"/>
        <w:rPr>
          <w:rFonts w:ascii="Open Sans" w:eastAsia="Open Sans" w:hAnsi="Open Sans" w:cs="Open Sans"/>
          <w:color w:val="000000"/>
          <w:sz w:val="21"/>
          <w:szCs w:val="21"/>
        </w:rPr>
      </w:pPr>
    </w:p>
    <w:sectPr w:rsidR="00E046D7">
      <w:footerReference w:type="default" r:id="rId30"/>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A5D43" w:rsidRDefault="00DA5D43">
      <w:r>
        <w:separator/>
      </w:r>
    </w:p>
  </w:endnote>
  <w:endnote w:type="continuationSeparator" w:id="0">
    <w:p w:rsidR="00DA5D43" w:rsidRDefault="00DA5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tional">
    <w:altName w:val="Calibri"/>
    <w:charset w:val="00"/>
    <w:family w:val="auto"/>
    <w:pitch w:val="default"/>
  </w:font>
  <w:font w:name="Open Sans">
    <w:charset w:val="00"/>
    <w:family w:val="swiss"/>
    <w:pitch w:val="variable"/>
    <w:sig w:usb0="E00002EF" w:usb1="4000205B" w:usb2="00000028" w:usb3="00000000" w:csb0="0000019F" w:csb1="00000000"/>
  </w:font>
  <w:font w:name="Open Sans Light">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46D7"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simplePos x="0" y="0"/>
          <wp:positionH relativeFrom="column">
            <wp:posOffset>-1068068</wp:posOffset>
          </wp:positionH>
          <wp:positionV relativeFrom="paragraph">
            <wp:posOffset>174608</wp:posOffset>
          </wp:positionV>
          <wp:extent cx="7670550" cy="451315"/>
          <wp:effectExtent l="0" t="0" r="0" b="0"/>
          <wp:wrapNone/>
          <wp:docPr id="14239645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A5D43" w:rsidRDefault="00DA5D43">
      <w:r>
        <w:separator/>
      </w:r>
    </w:p>
  </w:footnote>
  <w:footnote w:type="continuationSeparator" w:id="0">
    <w:p w:rsidR="00DA5D43" w:rsidRDefault="00DA5D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C10E86"/>
    <w:multiLevelType w:val="multilevel"/>
    <w:tmpl w:val="D10E7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30865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46D7"/>
    <w:rsid w:val="00672DC6"/>
    <w:rsid w:val="006D4287"/>
    <w:rsid w:val="00713C26"/>
    <w:rsid w:val="00DA5D43"/>
    <w:rsid w:val="00E046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71ACC"/>
  <w15:docId w15:val="{94AF6E49-E058-40D3-BF9F-94F5175FB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F02"/>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NormalWeb">
    <w:name w:val="Normal (Web)"/>
    <w:basedOn w:val="Normal"/>
    <w:uiPriority w:val="99"/>
    <w:unhideWhenUsed/>
    <w:rsid w:val="00A84CA7"/>
    <w:pPr>
      <w:spacing w:before="100" w:beforeAutospacing="1" w:after="100" w:afterAutospacing="1"/>
    </w:pPr>
    <w:rPr>
      <w:rFonts w:ascii="Times New Roman" w:eastAsia="Times New Roman" w:hAnsi="Times New Roman" w:cs="Times New Roman"/>
      <w:lang w:eastAsia="es-ES_tradnl"/>
    </w:rPr>
  </w:style>
  <w:style w:type="paragraph" w:styleId="Encabezado">
    <w:name w:val="header"/>
    <w:basedOn w:val="Normal"/>
    <w:link w:val="EncabezadoCar"/>
    <w:uiPriority w:val="99"/>
    <w:unhideWhenUsed/>
    <w:rsid w:val="00DD4CA4"/>
    <w:pPr>
      <w:tabs>
        <w:tab w:val="center" w:pos="4252"/>
        <w:tab w:val="right" w:pos="8504"/>
      </w:tabs>
    </w:pPr>
  </w:style>
  <w:style w:type="character" w:customStyle="1" w:styleId="EncabezadoCar">
    <w:name w:val="Encabezado Car"/>
    <w:basedOn w:val="Fuentedeprrafopredeter"/>
    <w:link w:val="Encabezado"/>
    <w:uiPriority w:val="99"/>
    <w:rsid w:val="00DD4CA4"/>
  </w:style>
  <w:style w:type="paragraph" w:styleId="Piedepgina">
    <w:name w:val="footer"/>
    <w:basedOn w:val="Normal"/>
    <w:link w:val="PiedepginaCar"/>
    <w:uiPriority w:val="99"/>
    <w:unhideWhenUsed/>
    <w:rsid w:val="00DD4CA4"/>
    <w:pPr>
      <w:tabs>
        <w:tab w:val="center" w:pos="4252"/>
        <w:tab w:val="right" w:pos="8504"/>
      </w:tabs>
    </w:pPr>
  </w:style>
  <w:style w:type="character" w:customStyle="1" w:styleId="PiedepginaCar">
    <w:name w:val="Pie de página Car"/>
    <w:basedOn w:val="Fuentedeprrafopredeter"/>
    <w:link w:val="Piedepgina"/>
    <w:uiPriority w:val="99"/>
    <w:rsid w:val="00DD4CA4"/>
  </w:style>
  <w:style w:type="character" w:styleId="Hipervnculo">
    <w:name w:val="Hyperlink"/>
    <w:basedOn w:val="Fuentedeprrafopredeter"/>
    <w:uiPriority w:val="99"/>
    <w:unhideWhenUsed/>
    <w:rsid w:val="00DC7AC3"/>
    <w:rPr>
      <w:color w:val="0000FF"/>
      <w:u w:val="single"/>
    </w:rPr>
  </w:style>
  <w:style w:type="paragraph" w:styleId="Prrafodelista">
    <w:name w:val="List Paragraph"/>
    <w:basedOn w:val="Normal"/>
    <w:uiPriority w:val="34"/>
    <w:qFormat/>
    <w:rsid w:val="005029E9"/>
    <w:pPr>
      <w:ind w:left="720"/>
      <w:contextualSpacing/>
    </w:pPr>
  </w:style>
  <w:style w:type="table" w:customStyle="1" w:styleId="Tabladecuadrcula5oscura-nfasis11">
    <w:name w:val="Tabla de cuadrícula 5 oscura - Énfasis 11"/>
    <w:basedOn w:val="Tablanormal"/>
    <w:uiPriority w:val="50"/>
    <w:rsid w:val="007530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Ninguno">
    <w:name w:val="Ninguno"/>
    <w:rsid w:val="00E249DA"/>
    <w:rPr>
      <w:lang w:val="es-ES_tradnl"/>
    </w:rPr>
  </w:style>
  <w:style w:type="character" w:styleId="Refdecomentario">
    <w:name w:val="annotation reference"/>
    <w:basedOn w:val="Fuentedeprrafopredeter"/>
    <w:uiPriority w:val="99"/>
    <w:semiHidden/>
    <w:unhideWhenUsed/>
    <w:rsid w:val="007B1B27"/>
    <w:rPr>
      <w:sz w:val="16"/>
      <w:szCs w:val="16"/>
    </w:rPr>
  </w:style>
  <w:style w:type="paragraph" w:styleId="Textocomentario">
    <w:name w:val="annotation text"/>
    <w:basedOn w:val="Normal"/>
    <w:link w:val="TextocomentarioCar"/>
    <w:uiPriority w:val="99"/>
    <w:unhideWhenUsed/>
    <w:rsid w:val="007B1B27"/>
    <w:rPr>
      <w:sz w:val="20"/>
      <w:szCs w:val="20"/>
    </w:rPr>
  </w:style>
  <w:style w:type="character" w:customStyle="1" w:styleId="TextocomentarioCar">
    <w:name w:val="Texto comentario Car"/>
    <w:basedOn w:val="Fuentedeprrafopredeter"/>
    <w:link w:val="Textocomentario"/>
    <w:uiPriority w:val="99"/>
    <w:rsid w:val="007B1B27"/>
    <w:rPr>
      <w:sz w:val="20"/>
      <w:szCs w:val="20"/>
    </w:rPr>
  </w:style>
  <w:style w:type="paragraph" w:styleId="Asuntodelcomentario">
    <w:name w:val="annotation subject"/>
    <w:basedOn w:val="Textocomentario"/>
    <w:next w:val="Textocomentario"/>
    <w:link w:val="AsuntodelcomentarioCar"/>
    <w:uiPriority w:val="99"/>
    <w:semiHidden/>
    <w:unhideWhenUsed/>
    <w:rsid w:val="007B1B27"/>
    <w:rPr>
      <w:b/>
      <w:bCs/>
    </w:rPr>
  </w:style>
  <w:style w:type="character" w:customStyle="1" w:styleId="AsuntodelcomentarioCar">
    <w:name w:val="Asunto del comentario Car"/>
    <w:basedOn w:val="TextocomentarioCar"/>
    <w:link w:val="Asuntodelcomentario"/>
    <w:uiPriority w:val="99"/>
    <w:semiHidden/>
    <w:rsid w:val="007B1B27"/>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0">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1">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2">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3">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a4">
    <w:basedOn w:val="TableNormal0"/>
    <w:tblPr>
      <w:tblStyleRowBandSize w:val="1"/>
      <w:tblStyleColBandSize w:val="1"/>
      <w:tblCellMar>
        <w:left w:w="115" w:type="dxa"/>
        <w:right w:w="115" w:type="dxa"/>
      </w:tblCellMar>
    </w:tblPr>
    <w:tcPr>
      <w:shd w:val="clear" w:color="auto" w:fill="D9E2F3"/>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character" w:styleId="Mencinsinresolver">
    <w:name w:val="Unresolved Mention"/>
    <w:basedOn w:val="Fuentedeprrafopredeter"/>
    <w:uiPriority w:val="99"/>
    <w:semiHidden/>
    <w:unhideWhenUsed/>
    <w:rsid w:val="006D42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Bt9VzkfeLl8" TargetMode="External"/><Relationship Id="rId18" Type="http://schemas.openxmlformats.org/officeDocument/2006/relationships/hyperlink" Target="http://prensa.fotocasa.es" TargetMode="External"/><Relationship Id="rId26" Type="http://schemas.openxmlformats.org/officeDocument/2006/relationships/hyperlink" Target="mailto:comunicacion@fotocasa.es" TargetMode="External"/><Relationship Id="rId3" Type="http://schemas.openxmlformats.org/officeDocument/2006/relationships/styles" Target="styles.xml"/><Relationship Id="rId21" Type="http://schemas.openxmlformats.org/officeDocument/2006/relationships/hyperlink" Target="https://www.habitaclia.com/"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fotocasa.es/indice/" TargetMode="External"/><Relationship Id="rId25" Type="http://schemas.openxmlformats.org/officeDocument/2006/relationships/hyperlink" Target="http://adevinta.es" TargetMode="External"/><Relationship Id="rId2" Type="http://schemas.openxmlformats.org/officeDocument/2006/relationships/numbering" Target="numbering.xml"/><Relationship Id="rId16" Type="http://schemas.openxmlformats.org/officeDocument/2006/relationships/hyperlink" Target="https://www.fotocasa.es" TargetMode="External"/><Relationship Id="rId20" Type="http://schemas.openxmlformats.org/officeDocument/2006/relationships/hyperlink" Target="https://www.fotocasa.es/es/" TargetMode="External"/><Relationship Id="rId29" Type="http://schemas.openxmlformats.org/officeDocument/2006/relationships/hyperlink" Target="mailto:piglesias@llorenteycuenc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motos.coches.n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s://www.coches.net/" TargetMode="External"/><Relationship Id="rId28" Type="http://schemas.openxmlformats.org/officeDocument/2006/relationships/hyperlink" Target="mailto:emerino@llorenteycuenca.com" TargetMode="External"/><Relationship Id="rId10" Type="http://schemas.openxmlformats.org/officeDocument/2006/relationships/hyperlink" Target="http://www.fotocasa.es" TargetMode="External"/><Relationship Id="rId19" Type="http://schemas.openxmlformats.org/officeDocument/2006/relationships/hyperlink" Target="https://www.fotocasa.es/es/quienes-somos/"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youtu.be/Bt9VzkfeLl8" TargetMode="External"/><Relationship Id="rId14" Type="http://schemas.openxmlformats.org/officeDocument/2006/relationships/image" Target="media/image2.png"/><Relationship Id="rId22" Type="http://schemas.openxmlformats.org/officeDocument/2006/relationships/hyperlink" Target="https://www.infojobs.net/" TargetMode="External"/><Relationship Id="rId27" Type="http://schemas.openxmlformats.org/officeDocument/2006/relationships/hyperlink" Target="mailto:rtorne@llorenteycuenca.com"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H:\Mi%20unidad\01-SCHIBSTED\04-ESTUDIO%20NdP\COMPARTIR\2023\PRENSA%20COMPARTIR%20ago%20202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H:\Mi%20unidad\01-SCHIBSTED\04-ESTUDIO%20NdP\COMPARTIR\2023\PRENSA%20COMPARTIR%20ago%2020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[PRENSA COMPARTIR ago 2023.xlsx]CCAA!TablaDinámica6</c:name>
    <c:fmtId val="-1"/>
  </c:pivotSource>
  <c:chart>
    <c:autoTitleDeleted val="1"/>
    <c:pivotFmts>
      <c:pivotFmt>
        <c:idx val="0"/>
        <c:spPr>
          <a:solidFill>
            <a:srgbClr val="5B9BD5">
              <a:lumMod val="75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5B9BD5">
              <a:lumMod val="75000"/>
            </a:srgbClr>
          </a:solidFill>
          <a:ln>
            <a:noFill/>
          </a:ln>
          <a:effectLst/>
        </c:spPr>
      </c:pivotFmt>
      <c:pivotFmt>
        <c:idx val="2"/>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pivotFmt>
      <c:pivotFmt>
        <c:idx val="4"/>
        <c:spPr>
          <a:solidFill>
            <a:srgbClr val="007CA8"/>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007CA8"/>
          </a:solidFill>
          <a:ln>
            <a:noFill/>
          </a:ln>
          <a:effectLst/>
        </c:spPr>
      </c:pivotFmt>
      <c:pivotFmt>
        <c:idx val="6"/>
        <c:spPr>
          <a:solidFill>
            <a:srgbClr val="007CA8"/>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007CA8"/>
          </a:solidFill>
          <a:ln>
            <a:noFill/>
          </a:ln>
          <a:effectLst/>
        </c:spPr>
      </c:pivotFmt>
      <c:pivotFmt>
        <c:idx val="8"/>
        <c:spPr>
          <a:solidFill>
            <a:srgbClr val="007CA8"/>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007CA8"/>
          </a:solidFill>
          <a:ln>
            <a:noFill/>
          </a:ln>
          <a:effectLst/>
        </c:spPr>
      </c:pivotFmt>
    </c:pivotFmts>
    <c:plotArea>
      <c:layout>
        <c:manualLayout>
          <c:layoutTarget val="inner"/>
          <c:xMode val="edge"/>
          <c:yMode val="edge"/>
          <c:x val="4.6309991211882881E-2"/>
          <c:y val="5.8131492112833076E-2"/>
          <c:w val="0.93482775611606472"/>
          <c:h val="0.54551090613925524"/>
        </c:manualLayout>
      </c:layout>
      <c:barChart>
        <c:barDir val="col"/>
        <c:grouping val="clustered"/>
        <c:varyColors val="0"/>
        <c:ser>
          <c:idx val="0"/>
          <c:order val="0"/>
          <c:tx>
            <c:strRef>
              <c:f>CCAA!$B$4:$B$6</c:f>
              <c:strCache>
                <c:ptCount val="1"/>
                <c:pt idx="0">
                  <c:v>2023 - ago</c:v>
                </c:pt>
              </c:strCache>
            </c:strRef>
          </c:tx>
          <c:spPr>
            <a:solidFill>
              <a:srgbClr val="007CA8"/>
            </a:solidFill>
            <a:ln>
              <a:noFill/>
            </a:ln>
            <a:effectLst/>
          </c:spPr>
          <c:invertIfNegative val="0"/>
          <c:dPt>
            <c:idx val="3"/>
            <c:invertIfNegative val="0"/>
            <c:bubble3D val="0"/>
            <c:extLst>
              <c:ext xmlns:c16="http://schemas.microsoft.com/office/drawing/2014/chart" uri="{C3380CC4-5D6E-409C-BE32-E72D297353CC}">
                <c16:uniqueId val="{00000000-DFB6-403A-B086-2F639880AD64}"/>
              </c:ext>
            </c:extLst>
          </c:dPt>
          <c:dPt>
            <c:idx val="6"/>
            <c:invertIfNegative val="0"/>
            <c:bubble3D val="0"/>
            <c:spPr>
              <a:solidFill>
                <a:srgbClr val="007CA8"/>
              </a:solidFill>
              <a:ln>
                <a:noFill/>
              </a:ln>
              <a:effectLst/>
            </c:spPr>
            <c:extLst>
              <c:ext xmlns:c16="http://schemas.microsoft.com/office/drawing/2014/chart" uri="{C3380CC4-5D6E-409C-BE32-E72D297353CC}">
                <c16:uniqueId val="{00000002-DFB6-403A-B086-2F639880AD64}"/>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CCAA!$A$7:$A$14</c:f>
              <c:strCache>
                <c:ptCount val="8"/>
                <c:pt idx="0">
                  <c:v> 8 AÑOS (2023 VS 2015)</c:v>
                </c:pt>
                <c:pt idx="1">
                  <c:v> 7 AÑOS (2023 VS 2016)</c:v>
                </c:pt>
                <c:pt idx="2">
                  <c:v> 6 AÑOS (2023 VS 2017)</c:v>
                </c:pt>
                <c:pt idx="3">
                  <c:v> 5 AÑOS (2023 VS 2018)</c:v>
                </c:pt>
                <c:pt idx="4">
                  <c:v> 4 AÑOS (2023 VS 2019)</c:v>
                </c:pt>
                <c:pt idx="5">
                  <c:v> 3 AÑOS (2023 VS 2020)</c:v>
                </c:pt>
                <c:pt idx="6">
                  <c:v> 2 AÑOS (2023 VS 2021)</c:v>
                </c:pt>
                <c:pt idx="7">
                  <c:v> 1 AÑO (2023 VS 2022)</c:v>
                </c:pt>
              </c:strCache>
            </c:strRef>
          </c:cat>
          <c:val>
            <c:numRef>
              <c:f>CCAA!$B$7:$B$14</c:f>
              <c:numCache>
                <c:formatCode>0%</c:formatCode>
                <c:ptCount val="8"/>
                <c:pt idx="0">
                  <c:v>0.72532971295577964</c:v>
                </c:pt>
                <c:pt idx="1">
                  <c:v>0.64292837882761422</c:v>
                </c:pt>
                <c:pt idx="2">
                  <c:v>0.28522306981044859</c:v>
                </c:pt>
                <c:pt idx="3">
                  <c:v>0.49700457727517505</c:v>
                </c:pt>
                <c:pt idx="4">
                  <c:v>0.43309598221477597</c:v>
                </c:pt>
                <c:pt idx="5">
                  <c:v>0.39546338708665374</c:v>
                </c:pt>
                <c:pt idx="6">
                  <c:v>0.28203723986856521</c:v>
                </c:pt>
                <c:pt idx="7">
                  <c:v>5.0544415314485544E-2</c:v>
                </c:pt>
              </c:numCache>
            </c:numRef>
          </c:val>
          <c:extLst>
            <c:ext xmlns:c16="http://schemas.microsoft.com/office/drawing/2014/chart" uri="{C3380CC4-5D6E-409C-BE32-E72D297353CC}">
              <c16:uniqueId val="{00000003-DFB6-403A-B086-2F639880AD64}"/>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sz="1050" b="0" i="0" u="none" strike="noStrike" kern="1200" baseline="0">
                <a:ln>
                  <a:noFill/>
                </a:ln>
                <a:solidFill>
                  <a:schemeClr val="tx1">
                    <a:lumMod val="65000"/>
                    <a:lumOff val="35000"/>
                  </a:schemeClr>
                </a:solidFill>
                <a:latin typeface="+mn-lt"/>
                <a:ea typeface="+mn-ea"/>
                <a:cs typeface="+mn-cs"/>
              </a:defRPr>
            </a:pPr>
            <a:endParaRPr lang="es-ES"/>
          </a:p>
        </c:txPr>
        <c:crossAx val="663677872"/>
        <c:crosses val="autoZero"/>
        <c:auto val="1"/>
        <c:lblAlgn val="ctr"/>
        <c:lblOffset val="100"/>
        <c:noMultiLvlLbl val="0"/>
      </c:catAx>
      <c:valAx>
        <c:axId val="663677872"/>
        <c:scaling>
          <c:orientation val="minMax"/>
        </c:scaling>
        <c:delete val="1"/>
        <c:axPos val="l"/>
        <c:numFmt formatCode="0%" sourceLinked="1"/>
        <c:majorTickMark val="none"/>
        <c:minorTickMark val="none"/>
        <c:tickLblPos val="nextTo"/>
        <c:crossAx val="158793635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[PRENSA COMPARTIR ago 2023.xlsx]CCAA!TablaDinámica5</c:name>
    <c:fmtId val="-1"/>
  </c:pivotSource>
  <c:chart>
    <c:autoTitleDeleted val="1"/>
    <c:pivotFmts>
      <c:pivotFmt>
        <c:idx val="0"/>
        <c:spPr>
          <a:solidFill>
            <a:srgbClr val="5B9BD5">
              <a:lumMod val="75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5B9BD5">
              <a:lumMod val="75000"/>
            </a:srgbClr>
          </a:solidFill>
          <a:ln>
            <a:noFill/>
          </a:ln>
          <a:effectLst/>
        </c:spPr>
      </c:pivotFmt>
      <c:pivotFmt>
        <c:idx val="2"/>
        <c:spPr>
          <a:solidFill>
            <a:srgbClr val="FFC00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FFC000"/>
          </a:solidFill>
          <a:ln>
            <a:noFill/>
          </a:ln>
          <a:effectLst/>
        </c:spPr>
      </c:pivotFmt>
      <c:pivotFmt>
        <c:idx val="4"/>
        <c:spPr>
          <a:solidFill>
            <a:srgbClr val="5B9BD5">
              <a:lumMod val="75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5B9BD5">
              <a:lumMod val="75000"/>
            </a:srgbClr>
          </a:solidFill>
          <a:ln>
            <a:noFill/>
          </a:ln>
          <a:effectLst/>
        </c:spPr>
      </c:pivotFmt>
      <c:pivotFmt>
        <c:idx val="6"/>
        <c:spPr>
          <a:solidFill>
            <a:srgbClr val="FFC000"/>
          </a:solidFill>
          <a:ln>
            <a:noFill/>
          </a:ln>
          <a:effectLst/>
        </c:spPr>
      </c:pivotFmt>
      <c:pivotFmt>
        <c:idx val="7"/>
        <c:spPr>
          <a:solidFill>
            <a:srgbClr val="5B9BD5">
              <a:lumMod val="75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FFC000"/>
          </a:solidFill>
          <a:ln>
            <a:noFill/>
          </a:ln>
          <a:effectLst/>
        </c:spPr>
      </c:pivotFmt>
      <c:pivotFmt>
        <c:idx val="9"/>
        <c:spPr>
          <a:solidFill>
            <a:srgbClr val="5B9BD5">
              <a:lumMod val="75000"/>
            </a:srgbClr>
          </a:solidFill>
          <a:ln>
            <a:noFill/>
          </a:ln>
          <a:effectLst/>
        </c:spPr>
      </c:pivotFmt>
      <c:pivotFmt>
        <c:idx val="10"/>
        <c:spPr>
          <a:solidFill>
            <a:srgbClr val="5B9BD5">
              <a:lumMod val="75000"/>
            </a:srgb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FFC000"/>
          </a:solidFill>
          <a:ln>
            <a:noFill/>
          </a:ln>
          <a:effectLst/>
        </c:spPr>
      </c:pivotFmt>
      <c:pivotFmt>
        <c:idx val="12"/>
        <c:spPr>
          <a:solidFill>
            <a:srgbClr val="5B9BD5">
              <a:lumMod val="75000"/>
            </a:srgbClr>
          </a:solidFill>
          <a:ln>
            <a:noFill/>
          </a:ln>
          <a:effectLst/>
        </c:spPr>
      </c:pivotFmt>
    </c:pivotFmts>
    <c:plotArea>
      <c:layout>
        <c:manualLayout>
          <c:layoutTarget val="inner"/>
          <c:xMode val="edge"/>
          <c:yMode val="edge"/>
          <c:x val="4.6309991211882881E-2"/>
          <c:y val="5.8131492112833076E-2"/>
          <c:w val="0.93482775611606472"/>
          <c:h val="0.54551090613925524"/>
        </c:manualLayout>
      </c:layout>
      <c:barChart>
        <c:barDir val="col"/>
        <c:grouping val="clustered"/>
        <c:varyColors val="0"/>
        <c:ser>
          <c:idx val="0"/>
          <c:order val="0"/>
          <c:tx>
            <c:strRef>
              <c:f>CCAA!$B$21:$B$23</c:f>
              <c:strCache>
                <c:ptCount val="1"/>
                <c:pt idx="0">
                  <c:v>2023 - ago</c:v>
                </c:pt>
              </c:strCache>
            </c:strRef>
          </c:tx>
          <c:spPr>
            <a:solidFill>
              <a:srgbClr val="5B9BD5">
                <a:lumMod val="75000"/>
              </a:srgbClr>
            </a:solidFill>
            <a:ln>
              <a:noFill/>
            </a:ln>
            <a:effectLst/>
          </c:spPr>
          <c:invertIfNegative val="0"/>
          <c:dPt>
            <c:idx val="3"/>
            <c:invertIfNegative val="0"/>
            <c:bubble3D val="0"/>
            <c:extLst>
              <c:ext xmlns:c16="http://schemas.microsoft.com/office/drawing/2014/chart" uri="{C3380CC4-5D6E-409C-BE32-E72D297353CC}">
                <c16:uniqueId val="{00000000-D8C7-48FE-B1CC-E67878FDF70F}"/>
              </c:ext>
            </c:extLst>
          </c:dPt>
          <c:dPt>
            <c:idx val="5"/>
            <c:invertIfNegative val="0"/>
            <c:bubble3D val="0"/>
            <c:spPr>
              <a:solidFill>
                <a:srgbClr val="FFC000"/>
              </a:solidFill>
              <a:ln>
                <a:noFill/>
              </a:ln>
              <a:effectLst/>
            </c:spPr>
            <c:extLst>
              <c:ext xmlns:c16="http://schemas.microsoft.com/office/drawing/2014/chart" uri="{C3380CC4-5D6E-409C-BE32-E72D297353CC}">
                <c16:uniqueId val="{00000002-D8C7-48FE-B1CC-E67878FDF70F}"/>
              </c:ext>
            </c:extLst>
          </c:dPt>
          <c:dPt>
            <c:idx val="6"/>
            <c:invertIfNegative val="0"/>
            <c:bubble3D val="0"/>
            <c:extLst>
              <c:ext xmlns:c16="http://schemas.microsoft.com/office/drawing/2014/chart" uri="{C3380CC4-5D6E-409C-BE32-E72D297353CC}">
                <c16:uniqueId val="{00000003-D8C7-48FE-B1CC-E67878FDF70F}"/>
              </c:ext>
            </c:extLst>
          </c:dPt>
          <c:dPt>
            <c:idx val="14"/>
            <c:invertIfNegative val="0"/>
            <c:bubble3D val="0"/>
            <c:spPr>
              <a:solidFill>
                <a:srgbClr val="5B9BD5">
                  <a:lumMod val="75000"/>
                </a:srgbClr>
              </a:solidFill>
              <a:ln>
                <a:noFill/>
              </a:ln>
              <a:effectLst/>
            </c:spPr>
            <c:extLst>
              <c:ext xmlns:c16="http://schemas.microsoft.com/office/drawing/2014/chart" uri="{C3380CC4-5D6E-409C-BE32-E72D297353CC}">
                <c16:uniqueId val="{00000005-D8C7-48FE-B1CC-E67878FDF70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CCAA!$A$24:$A$39</c:f>
              <c:strCache>
                <c:ptCount val="16"/>
                <c:pt idx="0">
                  <c:v>Cataluña</c:v>
                </c:pt>
                <c:pt idx="1">
                  <c:v>Madrid</c:v>
                </c:pt>
                <c:pt idx="2">
                  <c:v>Navarra</c:v>
                </c:pt>
                <c:pt idx="3">
                  <c:v>Baleares</c:v>
                </c:pt>
                <c:pt idx="4">
                  <c:v>País Vasco</c:v>
                </c:pt>
                <c:pt idx="5">
                  <c:v>España</c:v>
                </c:pt>
                <c:pt idx="6">
                  <c:v>Canarias</c:v>
                </c:pt>
                <c:pt idx="7">
                  <c:v>Comunitat Valenciana</c:v>
                </c:pt>
                <c:pt idx="8">
                  <c:v>Aragón</c:v>
                </c:pt>
                <c:pt idx="9">
                  <c:v>Andalucía</c:v>
                </c:pt>
                <c:pt idx="10">
                  <c:v>Región de Murcia</c:v>
                </c:pt>
                <c:pt idx="11">
                  <c:v>Galicia</c:v>
                </c:pt>
                <c:pt idx="12">
                  <c:v>Asturias</c:v>
                </c:pt>
                <c:pt idx="13">
                  <c:v>Castilla y León</c:v>
                </c:pt>
                <c:pt idx="14">
                  <c:v>Castilla-La Mancha</c:v>
                </c:pt>
                <c:pt idx="15">
                  <c:v>Extremadura</c:v>
                </c:pt>
              </c:strCache>
            </c:strRef>
          </c:cat>
          <c:val>
            <c:numRef>
              <c:f>CCAA!$B$24:$B$39</c:f>
              <c:numCache>
                <c:formatCode>_-* #,##0\ "€"_-;\-* #,##0\ "€"_-;_-* "-"??\ "€"_-;_-@_-</c:formatCode>
                <c:ptCount val="16"/>
                <c:pt idx="0">
                  <c:v>565.14</c:v>
                </c:pt>
                <c:pt idx="1">
                  <c:v>502.36</c:v>
                </c:pt>
                <c:pt idx="2">
                  <c:v>476.21</c:v>
                </c:pt>
                <c:pt idx="3">
                  <c:v>474.17</c:v>
                </c:pt>
                <c:pt idx="4">
                  <c:v>464.37</c:v>
                </c:pt>
                <c:pt idx="5">
                  <c:v>444.79</c:v>
                </c:pt>
                <c:pt idx="6">
                  <c:v>423.41</c:v>
                </c:pt>
                <c:pt idx="7">
                  <c:v>366.63</c:v>
                </c:pt>
                <c:pt idx="8">
                  <c:v>351.94</c:v>
                </c:pt>
                <c:pt idx="9">
                  <c:v>331.58</c:v>
                </c:pt>
                <c:pt idx="10">
                  <c:v>296.37</c:v>
                </c:pt>
                <c:pt idx="11">
                  <c:v>292.10000000000002</c:v>
                </c:pt>
                <c:pt idx="12">
                  <c:v>287.94</c:v>
                </c:pt>
                <c:pt idx="13">
                  <c:v>266.92</c:v>
                </c:pt>
                <c:pt idx="14">
                  <c:v>249.13</c:v>
                </c:pt>
                <c:pt idx="15">
                  <c:v>226.37</c:v>
                </c:pt>
              </c:numCache>
            </c:numRef>
          </c:val>
          <c:extLst>
            <c:ext xmlns:c16="http://schemas.microsoft.com/office/drawing/2014/chart" uri="{C3380CC4-5D6E-409C-BE32-E72D297353CC}">
              <c16:uniqueId val="{00000006-D8C7-48FE-B1CC-E67878FDF70F}"/>
            </c:ext>
          </c:extLst>
        </c:ser>
        <c:dLbls>
          <c:showLegendKey val="0"/>
          <c:showVal val="0"/>
          <c:showCatName val="0"/>
          <c:showSerName val="0"/>
          <c:showPercent val="0"/>
          <c:showBubbleSize val="0"/>
        </c:dLbls>
        <c:gapWidth val="50"/>
        <c:overlap val="-27"/>
        <c:axId val="1587936352"/>
        <c:axId val="663677872"/>
      </c:barChart>
      <c:catAx>
        <c:axId val="1587936352"/>
        <c:scaling>
          <c:orientation val="minMax"/>
        </c:scaling>
        <c:delete val="0"/>
        <c:axPos val="b"/>
        <c:numFmt formatCode="General" sourceLinked="1"/>
        <c:majorTickMark val="none"/>
        <c:minorTickMark val="none"/>
        <c:tickLblPos val="nextTo"/>
        <c:spPr>
          <a:noFill/>
          <a:ln w="9525" cap="flat" cmpd="sng" algn="ctr">
            <a:solidFill>
              <a:sysClr val="windowText" lastClr="000000">
                <a:lumMod val="95000"/>
                <a:lumOff val="5000"/>
              </a:sys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s-ES"/>
          </a:p>
        </c:txPr>
        <c:crossAx val="663677872"/>
        <c:crosses val="autoZero"/>
        <c:auto val="1"/>
        <c:lblAlgn val="ctr"/>
        <c:lblOffset val="100"/>
        <c:tickLblSkip val="1"/>
        <c:noMultiLvlLbl val="0"/>
      </c:catAx>
      <c:valAx>
        <c:axId val="663677872"/>
        <c:scaling>
          <c:orientation val="minMax"/>
        </c:scaling>
        <c:delete val="1"/>
        <c:axPos val="l"/>
        <c:numFmt formatCode="_-* #,##0\ &quot;€&quot;_-;\-* #,##0\ &quot;€&quot;_-;_-* &quot;-&quot;??\ &quot;€&quot;_-;_-@_-" sourceLinked="1"/>
        <c:majorTickMark val="none"/>
        <c:minorTickMark val="none"/>
        <c:tickLblPos val="nextTo"/>
        <c:crossAx val="1587936352"/>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ersonalizado 1">
    <a:dk1>
      <a:sysClr val="windowText" lastClr="000000"/>
    </a:dk1>
    <a:lt1>
      <a:sysClr val="window" lastClr="FFFFFF"/>
    </a:lt1>
    <a:dk2>
      <a:srgbClr val="323232"/>
    </a:dk2>
    <a:lt2>
      <a:srgbClr val="E3DED1"/>
    </a:lt2>
    <a:accent1>
      <a:srgbClr val="0070C0"/>
    </a:accent1>
    <a:accent2>
      <a:srgbClr val="FFC000"/>
    </a:accent2>
    <a:accent3>
      <a:srgbClr val="FF0000"/>
    </a:accent3>
    <a:accent4>
      <a:srgbClr val="00B0F0"/>
    </a:accent4>
    <a:accent5>
      <a:srgbClr val="92D050"/>
    </a:accent5>
    <a:accent6>
      <a:srgbClr val="00B050"/>
    </a:accent6>
    <a:hlink>
      <a:srgbClr val="F07F09"/>
    </a:hlink>
    <a:folHlink>
      <a:srgbClr val="C000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Kx7oRxN0DgQUqotsLBEF9gNzDg==">CgMxLjAyCWguMnM4ZXlvMTgAciExbVo3U3V1eEY5WjI5akVDeHZrYl9VNmhiV3hQX01ZRUk=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1660</Words>
  <Characters>9133</Characters>
  <Application>Microsoft Office Word</Application>
  <DocSecurity>0</DocSecurity>
  <Lines>76</Lines>
  <Paragraphs>21</Paragraphs>
  <ScaleCrop>false</ScaleCrop>
  <Company/>
  <LinksUpToDate>false</LinksUpToDate>
  <CharactersWithSpaces>10772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Urrea Rodriguez</dc:creator>
  <cp:lastModifiedBy>Anaïs López García</cp:lastModifiedBy>
  <cp:revision>4</cp:revision>
  <dcterms:created xsi:type="dcterms:W3CDTF">2023-08-25T09:30:00Z</dcterms:created>
  <dcterms:modified xsi:type="dcterms:W3CDTF">2023-08-31T11:21:00Z</dcterms:modified>
</cp:coreProperties>
</file>