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2F5" w:rsidRDefault="00000000">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ESTUDIO SOBRE LAS VIVIENDAS HEREDADAS</w:t>
      </w:r>
    </w:p>
    <w:p w:rsidR="00BA32F5" w:rsidRDefault="00000000">
      <w:pPr>
        <w:shd w:val="clear" w:color="auto" w:fill="FFFFFF"/>
        <w:ind w:right="-574"/>
        <w:jc w:val="center"/>
        <w:rPr>
          <w:rFonts w:ascii="National" w:eastAsia="National" w:hAnsi="National" w:cs="National"/>
          <w:b/>
          <w:color w:val="303AB2"/>
          <w:sz w:val="50"/>
          <w:szCs w:val="50"/>
        </w:rPr>
      </w:pPr>
      <w:r>
        <w:rPr>
          <w:rFonts w:ascii="National" w:eastAsia="National" w:hAnsi="National" w:cs="National"/>
          <w:b/>
          <w:color w:val="303AB2"/>
          <w:sz w:val="50"/>
          <w:szCs w:val="50"/>
        </w:rPr>
        <w:t>La oferta de vivienda heredada representa el 17% del total</w:t>
      </w:r>
    </w:p>
    <w:p w:rsidR="00BA32F5" w:rsidRDefault="00BA32F5">
      <w:pPr>
        <w:spacing w:line="276" w:lineRule="auto"/>
        <w:ind w:right="-574"/>
        <w:rPr>
          <w:rFonts w:ascii="Open Sans" w:eastAsia="Open Sans" w:hAnsi="Open Sans" w:cs="Open Sans"/>
          <w:sz w:val="22"/>
          <w:szCs w:val="22"/>
        </w:rPr>
      </w:pPr>
    </w:p>
    <w:p w:rsidR="00BA32F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Se incrementa dos puntos porcentuales en un año la oferta de vivienda heredada que hay en el mercado</w:t>
      </w:r>
    </w:p>
    <w:p w:rsidR="00BA32F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herederos representan el 23% de los oferentes de vivienda en propiedad, mientras que se quedan en el 11% en la vivienda de alquiler</w:t>
      </w:r>
    </w:p>
    <w:p w:rsidR="00BA32F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32% de los herederos que venden lo hacen por motivos personales. Otro 27% pretende evitar los problemas de pagos del alquiler</w:t>
      </w:r>
    </w:p>
    <w:p w:rsidR="00BA32F5"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Entre los herederos que pone en alquiler la vivienda, el motivo principal es tener una fuente de ingresos recurrente (50%)</w:t>
      </w:r>
    </w:p>
    <w:p w:rsidR="00BA32F5" w:rsidRDefault="00BA32F5">
      <w:pPr>
        <w:pBdr>
          <w:top w:val="nil"/>
          <w:left w:val="nil"/>
          <w:bottom w:val="nil"/>
          <w:right w:val="nil"/>
          <w:between w:val="nil"/>
        </w:pBdr>
        <w:spacing w:line="276" w:lineRule="auto"/>
        <w:ind w:right="-574"/>
        <w:jc w:val="both"/>
        <w:rPr>
          <w:rFonts w:ascii="Open Sans" w:eastAsia="Open Sans" w:hAnsi="Open Sans" w:cs="Open Sans"/>
          <w:sz w:val="22"/>
          <w:szCs w:val="22"/>
        </w:rPr>
      </w:pPr>
    </w:p>
    <w:p w:rsidR="00BA32F5"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13 de septiembre de 2023</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vivienda heredada constituye el 17% de la oferta disponible </w:t>
      </w:r>
      <w:r w:rsidR="00414ED1">
        <w:rPr>
          <w:rFonts w:ascii="Open Sans" w:eastAsia="Open Sans" w:hAnsi="Open Sans" w:cs="Open Sans"/>
          <w:color w:val="000000"/>
          <w:sz w:val="22"/>
          <w:szCs w:val="22"/>
        </w:rPr>
        <w:t xml:space="preserve">tanto para vender o alquilar </w:t>
      </w:r>
      <w:r>
        <w:rPr>
          <w:rFonts w:ascii="Open Sans" w:eastAsia="Open Sans" w:hAnsi="Open Sans" w:cs="Open Sans"/>
          <w:color w:val="000000"/>
          <w:sz w:val="22"/>
          <w:szCs w:val="22"/>
        </w:rPr>
        <w:t>en el mercado, de acuerdo con los datos del estudio “</w:t>
      </w:r>
      <w:r>
        <w:rPr>
          <w:rFonts w:ascii="Open Sans" w:eastAsia="Open Sans" w:hAnsi="Open Sans" w:cs="Open Sans"/>
          <w:b/>
          <w:i/>
          <w:color w:val="000000"/>
          <w:sz w:val="22"/>
          <w:szCs w:val="22"/>
        </w:rPr>
        <w:t>Análisis de las viviendas heredadas en España</w:t>
      </w:r>
      <w:r>
        <w:rPr>
          <w:rFonts w:ascii="Open Sans" w:eastAsia="Open Sans" w:hAnsi="Open Sans" w:cs="Open Sans"/>
          <w:color w:val="000000"/>
          <w:sz w:val="22"/>
          <w:szCs w:val="22"/>
        </w:rPr>
        <w:t xml:space="preserve">” elaborado por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para profundizar en el conocimiento de este segmento tan particular del mercado y su incidencia en la oferta de venta y de alquiler.</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 este análisis se concluye que en 2023 esta oferta, además, </w:t>
      </w:r>
      <w:r>
        <w:rPr>
          <w:rFonts w:ascii="Open Sans" w:eastAsia="Open Sans" w:hAnsi="Open Sans" w:cs="Open Sans"/>
          <w:b/>
          <w:color w:val="000000"/>
          <w:sz w:val="22"/>
          <w:szCs w:val="22"/>
        </w:rPr>
        <w:t>se ha incrementado en dos puntos porcentuales respecto al año anterior, cuando era el 15%.</w:t>
      </w:r>
      <w:r>
        <w:rPr>
          <w:rFonts w:ascii="Open Sans" w:eastAsia="Open Sans" w:hAnsi="Open Sans" w:cs="Open Sans"/>
          <w:color w:val="000000"/>
          <w:sz w:val="22"/>
          <w:szCs w:val="22"/>
        </w:rPr>
        <w:t xml:space="preserve"> Su peso, sin embargo, es diferente en función del mercado. </w:t>
      </w:r>
      <w:r>
        <w:rPr>
          <w:rFonts w:ascii="Open Sans" w:eastAsia="Open Sans" w:hAnsi="Open Sans" w:cs="Open Sans"/>
          <w:b/>
          <w:color w:val="000000"/>
          <w:sz w:val="22"/>
          <w:szCs w:val="22"/>
        </w:rPr>
        <w:t xml:space="preserve">Los herederos suponen un 23% de quienes venden algún inmueble, </w:t>
      </w:r>
      <w:r>
        <w:rPr>
          <w:rFonts w:ascii="Open Sans" w:eastAsia="Open Sans" w:hAnsi="Open Sans" w:cs="Open Sans"/>
          <w:color w:val="000000"/>
          <w:sz w:val="22"/>
          <w:szCs w:val="22"/>
        </w:rPr>
        <w:t>un porcentaje dos puntos superior al de 21% de 2022 e idéntico al de 2021. Sin embargo,</w:t>
      </w:r>
      <w:r>
        <w:rPr>
          <w:rFonts w:ascii="Open Sans" w:eastAsia="Open Sans" w:hAnsi="Open Sans" w:cs="Open Sans"/>
          <w:b/>
          <w:color w:val="000000"/>
          <w:sz w:val="22"/>
          <w:szCs w:val="22"/>
        </w:rPr>
        <w:t xml:space="preserve"> entre los arrendadores solo hay un 11% </w:t>
      </w:r>
      <w:r>
        <w:rPr>
          <w:rFonts w:ascii="Open Sans" w:eastAsia="Open Sans" w:hAnsi="Open Sans" w:cs="Open Sans"/>
          <w:color w:val="000000"/>
          <w:sz w:val="22"/>
          <w:szCs w:val="22"/>
        </w:rPr>
        <w:t>de españoles que hayan recibido en herencia la vivienda objeto de la operación. Estos datos indican claramente que las viviendas recibidas por sucesión tienen más salida por el lado de la venta que del alquiler.</w:t>
      </w:r>
    </w:p>
    <w:p w:rsidR="00BA32F5" w:rsidRDefault="00BA32F5">
      <w:pPr>
        <w:spacing w:line="276" w:lineRule="auto"/>
        <w:ind w:right="-574"/>
        <w:jc w:val="both"/>
        <w:rPr>
          <w:rFonts w:ascii="Open Sans" w:eastAsia="Open Sans" w:hAnsi="Open Sans" w:cs="Open Sans"/>
          <w:sz w:val="22"/>
          <w:szCs w:val="22"/>
        </w:rPr>
      </w:pPr>
    </w:p>
    <w:p w:rsidR="00BA32F5"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“Las viviendas heredadas constituyen un volumen muy relevante en la oferta disponible. Es positivo que salgan al mercado, tanto al de la compra como al del alquiler, ya que en ambos el parque de vivienda es insuficiente. Sin embargo, la mayor tensión ocurre en el arrendamiento, justamente donde se produce uno de los cambios más significativos con respecto al año pasado: Los herederos se alejan de problemáticas derivadas del alquiler </w:t>
      </w:r>
      <w:r>
        <w:rPr>
          <w:rFonts w:ascii="Open Sans" w:eastAsia="Open Sans" w:hAnsi="Open Sans" w:cs="Open Sans"/>
          <w:sz w:val="22"/>
          <w:szCs w:val="22"/>
        </w:rPr>
        <w:lastRenderedPageBreak/>
        <w:t xml:space="preserve">y prefieren poner a la venta la vivienda. De esta forma, el mercado de las rentas pierde una gran vía de ampliación de la oferta en alquiler e incluso ocasiona que se reduzca, si la vivienda estaba alquilada y ahora se quiere vender por el nuevo propietario. La administración pública, en conjunto con el sector privado, debe trabajar para crear un clima de estabilidad, con seguridad jurídica para que el propietario tenga garantías al poner en alquiler esa vivienda, en vez de obrar en la dirección contraria con normativas poco acertadas como la ley de vivienda”, comenta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rsidR="00BA32F5" w:rsidRDefault="00BA32F5">
      <w:pPr>
        <w:spacing w:line="276" w:lineRule="auto"/>
        <w:ind w:right="-574"/>
        <w:jc w:val="both"/>
        <w:rPr>
          <w:rFonts w:ascii="Open Sans" w:eastAsia="Open Sans" w:hAnsi="Open Sans" w:cs="Open Sans"/>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6040285" cy="3498505"/>
            <wp:effectExtent l="0" t="0" r="0" b="0"/>
            <wp:docPr id="2025152983" name="image1.jp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Diagrama&#10;&#10;Descripción generada automáticamente"/>
                    <pic:cNvPicPr preferRelativeResize="0"/>
                  </pic:nvPicPr>
                  <pic:blipFill>
                    <a:blip r:embed="rId10"/>
                    <a:srcRect/>
                    <a:stretch>
                      <a:fillRect/>
                    </a:stretch>
                  </pic:blipFill>
                  <pic:spPr>
                    <a:xfrm>
                      <a:off x="0" y="0"/>
                      <a:ext cx="6040285" cy="3498505"/>
                    </a:xfrm>
                    <a:prstGeom prst="rect">
                      <a:avLst/>
                    </a:prstGeom>
                    <a:ln/>
                  </pic:spPr>
                </pic:pic>
              </a:graphicData>
            </a:graphic>
          </wp:inline>
        </w:drawing>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Motivos para vender la vivienda heredada</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Nos encontramos con dos motivos principales para querer vender en lugar de poner en alquiler</w:t>
      </w:r>
      <w:r>
        <w:rPr>
          <w:rFonts w:ascii="Open Sans" w:eastAsia="Open Sans" w:hAnsi="Open Sans" w:cs="Open Sans"/>
          <w:color w:val="000000"/>
          <w:sz w:val="22"/>
          <w:szCs w:val="22"/>
        </w:rPr>
        <w:t xml:space="preserve"> por parte de los herederos vendedores. Y son dos motivos que han llevado una tendencia opuesta desde 2020.</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Mientras que los motivos personales han perdido 18 puntos porcentuales desde 2020, pasando del 50% de entonces al 32% actual, </w:t>
      </w:r>
      <w:r>
        <w:rPr>
          <w:rFonts w:ascii="Open Sans" w:eastAsia="Open Sans" w:hAnsi="Open Sans" w:cs="Open Sans"/>
          <w:b/>
          <w:color w:val="000000"/>
          <w:sz w:val="22"/>
          <w:szCs w:val="22"/>
        </w:rPr>
        <w:t>el no querer problemas con el pago del alquiler aumenta en 13 puntos porcentuales desde el mismo periodo</w:t>
      </w:r>
      <w:r>
        <w:rPr>
          <w:rFonts w:ascii="Open Sans" w:eastAsia="Open Sans" w:hAnsi="Open Sans" w:cs="Open Sans"/>
          <w:color w:val="000000"/>
          <w:sz w:val="22"/>
          <w:szCs w:val="22"/>
        </w:rPr>
        <w:t xml:space="preserve"> (del 14% de </w:t>
      </w:r>
      <w:r>
        <w:rPr>
          <w:rFonts w:ascii="Open Sans" w:eastAsia="Open Sans" w:hAnsi="Open Sans" w:cs="Open Sans"/>
          <w:color w:val="000000"/>
          <w:sz w:val="22"/>
          <w:szCs w:val="22"/>
        </w:rPr>
        <w:lastRenderedPageBreak/>
        <w:t>2020 al 27% de 2023). De esta manera, la brecha entre ambos motivos pasa a ser de 36 puntos en 2020, a tan solo 5 puntos en 2023.</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estos motivos principales le siguen otros dos con un porcentaje del 16%. Así, en </w:t>
      </w:r>
      <w:r>
        <w:rPr>
          <w:rFonts w:ascii="Open Sans" w:eastAsia="Open Sans" w:hAnsi="Open Sans" w:cs="Open Sans"/>
          <w:b/>
          <w:color w:val="000000"/>
          <w:sz w:val="22"/>
          <w:szCs w:val="22"/>
        </w:rPr>
        <w:t>tercer lugar, se sitúa la imposibilidad de asumir los costes que comporta la vivienda heredada</w:t>
      </w:r>
      <w:r>
        <w:rPr>
          <w:rFonts w:ascii="Open Sans" w:eastAsia="Open Sans" w:hAnsi="Open Sans" w:cs="Open Sans"/>
          <w:color w:val="000000"/>
          <w:sz w:val="22"/>
          <w:szCs w:val="22"/>
        </w:rPr>
        <w:t xml:space="preserve">, mientras que a continuación encontramos como causa el hecho de que </w:t>
      </w:r>
      <w:r>
        <w:rPr>
          <w:rFonts w:ascii="Open Sans" w:eastAsia="Open Sans" w:hAnsi="Open Sans" w:cs="Open Sans"/>
          <w:b/>
          <w:color w:val="000000"/>
          <w:sz w:val="22"/>
          <w:szCs w:val="22"/>
        </w:rPr>
        <w:t>no existan beneficios fiscales que compensen los riesgos</w:t>
      </w:r>
      <w:r>
        <w:rPr>
          <w:rFonts w:ascii="Open Sans" w:eastAsia="Open Sans" w:hAnsi="Open Sans" w:cs="Open Sans"/>
          <w:color w:val="000000"/>
          <w:sz w:val="22"/>
          <w:szCs w:val="22"/>
        </w:rPr>
        <w:t>. Un poco más abajo, con un 15%, está el motivo de desear comprar otra vivienda.</w:t>
      </w:r>
    </w:p>
    <w:p w:rsidR="00BA32F5"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Además, estos vendedores que han heredado se diferencian del resto porque, entre sus motivos para la venta, </w:t>
      </w:r>
      <w:r>
        <w:rPr>
          <w:rFonts w:ascii="Open Sans" w:eastAsia="Open Sans" w:hAnsi="Open Sans" w:cs="Open Sans"/>
          <w:b/>
          <w:color w:val="000000"/>
          <w:sz w:val="22"/>
          <w:szCs w:val="22"/>
        </w:rPr>
        <w:t>le dan más importancia a los potenciales problemas del alquiler y a las dificultades para asumir los costes que genera una vivienda.</w:t>
      </w:r>
    </w:p>
    <w:p w:rsidR="00BA32F5"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727370" cy="4500750"/>
            <wp:effectExtent l="0" t="0" r="0" b="0"/>
            <wp:docPr id="2025152985" name="image4.jp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jpg" descr="Imagen que contiene Interfaz de usuario gráfica&#10;&#10;Descripción generada automáticamente"/>
                    <pic:cNvPicPr preferRelativeResize="0"/>
                  </pic:nvPicPr>
                  <pic:blipFill>
                    <a:blip r:embed="rId11"/>
                    <a:srcRect/>
                    <a:stretch>
                      <a:fillRect/>
                    </a:stretch>
                  </pic:blipFill>
                  <pic:spPr>
                    <a:xfrm>
                      <a:off x="0" y="0"/>
                      <a:ext cx="5727370" cy="4500750"/>
                    </a:xfrm>
                    <a:prstGeom prst="rect">
                      <a:avLst/>
                    </a:prstGeom>
                    <a:ln/>
                  </pic:spPr>
                </pic:pic>
              </a:graphicData>
            </a:graphic>
          </wp:inline>
        </w:drawing>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Al igual</w:t>
      </w:r>
      <w:r>
        <w:rPr>
          <w:rFonts w:ascii="Open Sans" w:eastAsia="Open Sans" w:hAnsi="Open Sans" w:cs="Open Sans"/>
          <w:color w:val="000000"/>
          <w:sz w:val="22"/>
          <w:szCs w:val="22"/>
        </w:rPr>
        <w:t xml:space="preserve"> que el año pasado, </w:t>
      </w:r>
      <w:r>
        <w:rPr>
          <w:rFonts w:ascii="Open Sans" w:eastAsia="Open Sans" w:hAnsi="Open Sans" w:cs="Open Sans"/>
          <w:b/>
          <w:color w:val="000000"/>
          <w:sz w:val="22"/>
          <w:szCs w:val="22"/>
        </w:rPr>
        <w:t>el elevado precio y la labor de las inmobiliarias constituyen las principales dificultades para la venta por parte de los herederos vendedores</w:t>
      </w:r>
      <w:r>
        <w:rPr>
          <w:rFonts w:ascii="Open Sans" w:eastAsia="Open Sans" w:hAnsi="Open Sans" w:cs="Open Sans"/>
          <w:color w:val="000000"/>
          <w:sz w:val="22"/>
          <w:szCs w:val="22"/>
        </w:rPr>
        <w:t xml:space="preserve">. En ambos casos, el porcentaje de los que señalan ambos problemas alcanza el 22%, y en los </w:t>
      </w:r>
      <w:r>
        <w:rPr>
          <w:rFonts w:ascii="Open Sans" w:eastAsia="Open Sans" w:hAnsi="Open Sans" w:cs="Open Sans"/>
          <w:color w:val="000000"/>
          <w:sz w:val="22"/>
          <w:szCs w:val="22"/>
        </w:rPr>
        <w:lastRenderedPageBreak/>
        <w:t>dos casos éste es superior a los registrados en 2022, cuando fueron del 20% y el 17%, respectivamente.</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tercera posición se aduce como dificultad para la venta </w:t>
      </w:r>
      <w:r>
        <w:rPr>
          <w:rFonts w:ascii="Open Sans" w:eastAsia="Open Sans" w:hAnsi="Open Sans" w:cs="Open Sans"/>
          <w:b/>
          <w:color w:val="000000"/>
          <w:sz w:val="22"/>
          <w:szCs w:val="22"/>
        </w:rPr>
        <w:t>la ubicación del inmueble heredado</w:t>
      </w:r>
      <w:r>
        <w:rPr>
          <w:rFonts w:ascii="Open Sans" w:eastAsia="Open Sans" w:hAnsi="Open Sans" w:cs="Open Sans"/>
          <w:color w:val="000000"/>
          <w:sz w:val="22"/>
          <w:szCs w:val="22"/>
        </w:rPr>
        <w:t>, circunstancia que, sin embargo, baja un punto porcentual en relación con 2022, al pasar del 15% al 14%.</w:t>
      </w:r>
    </w:p>
    <w:p w:rsidR="00BA32F5" w:rsidRDefault="00BA32F5">
      <w:pPr>
        <w:spacing w:line="276" w:lineRule="auto"/>
        <w:ind w:right="-574"/>
        <w:jc w:val="both"/>
        <w:rPr>
          <w:rFonts w:ascii="Open Sans" w:eastAsia="Open Sans" w:hAnsi="Open Sans" w:cs="Open Sans"/>
          <w:color w:val="000000"/>
          <w:sz w:val="22"/>
          <w:szCs w:val="22"/>
        </w:rPr>
      </w:pP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Aunque estos argumentos permanecen relativamente constantes en el tiempo, sí que tenemos otras dificultades que experimentan cambios. Así, </w:t>
      </w:r>
      <w:r>
        <w:rPr>
          <w:rFonts w:ascii="Open Sans" w:eastAsia="Open Sans" w:hAnsi="Open Sans" w:cs="Open Sans"/>
          <w:b/>
          <w:color w:val="000000"/>
          <w:sz w:val="22"/>
          <w:szCs w:val="22"/>
        </w:rPr>
        <w:t>mientras que la desconfianza sobre los posibles inquilinos gana terreno —alcanzando el 11%, dos puntos porcentuales más que doce meses antes—, la elevada cantidad de ofertas pierde fuerza —bajando del 15% al 13%—.</w:t>
      </w:r>
    </w:p>
    <w:p w:rsidR="00BA32F5" w:rsidRDefault="00BA32F5">
      <w:pPr>
        <w:spacing w:line="276" w:lineRule="auto"/>
        <w:ind w:right="-574"/>
        <w:jc w:val="both"/>
        <w:rPr>
          <w:rFonts w:ascii="Open Sans" w:eastAsia="Open Sans" w:hAnsi="Open Sans" w:cs="Open Sans"/>
          <w:color w:val="000000"/>
          <w:sz w:val="22"/>
          <w:szCs w:val="22"/>
        </w:rPr>
      </w:pPr>
    </w:p>
    <w:p w:rsidR="00BA32F5" w:rsidRDefault="00BA32F5">
      <w:pPr>
        <w:spacing w:line="276" w:lineRule="auto"/>
        <w:ind w:right="-574"/>
        <w:jc w:val="both"/>
        <w:rPr>
          <w:rFonts w:ascii="Open Sans Light" w:eastAsia="Open Sans Light" w:hAnsi="Open Sans Light" w:cs="Open Sans Light"/>
          <w:b/>
          <w:color w:val="303AB2"/>
          <w:sz w:val="26"/>
          <w:szCs w:val="26"/>
        </w:rPr>
      </w:pPr>
    </w:p>
    <w:p w:rsidR="00BA32F5" w:rsidRDefault="00000000">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Motivos para alquilar la vivienda heredada</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Tres son los motivos principales para alquilar en lugar de vender la vivienda heredada: es </w:t>
      </w:r>
      <w:r>
        <w:rPr>
          <w:rFonts w:ascii="Open Sans" w:eastAsia="Open Sans" w:hAnsi="Open Sans" w:cs="Open Sans"/>
          <w:b/>
          <w:color w:val="000000"/>
          <w:sz w:val="22"/>
          <w:szCs w:val="22"/>
        </w:rPr>
        <w:t>una fuente de ingresos (45%); preferir que esté ocupada (38%) y la rentabilidad que ofrece el alquiler (31%).</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Sin embargo, en las tres razones citadas se observa un notable descenso respecto al año anterior, especialmente acusado en el argumento de la predilección por tener el inmueble ocupado antes que vacío, que doce meses antes era empleado por el 50% de los consultados. Este mismo porcentaje era el que defendía el alquiler como fuente de ingresos, motivo que ahora pierde cinco puntos porcentuales. El tercer motivo, el de la rentabilidad, cae del 38% al 31%.</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b/>
          <w:color w:val="000000"/>
          <w:sz w:val="22"/>
          <w:szCs w:val="22"/>
        </w:rPr>
      </w:pPr>
      <w:r>
        <w:rPr>
          <w:rFonts w:ascii="Open Sans" w:eastAsia="Open Sans" w:hAnsi="Open Sans" w:cs="Open Sans"/>
          <w:color w:val="000000"/>
          <w:sz w:val="22"/>
          <w:szCs w:val="22"/>
        </w:rPr>
        <w:t xml:space="preserve">Si comparamos el arrendador heredero con el resto de los arrendadores, observamos que no existen grandes diferencias. La única digna de ser reseñada es que </w:t>
      </w:r>
      <w:r>
        <w:rPr>
          <w:rFonts w:ascii="Open Sans" w:eastAsia="Open Sans" w:hAnsi="Open Sans" w:cs="Open Sans"/>
          <w:b/>
          <w:color w:val="000000"/>
          <w:sz w:val="22"/>
          <w:szCs w:val="22"/>
        </w:rPr>
        <w:t>el heredero arrendador da menos peso a la fuente de ingresos (45% frente al 62%).</w:t>
      </w: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lo que corresponde al principal freno de los herederos arrendadores a la hora de alquilar la vivienda, </w:t>
      </w:r>
      <w:r>
        <w:rPr>
          <w:rFonts w:ascii="Open Sans" w:eastAsia="Open Sans" w:hAnsi="Open Sans" w:cs="Open Sans"/>
          <w:b/>
          <w:color w:val="000000"/>
          <w:sz w:val="22"/>
          <w:szCs w:val="22"/>
        </w:rPr>
        <w:t>prima la desconfianza sobre los posibles inquilinos (36%),</w:t>
      </w:r>
      <w:r>
        <w:rPr>
          <w:rFonts w:ascii="Open Sans" w:eastAsia="Open Sans" w:hAnsi="Open Sans" w:cs="Open Sans"/>
          <w:color w:val="000000"/>
          <w:sz w:val="22"/>
          <w:szCs w:val="22"/>
        </w:rPr>
        <w:t xml:space="preserve"> </w:t>
      </w:r>
      <w:r>
        <w:rPr>
          <w:rFonts w:ascii="Open Sans" w:eastAsia="Open Sans" w:hAnsi="Open Sans" w:cs="Open Sans"/>
          <w:b/>
          <w:color w:val="000000"/>
          <w:sz w:val="22"/>
          <w:szCs w:val="22"/>
        </w:rPr>
        <w:t>seguido de la labor de inmobiliarias y agencias (24%), la disponibilidad de tiempo para enseñar la vivienda (18%) y la elevada cantidad de ofertas (12%).</w:t>
      </w:r>
      <w:r>
        <w:rPr>
          <w:rFonts w:ascii="Open Sans" w:eastAsia="Open Sans" w:hAnsi="Open Sans" w:cs="Open Sans"/>
          <w:color w:val="000000"/>
          <w:sz w:val="22"/>
          <w:szCs w:val="22"/>
        </w:rPr>
        <w:t xml:space="preserve"> De estas razones, </w:t>
      </w:r>
      <w:r>
        <w:rPr>
          <w:rFonts w:ascii="Open Sans" w:eastAsia="Open Sans" w:hAnsi="Open Sans" w:cs="Open Sans"/>
          <w:color w:val="000000"/>
          <w:sz w:val="22"/>
          <w:szCs w:val="22"/>
        </w:rPr>
        <w:lastRenderedPageBreak/>
        <w:t>llama la atención la escalada que experimenta la atribuida a la acción de inmobiliarias y agencias, que se sitúa en segunda posición al subir en solo un año del 11% al 24%, nada menos que trece puntos porcentuales.</w:t>
      </w:r>
    </w:p>
    <w:p w:rsidR="00BA32F5"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extent cx="5789176" cy="4201887"/>
            <wp:effectExtent l="0" t="0" r="0" b="0"/>
            <wp:docPr id="2025152984" name="image3.jpg" descr="Interfaz de usuario gráfica,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nterfaz de usuario gráfica, Gráfico&#10;&#10;Descripción generada automáticamente"/>
                    <pic:cNvPicPr preferRelativeResize="0"/>
                  </pic:nvPicPr>
                  <pic:blipFill>
                    <a:blip r:embed="rId12"/>
                    <a:srcRect/>
                    <a:stretch>
                      <a:fillRect/>
                    </a:stretch>
                  </pic:blipFill>
                  <pic:spPr>
                    <a:xfrm>
                      <a:off x="0" y="0"/>
                      <a:ext cx="5789176" cy="4201887"/>
                    </a:xfrm>
                    <a:prstGeom prst="rect">
                      <a:avLst/>
                    </a:prstGeom>
                    <a:ln/>
                  </pic:spPr>
                </pic:pic>
              </a:graphicData>
            </a:graphic>
          </wp:inline>
        </w:drawing>
      </w:r>
    </w:p>
    <w:p w:rsidR="00BA32F5" w:rsidRDefault="00BA32F5">
      <w:pPr>
        <w:spacing w:line="276" w:lineRule="auto"/>
        <w:ind w:right="-574"/>
        <w:jc w:val="both"/>
        <w:rPr>
          <w:rFonts w:ascii="Open Sans" w:eastAsia="Open Sans" w:hAnsi="Open Sans" w:cs="Open Sans"/>
          <w:color w:val="000000"/>
          <w:sz w:val="22"/>
          <w:szCs w:val="22"/>
        </w:rPr>
      </w:pPr>
    </w:p>
    <w:p w:rsidR="00BA32F5" w:rsidRDefault="00BA32F5">
      <w:pPr>
        <w:spacing w:line="276" w:lineRule="auto"/>
        <w:ind w:right="-574"/>
        <w:jc w:val="both"/>
        <w:rPr>
          <w:rFonts w:ascii="Open Sans" w:eastAsia="Open Sans" w:hAnsi="Open Sans" w:cs="Open Sans"/>
          <w:color w:val="000000"/>
          <w:sz w:val="22"/>
          <w:szCs w:val="22"/>
        </w:rPr>
      </w:pPr>
    </w:p>
    <w:p w:rsidR="00BA32F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rsidR="00BA32F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2s8eyo1" w:colFirst="0" w:colLast="0"/>
    <w:bookmarkEnd w:id="0"/>
    <w:p w:rsidR="00BA32F5"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rsidR="00BA32F5"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rsidR="00BA32F5"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rsidR="00BA32F5"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rsidR="00BA32F5"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rsidR="00BA32F5"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rsidR="00BA32F5"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1">
        <w:r>
          <w:rPr>
            <w:rFonts w:ascii="Open Sans" w:eastAsia="Open Sans" w:hAnsi="Open Sans" w:cs="Open Sans"/>
            <w:color w:val="1155CC"/>
            <w:sz w:val="22"/>
            <w:szCs w:val="22"/>
            <w:u w:val="single"/>
          </w:rPr>
          <w:t>adevinta.es</w:t>
        </w:r>
      </w:hyperlink>
    </w:p>
    <w:p w:rsidR="00BA32F5" w:rsidRDefault="00BA32F5">
      <w:pPr>
        <w:spacing w:after="160"/>
        <w:ind w:right="-716"/>
        <w:jc w:val="both"/>
        <w:rPr>
          <w:rFonts w:ascii="Open Sans" w:eastAsia="Open Sans" w:hAnsi="Open Sans" w:cs="Open Sans"/>
        </w:rPr>
      </w:pPr>
    </w:p>
    <w:p w:rsidR="00BA32F5"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rsidR="00BA32F5"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rsidR="00BA32F5" w:rsidRDefault="00000000">
      <w:pPr>
        <w:shd w:val="clear" w:color="auto" w:fill="FFFFFF"/>
        <w:spacing w:line="276" w:lineRule="auto"/>
        <w:ind w:right="-716"/>
        <w:rPr>
          <w:rFonts w:ascii="Open Sans" w:eastAsia="Open Sans" w:hAnsi="Open Sans" w:cs="Open Sans"/>
          <w:color w:val="0000FF"/>
          <w:sz w:val="22"/>
          <w:szCs w:val="22"/>
          <w:u w:val="single"/>
        </w:rPr>
      </w:pPr>
      <w:hyperlink r:id="rId22">
        <w:r>
          <w:rPr>
            <w:rFonts w:ascii="Open Sans" w:eastAsia="Open Sans" w:hAnsi="Open Sans" w:cs="Open Sans"/>
            <w:color w:val="0000FF"/>
            <w:sz w:val="22"/>
            <w:szCs w:val="22"/>
            <w:u w:val="single"/>
          </w:rPr>
          <w:t>comunicacion@fotocasa.es</w:t>
        </w:r>
      </w:hyperlink>
    </w:p>
    <w:p w:rsidR="00BA32F5"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rsidR="00BA32F5" w:rsidRDefault="00BA32F5">
      <w:pPr>
        <w:spacing w:line="276" w:lineRule="auto"/>
        <w:ind w:right="-716"/>
        <w:rPr>
          <w:rFonts w:ascii="Open Sans Light" w:eastAsia="Open Sans Light" w:hAnsi="Open Sans Light" w:cs="Open Sans Light"/>
          <w:b/>
          <w:color w:val="303AB2"/>
          <w:sz w:val="22"/>
          <w:szCs w:val="22"/>
        </w:rPr>
      </w:pPr>
    </w:p>
    <w:p w:rsidR="00BA32F5" w:rsidRDefault="00BA32F5">
      <w:pPr>
        <w:spacing w:line="276" w:lineRule="auto"/>
        <w:ind w:right="-716"/>
        <w:rPr>
          <w:rFonts w:ascii="Open Sans Light" w:eastAsia="Open Sans Light" w:hAnsi="Open Sans Light" w:cs="Open Sans Light"/>
          <w:b/>
          <w:color w:val="303AB2"/>
          <w:sz w:val="22"/>
          <w:szCs w:val="22"/>
        </w:rPr>
      </w:pPr>
    </w:p>
    <w:p w:rsidR="00BA32F5"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rsidR="00BA32F5"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rsidR="00BA32F5" w:rsidRPr="00414ED1"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3">
        <w:r w:rsidRPr="00414ED1">
          <w:rPr>
            <w:rFonts w:ascii="Open Sans" w:eastAsia="Open Sans" w:hAnsi="Open Sans" w:cs="Open Sans"/>
            <w:color w:val="0000FF"/>
            <w:sz w:val="22"/>
            <w:szCs w:val="22"/>
            <w:u w:val="single"/>
            <w:lang w:val="en-US"/>
          </w:rPr>
          <w:t>rtorne@llorenteycuenca.com</w:t>
        </w:r>
      </w:hyperlink>
      <w:r w:rsidRPr="00414ED1">
        <w:rPr>
          <w:rFonts w:ascii="Open Sans" w:eastAsia="Open Sans" w:hAnsi="Open Sans" w:cs="Open Sans"/>
          <w:color w:val="0000FF"/>
          <w:sz w:val="22"/>
          <w:szCs w:val="22"/>
          <w:lang w:val="en-US"/>
        </w:rPr>
        <w:tab/>
      </w:r>
      <w:r w:rsidRPr="00414ED1">
        <w:rPr>
          <w:rFonts w:ascii="Open Sans" w:eastAsia="Open Sans" w:hAnsi="Open Sans" w:cs="Open Sans"/>
          <w:color w:val="0000FF"/>
          <w:sz w:val="22"/>
          <w:szCs w:val="22"/>
          <w:lang w:val="en-US"/>
        </w:rPr>
        <w:tab/>
      </w:r>
      <w:r w:rsidRPr="00414ED1">
        <w:rPr>
          <w:rFonts w:ascii="Open Sans" w:eastAsia="Open Sans" w:hAnsi="Open Sans" w:cs="Open Sans"/>
          <w:color w:val="0000FF"/>
          <w:sz w:val="22"/>
          <w:szCs w:val="22"/>
          <w:lang w:val="en-US"/>
        </w:rPr>
        <w:tab/>
      </w:r>
    </w:p>
    <w:p w:rsidR="00BA32F5" w:rsidRPr="00414ED1" w:rsidRDefault="00000000">
      <w:pPr>
        <w:shd w:val="clear" w:color="auto" w:fill="FFFFFF"/>
        <w:spacing w:line="276" w:lineRule="auto"/>
        <w:ind w:right="-716"/>
        <w:rPr>
          <w:rFonts w:ascii="Open Sans" w:eastAsia="Open Sans" w:hAnsi="Open Sans" w:cs="Open Sans"/>
          <w:color w:val="000000"/>
          <w:sz w:val="22"/>
          <w:szCs w:val="22"/>
          <w:lang w:val="en-US"/>
        </w:rPr>
      </w:pPr>
      <w:r w:rsidRPr="00414ED1">
        <w:rPr>
          <w:rFonts w:ascii="Open Sans" w:eastAsia="Open Sans" w:hAnsi="Open Sans" w:cs="Open Sans"/>
          <w:color w:val="000000"/>
          <w:sz w:val="22"/>
          <w:szCs w:val="22"/>
          <w:lang w:val="en-US"/>
        </w:rPr>
        <w:t xml:space="preserve">638 68 19 85      </w:t>
      </w:r>
      <w:r w:rsidRPr="00414ED1">
        <w:rPr>
          <w:rFonts w:ascii="Open Sans" w:eastAsia="Open Sans" w:hAnsi="Open Sans" w:cs="Open Sans"/>
          <w:color w:val="000000"/>
          <w:sz w:val="22"/>
          <w:szCs w:val="22"/>
          <w:lang w:val="en-US"/>
        </w:rPr>
        <w:tab/>
      </w:r>
      <w:r w:rsidRPr="00414ED1">
        <w:rPr>
          <w:rFonts w:ascii="Open Sans" w:eastAsia="Open Sans" w:hAnsi="Open Sans" w:cs="Open Sans"/>
          <w:color w:val="000000"/>
          <w:sz w:val="22"/>
          <w:szCs w:val="22"/>
          <w:lang w:val="en-US"/>
        </w:rPr>
        <w:tab/>
      </w:r>
      <w:r w:rsidRPr="00414ED1">
        <w:rPr>
          <w:rFonts w:ascii="Open Sans" w:eastAsia="Open Sans" w:hAnsi="Open Sans" w:cs="Open Sans"/>
          <w:color w:val="000000"/>
          <w:sz w:val="22"/>
          <w:szCs w:val="22"/>
          <w:lang w:val="en-US"/>
        </w:rPr>
        <w:tab/>
      </w:r>
      <w:r w:rsidRPr="00414ED1">
        <w:rPr>
          <w:rFonts w:ascii="Open Sans" w:eastAsia="Open Sans" w:hAnsi="Open Sans" w:cs="Open Sans"/>
          <w:color w:val="000000"/>
          <w:sz w:val="22"/>
          <w:szCs w:val="22"/>
          <w:lang w:val="en-US"/>
        </w:rPr>
        <w:tab/>
      </w:r>
      <w:r w:rsidRPr="00414ED1">
        <w:rPr>
          <w:rFonts w:ascii="Open Sans" w:eastAsia="Open Sans" w:hAnsi="Open Sans" w:cs="Open Sans"/>
          <w:color w:val="000000"/>
          <w:sz w:val="22"/>
          <w:szCs w:val="22"/>
          <w:lang w:val="en-US"/>
        </w:rPr>
        <w:tab/>
      </w:r>
      <w:r w:rsidRPr="00414ED1">
        <w:rPr>
          <w:rFonts w:ascii="Open Sans" w:eastAsia="Open Sans" w:hAnsi="Open Sans" w:cs="Open Sans"/>
          <w:color w:val="000000"/>
          <w:sz w:val="22"/>
          <w:szCs w:val="22"/>
          <w:lang w:val="en-US"/>
        </w:rPr>
        <w:tab/>
      </w:r>
      <w:r w:rsidRPr="00414ED1">
        <w:rPr>
          <w:rFonts w:ascii="Open Sans" w:eastAsia="Open Sans" w:hAnsi="Open Sans" w:cs="Open Sans"/>
          <w:color w:val="000000"/>
          <w:sz w:val="22"/>
          <w:szCs w:val="22"/>
          <w:lang w:val="en-US"/>
        </w:rPr>
        <w:tab/>
      </w:r>
      <w:r w:rsidRPr="00414ED1">
        <w:rPr>
          <w:rFonts w:ascii="Open Sans" w:eastAsia="Open Sans" w:hAnsi="Open Sans" w:cs="Open Sans"/>
          <w:color w:val="000000"/>
          <w:sz w:val="22"/>
          <w:szCs w:val="22"/>
          <w:lang w:val="en-US"/>
        </w:rPr>
        <w:tab/>
      </w:r>
    </w:p>
    <w:p w:rsidR="00BA32F5" w:rsidRPr="00414ED1" w:rsidRDefault="00000000">
      <w:pPr>
        <w:shd w:val="clear" w:color="auto" w:fill="FFFFFF"/>
        <w:ind w:right="-716"/>
        <w:rPr>
          <w:rFonts w:ascii="Arial" w:eastAsia="Arial" w:hAnsi="Arial" w:cs="Arial"/>
          <w:color w:val="222222"/>
          <w:sz w:val="22"/>
          <w:szCs w:val="22"/>
          <w:lang w:val="en-US"/>
        </w:rPr>
      </w:pPr>
      <w:r w:rsidRPr="00414ED1">
        <w:rPr>
          <w:rFonts w:ascii="Arial" w:eastAsia="Arial" w:hAnsi="Arial" w:cs="Arial"/>
          <w:color w:val="222222"/>
          <w:sz w:val="22"/>
          <w:szCs w:val="22"/>
          <w:lang w:val="en-US"/>
        </w:rPr>
        <w:tab/>
      </w:r>
      <w:r w:rsidRPr="00414ED1">
        <w:rPr>
          <w:rFonts w:ascii="Arial" w:eastAsia="Arial" w:hAnsi="Arial" w:cs="Arial"/>
          <w:color w:val="222222"/>
          <w:sz w:val="22"/>
          <w:szCs w:val="22"/>
          <w:lang w:val="en-US"/>
        </w:rPr>
        <w:tab/>
      </w:r>
      <w:r w:rsidRPr="00414ED1">
        <w:rPr>
          <w:rFonts w:ascii="Arial" w:eastAsia="Arial" w:hAnsi="Arial" w:cs="Arial"/>
          <w:color w:val="222222"/>
          <w:sz w:val="22"/>
          <w:szCs w:val="22"/>
          <w:lang w:val="en-US"/>
        </w:rPr>
        <w:tab/>
      </w:r>
      <w:r w:rsidRPr="00414ED1">
        <w:rPr>
          <w:rFonts w:ascii="Arial" w:eastAsia="Arial" w:hAnsi="Arial" w:cs="Arial"/>
          <w:color w:val="222222"/>
          <w:sz w:val="22"/>
          <w:szCs w:val="22"/>
          <w:lang w:val="en-US"/>
        </w:rPr>
        <w:tab/>
        <w:t xml:space="preserve">     </w:t>
      </w:r>
    </w:p>
    <w:p w:rsidR="00BA32F5" w:rsidRPr="00414ED1" w:rsidRDefault="00000000">
      <w:pPr>
        <w:shd w:val="clear" w:color="auto" w:fill="FFFFFF"/>
        <w:ind w:right="-716"/>
        <w:rPr>
          <w:rFonts w:ascii="Open Sans" w:eastAsia="Open Sans" w:hAnsi="Open Sans" w:cs="Open Sans"/>
          <w:b/>
          <w:color w:val="000000"/>
          <w:sz w:val="22"/>
          <w:szCs w:val="22"/>
          <w:lang w:val="en-US"/>
        </w:rPr>
      </w:pPr>
      <w:r w:rsidRPr="00414ED1">
        <w:rPr>
          <w:rFonts w:ascii="Open Sans" w:eastAsia="Open Sans" w:hAnsi="Open Sans" w:cs="Open Sans"/>
          <w:b/>
          <w:color w:val="000000"/>
          <w:sz w:val="22"/>
          <w:szCs w:val="22"/>
          <w:lang w:val="en-US"/>
        </w:rPr>
        <w:t>Fanny Merino</w:t>
      </w:r>
    </w:p>
    <w:p w:rsidR="00BA32F5" w:rsidRPr="00414ED1" w:rsidRDefault="00000000">
      <w:pPr>
        <w:shd w:val="clear" w:color="auto" w:fill="FFFFFF"/>
        <w:ind w:right="-716"/>
        <w:rPr>
          <w:rFonts w:ascii="Open Sans" w:eastAsia="Open Sans" w:hAnsi="Open Sans" w:cs="Open Sans"/>
          <w:b/>
          <w:color w:val="000000"/>
          <w:sz w:val="22"/>
          <w:szCs w:val="22"/>
          <w:lang w:val="en-US"/>
        </w:rPr>
      </w:pPr>
      <w:hyperlink r:id="rId24">
        <w:r w:rsidRPr="00414ED1">
          <w:rPr>
            <w:rFonts w:ascii="Open Sans" w:eastAsia="Open Sans" w:hAnsi="Open Sans" w:cs="Open Sans"/>
            <w:color w:val="0000FF"/>
            <w:sz w:val="22"/>
            <w:szCs w:val="22"/>
            <w:u w:val="single"/>
            <w:lang w:val="en-US"/>
          </w:rPr>
          <w:t>emerino@llorenteycuenca.com</w:t>
        </w:r>
      </w:hyperlink>
      <w:r w:rsidRPr="00414ED1">
        <w:rPr>
          <w:rFonts w:ascii="Open Sans" w:eastAsia="Open Sans" w:hAnsi="Open Sans" w:cs="Open Sans"/>
          <w:color w:val="0000FF"/>
          <w:sz w:val="22"/>
          <w:szCs w:val="22"/>
          <w:lang w:val="en-US"/>
        </w:rPr>
        <w:tab/>
      </w:r>
      <w:r w:rsidRPr="00414ED1">
        <w:rPr>
          <w:rFonts w:ascii="Open Sans" w:eastAsia="Open Sans" w:hAnsi="Open Sans" w:cs="Open Sans"/>
          <w:color w:val="0000FF"/>
          <w:sz w:val="22"/>
          <w:szCs w:val="22"/>
          <w:lang w:val="en-US"/>
        </w:rPr>
        <w:tab/>
      </w:r>
    </w:p>
    <w:p w:rsidR="00BA32F5" w:rsidRPr="00414ED1" w:rsidRDefault="00000000">
      <w:pPr>
        <w:shd w:val="clear" w:color="auto" w:fill="FFFFFF"/>
        <w:ind w:right="-716"/>
        <w:rPr>
          <w:rFonts w:ascii="Open Sans" w:eastAsia="Open Sans" w:hAnsi="Open Sans" w:cs="Open Sans"/>
          <w:color w:val="000000"/>
          <w:sz w:val="22"/>
          <w:szCs w:val="22"/>
          <w:lang w:val="en-US"/>
        </w:rPr>
      </w:pPr>
      <w:r w:rsidRPr="00414ED1">
        <w:rPr>
          <w:rFonts w:ascii="Open Sans" w:eastAsia="Open Sans" w:hAnsi="Open Sans" w:cs="Open Sans"/>
          <w:color w:val="000000"/>
          <w:sz w:val="22"/>
          <w:szCs w:val="22"/>
          <w:lang w:val="en-US"/>
        </w:rPr>
        <w:t>663 35 69 75 </w:t>
      </w:r>
    </w:p>
    <w:p w:rsidR="00BA32F5" w:rsidRPr="00414ED1" w:rsidRDefault="00BA32F5">
      <w:pPr>
        <w:shd w:val="clear" w:color="auto" w:fill="FFFFFF"/>
        <w:ind w:right="-716"/>
        <w:rPr>
          <w:rFonts w:ascii="Open Sans" w:eastAsia="Open Sans" w:hAnsi="Open Sans" w:cs="Open Sans"/>
          <w:color w:val="000000"/>
          <w:sz w:val="22"/>
          <w:szCs w:val="22"/>
          <w:lang w:val="en-US"/>
        </w:rPr>
      </w:pPr>
    </w:p>
    <w:p w:rsidR="00BA32F5" w:rsidRPr="00414ED1" w:rsidRDefault="00000000">
      <w:pPr>
        <w:shd w:val="clear" w:color="auto" w:fill="FFFFFF"/>
        <w:ind w:right="-716"/>
        <w:rPr>
          <w:rFonts w:ascii="Open Sans" w:eastAsia="Open Sans" w:hAnsi="Open Sans" w:cs="Open Sans"/>
          <w:b/>
          <w:color w:val="000000"/>
          <w:sz w:val="22"/>
          <w:szCs w:val="22"/>
          <w:lang w:val="en-US"/>
        </w:rPr>
      </w:pPr>
      <w:r w:rsidRPr="00414ED1">
        <w:rPr>
          <w:rFonts w:ascii="Open Sans" w:eastAsia="Open Sans" w:hAnsi="Open Sans" w:cs="Open Sans"/>
          <w:b/>
          <w:color w:val="000000"/>
          <w:sz w:val="22"/>
          <w:szCs w:val="22"/>
          <w:lang w:val="en-US"/>
        </w:rPr>
        <w:t>Paula Iglesias</w:t>
      </w:r>
    </w:p>
    <w:p w:rsidR="00BA32F5" w:rsidRPr="00414ED1" w:rsidRDefault="00000000">
      <w:pPr>
        <w:shd w:val="clear" w:color="auto" w:fill="FFFFFF"/>
        <w:ind w:right="-716"/>
        <w:rPr>
          <w:rFonts w:ascii="Open Sans" w:eastAsia="Open Sans" w:hAnsi="Open Sans" w:cs="Open Sans"/>
          <w:b/>
          <w:color w:val="000000"/>
          <w:sz w:val="22"/>
          <w:szCs w:val="22"/>
          <w:lang w:val="en-US"/>
        </w:rPr>
      </w:pPr>
      <w:hyperlink r:id="rId25">
        <w:r w:rsidRPr="00414ED1">
          <w:rPr>
            <w:rFonts w:ascii="Open Sans" w:eastAsia="Open Sans" w:hAnsi="Open Sans" w:cs="Open Sans"/>
            <w:color w:val="0000FF"/>
            <w:sz w:val="22"/>
            <w:szCs w:val="22"/>
            <w:u w:val="single"/>
            <w:lang w:val="en-US"/>
          </w:rPr>
          <w:t>piglesias@llorenteycuenca.com</w:t>
        </w:r>
      </w:hyperlink>
      <w:r w:rsidRPr="00414ED1">
        <w:rPr>
          <w:rFonts w:ascii="Open Sans" w:eastAsia="Open Sans" w:hAnsi="Open Sans" w:cs="Open Sans"/>
          <w:color w:val="0000FF"/>
          <w:sz w:val="22"/>
          <w:szCs w:val="22"/>
          <w:lang w:val="en-US"/>
        </w:rPr>
        <w:tab/>
      </w:r>
      <w:r w:rsidRPr="00414ED1">
        <w:rPr>
          <w:rFonts w:ascii="Open Sans" w:eastAsia="Open Sans" w:hAnsi="Open Sans" w:cs="Open Sans"/>
          <w:color w:val="0000FF"/>
          <w:sz w:val="22"/>
          <w:szCs w:val="22"/>
          <w:lang w:val="en-US"/>
        </w:rPr>
        <w:tab/>
      </w:r>
    </w:p>
    <w:p w:rsidR="00BA32F5"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sectPr w:rsidR="00BA32F5">
      <w:headerReference w:type="default" r:id="rId26"/>
      <w:footerReference w:type="default" r:id="rId27"/>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1E4" w:rsidRDefault="00E271E4">
      <w:r>
        <w:separator/>
      </w:r>
    </w:p>
  </w:endnote>
  <w:endnote w:type="continuationSeparator" w:id="0">
    <w:p w:rsidR="00E271E4" w:rsidRDefault="00E2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2F5"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simplePos x="0" y="0"/>
          <wp:positionH relativeFrom="column">
            <wp:posOffset>-1068057</wp:posOffset>
          </wp:positionH>
          <wp:positionV relativeFrom="paragraph">
            <wp:posOffset>174608</wp:posOffset>
          </wp:positionV>
          <wp:extent cx="7670550" cy="451315"/>
          <wp:effectExtent l="0" t="0" r="0" b="0"/>
          <wp:wrapNone/>
          <wp:docPr id="20251529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1E4" w:rsidRDefault="00E271E4">
      <w:r>
        <w:separator/>
      </w:r>
    </w:p>
  </w:footnote>
  <w:footnote w:type="continuationSeparator" w:id="0">
    <w:p w:rsidR="00E271E4" w:rsidRDefault="00E2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2F5"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simplePos x="0" y="0"/>
          <wp:positionH relativeFrom="column">
            <wp:posOffset>-1121121</wp:posOffset>
          </wp:positionH>
          <wp:positionV relativeFrom="paragraph">
            <wp:posOffset>225177</wp:posOffset>
          </wp:positionV>
          <wp:extent cx="7581265" cy="1019175"/>
          <wp:effectExtent l="0" t="0" r="0" b="0"/>
          <wp:wrapNone/>
          <wp:docPr id="202515298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rsidR="00BA32F5" w:rsidRDefault="00BA32F5">
    <w:pPr>
      <w:pBdr>
        <w:top w:val="nil"/>
        <w:left w:val="nil"/>
        <w:bottom w:val="nil"/>
        <w:right w:val="nil"/>
        <w:between w:val="nil"/>
      </w:pBdr>
      <w:tabs>
        <w:tab w:val="center" w:pos="4252"/>
        <w:tab w:val="right" w:pos="8504"/>
      </w:tabs>
      <w:rPr>
        <w:color w:val="000000"/>
      </w:rPr>
    </w:pPr>
  </w:p>
  <w:p w:rsidR="00BA32F5" w:rsidRDefault="00BA32F5">
    <w:pPr>
      <w:pBdr>
        <w:top w:val="nil"/>
        <w:left w:val="nil"/>
        <w:bottom w:val="nil"/>
        <w:right w:val="nil"/>
        <w:between w:val="nil"/>
      </w:pBdr>
      <w:tabs>
        <w:tab w:val="center" w:pos="4252"/>
        <w:tab w:val="right" w:pos="8504"/>
      </w:tabs>
      <w:rPr>
        <w:color w:val="000000"/>
      </w:rPr>
    </w:pPr>
  </w:p>
  <w:p w:rsidR="00BA32F5" w:rsidRDefault="00BA32F5">
    <w:pPr>
      <w:pBdr>
        <w:top w:val="nil"/>
        <w:left w:val="nil"/>
        <w:bottom w:val="nil"/>
        <w:right w:val="nil"/>
        <w:between w:val="nil"/>
      </w:pBdr>
      <w:tabs>
        <w:tab w:val="center" w:pos="4252"/>
        <w:tab w:val="right" w:pos="8504"/>
      </w:tabs>
      <w:rPr>
        <w:color w:val="000000"/>
      </w:rPr>
    </w:pPr>
  </w:p>
  <w:p w:rsidR="00BA32F5" w:rsidRDefault="00BA32F5">
    <w:pPr>
      <w:pBdr>
        <w:top w:val="nil"/>
        <w:left w:val="nil"/>
        <w:bottom w:val="nil"/>
        <w:right w:val="nil"/>
        <w:between w:val="nil"/>
      </w:pBdr>
      <w:tabs>
        <w:tab w:val="center" w:pos="4252"/>
        <w:tab w:val="right" w:pos="8504"/>
      </w:tabs>
      <w:rPr>
        <w:color w:val="000000"/>
      </w:rPr>
    </w:pPr>
  </w:p>
  <w:p w:rsidR="00BA32F5" w:rsidRDefault="00BA32F5">
    <w:pPr>
      <w:pBdr>
        <w:top w:val="nil"/>
        <w:left w:val="nil"/>
        <w:bottom w:val="nil"/>
        <w:right w:val="nil"/>
        <w:between w:val="nil"/>
      </w:pBdr>
      <w:tabs>
        <w:tab w:val="center" w:pos="4252"/>
        <w:tab w:val="right" w:pos="8504"/>
      </w:tabs>
      <w:rPr>
        <w:color w:val="000000"/>
      </w:rPr>
    </w:pPr>
  </w:p>
  <w:p w:rsidR="00BA32F5" w:rsidRDefault="00BA32F5">
    <w:pPr>
      <w:pBdr>
        <w:top w:val="nil"/>
        <w:left w:val="nil"/>
        <w:bottom w:val="nil"/>
        <w:right w:val="nil"/>
        <w:between w:val="nil"/>
      </w:pBdr>
      <w:tabs>
        <w:tab w:val="center" w:pos="4252"/>
        <w:tab w:val="right" w:pos="8504"/>
      </w:tabs>
      <w:rPr>
        <w:color w:val="000000"/>
      </w:rPr>
    </w:pPr>
  </w:p>
  <w:p w:rsidR="00BA32F5" w:rsidRDefault="00BA32F5">
    <w:pPr>
      <w:pBdr>
        <w:top w:val="nil"/>
        <w:left w:val="nil"/>
        <w:bottom w:val="nil"/>
        <w:right w:val="nil"/>
        <w:between w:val="nil"/>
      </w:pBdr>
      <w:tabs>
        <w:tab w:val="center" w:pos="4252"/>
        <w:tab w:val="right" w:pos="8504"/>
      </w:tabs>
      <w:rPr>
        <w:color w:val="000000"/>
      </w:rPr>
    </w:pPr>
  </w:p>
  <w:p w:rsidR="00BA32F5" w:rsidRDefault="00BA32F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DDE"/>
    <w:multiLevelType w:val="multilevel"/>
    <w:tmpl w:val="0F163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841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F5"/>
    <w:rsid w:val="00414ED1"/>
    <w:rsid w:val="00BA32F5"/>
    <w:rsid w:val="00E27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3219"/>
  <w15:docId w15:val="{C5994A6C-8E6F-477C-930F-AE233A91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erenciaintensa">
    <w:name w:val="Intense Reference"/>
    <w:basedOn w:val="Fuentedeprrafopredeter"/>
    <w:uiPriority w:val="32"/>
    <w:qFormat/>
    <w:rsid w:val="00DD156A"/>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habitaclia.com/" TargetMode="External"/><Relationship Id="rId25"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prensa.fotocasa.es" TargetMode="External"/><Relationship Id="rId22" Type="http://schemas.openxmlformats.org/officeDocument/2006/relationships/hyperlink" Target="mailto:comunicacion@fotocas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QBcvBPpFvdIOde92M8oR5voWkQ==">CgMxLjAyCWguMnM4ZXlvMTgAciExYVRkTTNhd0lVbEFXdzlpMi1lVGRDVzlqcWlKem54b3c=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1408</Words>
  <Characters>7750</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2023-08-28T13:25:00Z</dcterms:modified>
</cp:coreProperties>
</file>