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4D87" w14:textId="77777777" w:rsidR="004A2F79" w:rsidRDefault="00000000">
      <w:pPr>
        <w:ind w:right="-574"/>
      </w:pPr>
      <w:bookmarkStart w:id="0" w:name="_heading=h.gjdgxs" w:colFirst="0" w:colLast="0"/>
      <w:bookmarkEnd w:id="0"/>
      <w:r>
        <w:rPr>
          <w:noProof/>
        </w:rPr>
        <w:drawing>
          <wp:anchor distT="0" distB="0" distL="114300" distR="114300" simplePos="0" relativeHeight="251658240" behindDoc="0" locked="0" layoutInCell="1" hidden="0" allowOverlap="1" wp14:anchorId="5C0C0C8E" wp14:editId="554A8AE9">
            <wp:simplePos x="0" y="0"/>
            <wp:positionH relativeFrom="column">
              <wp:posOffset>-1078864</wp:posOffset>
            </wp:positionH>
            <wp:positionV relativeFrom="paragraph">
              <wp:posOffset>-350452</wp:posOffset>
            </wp:positionV>
            <wp:extent cx="7581265" cy="1019175"/>
            <wp:effectExtent l="0" t="0" r="0" b="0"/>
            <wp:wrapNone/>
            <wp:docPr id="20577019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08FAEF3D" w14:textId="77777777" w:rsidR="004A2F79" w:rsidRDefault="004A2F79">
      <w:pPr>
        <w:ind w:right="-574"/>
        <w:jc w:val="right"/>
        <w:rPr>
          <w:rFonts w:ascii="National" w:eastAsia="National" w:hAnsi="National" w:cs="National"/>
          <w:color w:val="303AB2"/>
          <w:sz w:val="36"/>
          <w:szCs w:val="36"/>
        </w:rPr>
      </w:pPr>
    </w:p>
    <w:p w14:paraId="1DB8BDAC" w14:textId="77777777" w:rsidR="004A2F79" w:rsidRDefault="004A2F79">
      <w:pPr>
        <w:ind w:right="-574"/>
        <w:jc w:val="right"/>
        <w:rPr>
          <w:rFonts w:ascii="National" w:eastAsia="National" w:hAnsi="National" w:cs="National"/>
          <w:color w:val="303AB2"/>
          <w:sz w:val="36"/>
          <w:szCs w:val="36"/>
        </w:rPr>
      </w:pPr>
    </w:p>
    <w:p w14:paraId="53512009" w14:textId="77777777" w:rsidR="004A2F79" w:rsidRDefault="004A2F79">
      <w:pPr>
        <w:ind w:right="-574"/>
        <w:rPr>
          <w:rFonts w:ascii="National" w:eastAsia="National" w:hAnsi="National" w:cs="National"/>
          <w:color w:val="303AB2"/>
          <w:sz w:val="16"/>
          <w:szCs w:val="16"/>
        </w:rPr>
      </w:pPr>
    </w:p>
    <w:p w14:paraId="6A46EE15" w14:textId="77777777" w:rsidR="004A2F79" w:rsidRDefault="00000000">
      <w:pPr>
        <w:spacing w:line="276" w:lineRule="auto"/>
        <w:ind w:right="-574"/>
        <w:jc w:val="center"/>
        <w:rPr>
          <w:rFonts w:ascii="National" w:eastAsia="National" w:hAnsi="National" w:cs="National"/>
          <w:b/>
          <w:color w:val="1DBDC5"/>
          <w:sz w:val="38"/>
          <w:szCs w:val="38"/>
        </w:rPr>
      </w:pPr>
      <w:bookmarkStart w:id="1" w:name="_heading=h.30j0zll" w:colFirst="0" w:colLast="0"/>
      <w:bookmarkEnd w:id="1"/>
      <w:r>
        <w:rPr>
          <w:rFonts w:ascii="National" w:eastAsia="National" w:hAnsi="National" w:cs="National"/>
          <w:b/>
          <w:color w:val="1DBDC5"/>
          <w:sz w:val="38"/>
          <w:szCs w:val="38"/>
        </w:rPr>
        <w:t xml:space="preserve">ANÁLISIS RENTABILIDAD VIVIENDA </w:t>
      </w:r>
    </w:p>
    <w:p w14:paraId="3E287C49" w14:textId="77777777" w:rsidR="004A2F79" w:rsidRDefault="00000000">
      <w:pPr>
        <w:ind w:right="-574"/>
        <w:jc w:val="center"/>
        <w:rPr>
          <w:rFonts w:ascii="National" w:eastAsia="National" w:hAnsi="National" w:cs="National"/>
          <w:b/>
          <w:color w:val="303AB2"/>
          <w:sz w:val="42"/>
          <w:szCs w:val="42"/>
        </w:rPr>
      </w:pPr>
      <w:r>
        <w:rPr>
          <w:rFonts w:ascii="National" w:eastAsia="National" w:hAnsi="National" w:cs="National"/>
          <w:b/>
          <w:color w:val="303AB2"/>
          <w:sz w:val="42"/>
          <w:szCs w:val="42"/>
        </w:rPr>
        <w:t xml:space="preserve">La rentabilidad de una vivienda compartida es de un 9,5% frente al 6,2% del alquiler tradicional </w:t>
      </w:r>
    </w:p>
    <w:p w14:paraId="3234E280" w14:textId="77777777" w:rsidR="004A2F79" w:rsidRDefault="004A2F79">
      <w:pPr>
        <w:ind w:right="-574"/>
        <w:jc w:val="center"/>
        <w:rPr>
          <w:rFonts w:ascii="National" w:eastAsia="National" w:hAnsi="National" w:cs="National"/>
          <w:b/>
          <w:color w:val="303AB2"/>
          <w:sz w:val="16"/>
          <w:szCs w:val="16"/>
        </w:rPr>
      </w:pPr>
    </w:p>
    <w:p w14:paraId="31E20425" w14:textId="77777777" w:rsidR="004A2F7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Alquilar una vivienda compartida en España es un 3,3% más rentable que alquilarla a un único inquilino</w:t>
      </w:r>
    </w:p>
    <w:p w14:paraId="46C5C965" w14:textId="77777777" w:rsidR="004A2F7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 xml:space="preserve">En todas las comunidades autónomas la rentabilidad de una vivienda es superior si se alquila por habitaciones </w:t>
      </w:r>
    </w:p>
    <w:p w14:paraId="2CCC0C3F" w14:textId="77777777" w:rsidR="004A2F7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color w:val="000000"/>
        </w:rPr>
      </w:pPr>
      <w:r>
        <w:rPr>
          <w:rFonts w:ascii="Open Sans" w:eastAsia="Open Sans" w:hAnsi="Open Sans" w:cs="Open Sans"/>
          <w:color w:val="000000"/>
        </w:rPr>
        <w:t>Navarra es la comunidad con la brecha más ancha entre rentabilidades, 6,5% versus el 12,2% de la vivienda alquilada por habitaciones</w:t>
      </w:r>
    </w:p>
    <w:p w14:paraId="2AFE9D96" w14:textId="77777777" w:rsidR="004A2F79" w:rsidRDefault="00000000">
      <w:pPr>
        <w:numPr>
          <w:ilvl w:val="0"/>
          <w:numId w:val="1"/>
        </w:numPr>
        <w:pBdr>
          <w:top w:val="nil"/>
          <w:left w:val="nil"/>
          <w:bottom w:val="nil"/>
          <w:right w:val="nil"/>
          <w:between w:val="nil"/>
        </w:pBdr>
        <w:spacing w:line="276" w:lineRule="auto"/>
        <w:ind w:right="-574"/>
        <w:jc w:val="both"/>
        <w:rPr>
          <w:rFonts w:ascii="Open Sans" w:eastAsia="Open Sans" w:hAnsi="Open Sans" w:cs="Open Sans"/>
          <w:b/>
          <w:color w:val="000000"/>
        </w:rPr>
      </w:pPr>
      <w:hyperlink r:id="rId9">
        <w:r>
          <w:rPr>
            <w:rFonts w:ascii="Open Sans" w:eastAsia="Open Sans" w:hAnsi="Open Sans" w:cs="Open Sans"/>
            <w:b/>
            <w:color w:val="0000FF"/>
            <w:u w:val="single"/>
          </w:rPr>
          <w:t>Aquí se puede ver una valoración en vídeo de la directora de Estudios</w:t>
        </w:r>
      </w:hyperlink>
    </w:p>
    <w:p w14:paraId="04F04F06" w14:textId="77777777" w:rsidR="004A2F79" w:rsidRDefault="004A2F79">
      <w:pPr>
        <w:spacing w:line="276" w:lineRule="auto"/>
        <w:ind w:right="-574"/>
        <w:rPr>
          <w:rFonts w:ascii="Open Sans Light" w:eastAsia="Open Sans Light" w:hAnsi="Open Sans Light" w:cs="Open Sans Light"/>
          <w:color w:val="303AB2"/>
        </w:rPr>
      </w:pPr>
    </w:p>
    <w:p w14:paraId="12145041" w14:textId="77777777" w:rsidR="004A2F79" w:rsidRDefault="00000000">
      <w:pPr>
        <w:spacing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Madrid, 26 de septiembre de 2023</w:t>
      </w:r>
    </w:p>
    <w:p w14:paraId="3057947F" w14:textId="77777777" w:rsidR="004A2F79"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La rentabilidad en España de una vivienda de 80 metros cuadrados en septiembre se sitúa en un 6,2% y la de una vivienda compartida de tres habitaciones en un 9,5%, es decir, una diferencia del 3,3% según el estudio de </w:t>
      </w:r>
      <w:r>
        <w:rPr>
          <w:rFonts w:ascii="Open Sans" w:eastAsia="Open Sans" w:hAnsi="Open Sans" w:cs="Open Sans"/>
          <w:b/>
          <w:color w:val="000000"/>
          <w:sz w:val="22"/>
          <w:szCs w:val="22"/>
        </w:rPr>
        <w:t>“</w:t>
      </w:r>
      <w:r>
        <w:rPr>
          <w:rFonts w:ascii="Open Sans" w:eastAsia="Open Sans" w:hAnsi="Open Sans" w:cs="Open Sans"/>
          <w:b/>
          <w:i/>
          <w:color w:val="000000"/>
          <w:sz w:val="22"/>
          <w:szCs w:val="22"/>
        </w:rPr>
        <w:t>La rentabilidad de la vivienda en España en 2023”,</w:t>
      </w:r>
      <w:r>
        <w:rPr>
          <w:rFonts w:ascii="Open Sans" w:eastAsia="Open Sans" w:hAnsi="Open Sans" w:cs="Open Sans"/>
          <w:color w:val="000000"/>
          <w:sz w:val="22"/>
          <w:szCs w:val="22"/>
        </w:rPr>
        <w:t xml:space="preserve"> basado en el análisis de los precios de la vivienda en venta y alquiler de septiembre de 2023 por el portal inmobiliario </w:t>
      </w:r>
      <w:hyperlink r:id="rId10">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w:t>
      </w:r>
    </w:p>
    <w:p w14:paraId="393D049D" w14:textId="77777777" w:rsidR="004A2F79"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Rentabilidad CC.AA. de vivienda de 80 m</w:t>
      </w:r>
      <w:r>
        <w:rPr>
          <w:rFonts w:ascii="Open Sans Light" w:eastAsia="Open Sans Light" w:hAnsi="Open Sans Light" w:cs="Open Sans Light"/>
          <w:b/>
          <w:color w:val="303AB2"/>
          <w:vertAlign w:val="superscript"/>
        </w:rPr>
        <w:t>2</w:t>
      </w:r>
      <w:r>
        <w:rPr>
          <w:rFonts w:ascii="Open Sans Light" w:eastAsia="Open Sans Light" w:hAnsi="Open Sans Light" w:cs="Open Sans Light"/>
          <w:b/>
          <w:color w:val="303AB2"/>
        </w:rPr>
        <w:t xml:space="preserve"> completa vs alquiler de 3 habitaciones </w:t>
      </w:r>
      <w:r>
        <w:rPr>
          <w:rFonts w:ascii="Times New Roman" w:eastAsia="Times New Roman" w:hAnsi="Times New Roman" w:cs="Times New Roman"/>
          <w:noProof/>
          <w:color w:val="000000"/>
        </w:rPr>
        <w:drawing>
          <wp:inline distT="0" distB="0" distL="0" distR="0" wp14:anchorId="27BFF8FE" wp14:editId="0ABFF4C7">
            <wp:extent cx="5806440" cy="2948940"/>
            <wp:effectExtent l="0" t="0" r="0" b="0"/>
            <wp:docPr id="2057701971" name="Gráfico 20577019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1DE40F" w14:textId="77304EDB" w:rsidR="009F3B3D" w:rsidRDefault="009F3B3D" w:rsidP="009F3B3D">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sz w:val="22"/>
          <w:szCs w:val="22"/>
        </w:rPr>
      </w:pPr>
      <w:r>
        <w:rPr>
          <w:rFonts w:ascii="Open Sans" w:eastAsia="Open Sans" w:hAnsi="Open Sans" w:cs="Open Sans"/>
          <w:sz w:val="22"/>
          <w:szCs w:val="22"/>
        </w:rPr>
        <w:lastRenderedPageBreak/>
        <w:t xml:space="preserve">“Los datos indican que la rentabilidad de alquilar una vivienda por habitaciones es casi un 50% superior a alquilar una vivienda entera. Es por ello, que a raíz de la aprobación de la ley de vivienda, se observa cómo cada vez más propietarios buscan escapar de la limitación de los precios y exploran opciones para seguir obteniendo altos rendimientos. En estos momentos el precio de una habitación en alquiler ronda los 445€ de media, mientras que una vivienda entera de unos 80 m2, se encuentra alrededor de los 900 euros. Si el inmueble cuenta con tres habitaciones, la rentabilidad bruta superaría a la del alquiler convencional. Es una de las prácticas que más están aumentando, debido a que la demanda de habitaciones es cada vez mayor, ya que los inquilinos no pueden acceder a los precios de una vivienda entera y los propietarios están cambiando a esta modalidad para aumentar la rentabilidad”, comenta María Matos, directora de estudios y portavoz de </w:t>
      </w:r>
      <w:hyperlink r:id="rId12" w:history="1">
        <w:r w:rsidRPr="009F3B3D">
          <w:rPr>
            <w:rStyle w:val="Hipervnculo"/>
            <w:rFonts w:ascii="Open Sans" w:eastAsia="Open Sans" w:hAnsi="Open Sans" w:cs="Open Sans"/>
            <w:sz w:val="22"/>
            <w:szCs w:val="22"/>
          </w:rPr>
          <w:t>Fotocasa</w:t>
        </w:r>
      </w:hyperlink>
      <w:r>
        <w:rPr>
          <w:rFonts w:ascii="Open Sans" w:eastAsia="Open Sans" w:hAnsi="Open Sans" w:cs="Open Sans"/>
          <w:sz w:val="22"/>
          <w:szCs w:val="22"/>
        </w:rPr>
        <w:t>.</w:t>
      </w:r>
    </w:p>
    <w:p w14:paraId="74E6DD90" w14:textId="77777777" w:rsidR="004A2F79" w:rsidRDefault="00000000">
      <w:pPr>
        <w:pBdr>
          <w:top w:val="nil"/>
          <w:left w:val="nil"/>
          <w:bottom w:val="nil"/>
          <w:right w:val="nil"/>
          <w:between w:val="nil"/>
        </w:pBdr>
        <w:shd w:val="clear" w:color="auto" w:fill="FFFFFF"/>
        <w:spacing w:before="280" w:after="280" w:line="276" w:lineRule="auto"/>
        <w:ind w:right="-574"/>
        <w:jc w:val="center"/>
        <w:rPr>
          <w:rFonts w:ascii="Open Sans Light" w:eastAsia="Open Sans Light" w:hAnsi="Open Sans Light" w:cs="Open Sans Light"/>
          <w:b/>
          <w:color w:val="303AB2"/>
          <w:u w:val="single"/>
        </w:rPr>
      </w:pPr>
      <w:r>
        <w:rPr>
          <w:rFonts w:ascii="Open Sans Light" w:eastAsia="Open Sans Light" w:hAnsi="Open Sans Light" w:cs="Open Sans Light"/>
          <w:b/>
          <w:color w:val="303AB2"/>
          <w:u w:val="single"/>
        </w:rPr>
        <w:t>Declaraciones de María Matos, directora de Estudios de Fotocasa</w:t>
      </w:r>
    </w:p>
    <w:p w14:paraId="57CED80B" w14:textId="77777777" w:rsidR="004A2F79"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Times New Roman" w:eastAsia="Times New Roman" w:hAnsi="Times New Roman" w:cs="Times New Roman"/>
          <w:noProof/>
          <w:color w:val="000000"/>
        </w:rPr>
        <w:drawing>
          <wp:inline distT="0" distB="0" distL="0" distR="0" wp14:anchorId="011E3B3B" wp14:editId="7FD2FE1A">
            <wp:extent cx="5682252" cy="3208887"/>
            <wp:effectExtent l="0" t="0" r="0" b="0"/>
            <wp:docPr id="2057701973"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3"/>
                    <a:srcRect/>
                    <a:stretch>
                      <a:fillRect/>
                    </a:stretch>
                  </pic:blipFill>
                  <pic:spPr>
                    <a:xfrm>
                      <a:off x="0" y="0"/>
                      <a:ext cx="5682252" cy="3208887"/>
                    </a:xfrm>
                    <a:prstGeom prst="rect">
                      <a:avLst/>
                    </a:prstGeom>
                    <a:ln/>
                  </pic:spPr>
                </pic:pic>
              </a:graphicData>
            </a:graphic>
          </wp:inline>
        </w:drawing>
      </w:r>
    </w:p>
    <w:p w14:paraId="03F91505" w14:textId="77777777" w:rsidR="0065097B" w:rsidRDefault="0065097B">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p>
    <w:p w14:paraId="35430C37" w14:textId="6A4F6C42" w:rsidR="004A2F79" w:rsidRDefault="00000000">
      <w:pPr>
        <w:pBdr>
          <w:top w:val="nil"/>
          <w:left w:val="nil"/>
          <w:bottom w:val="nil"/>
          <w:right w:val="nil"/>
          <w:between w:val="nil"/>
        </w:pBdr>
        <w:shd w:val="clear" w:color="auto" w:fill="FFFFFF"/>
        <w:spacing w:before="280" w:after="280" w:line="276" w:lineRule="auto"/>
        <w:ind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Comunidad Autónoma</w:t>
      </w:r>
    </w:p>
    <w:p w14:paraId="68387B3C" w14:textId="77777777" w:rsidR="004A2F79"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analizamos ambos modelos de vivienda (una vivienda de 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xml:space="preserve"> y una vivienda de tres habitaciones), vemos que las rentabilidades que da la misma vivienda son totalmente diferentes en ambos casos. Así, vemos que en la comunidad de Navarra la rentabilidad de una vivienda de 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xml:space="preserve"> es 6,5%, frente a los 12,2% de rentabilidad que se obtiene si se alquila la misma vivienda por habitaciones (es decir, 5,7 puntos de diferencia entre ambas).</w:t>
      </w:r>
    </w:p>
    <w:p w14:paraId="59DCA428" w14:textId="77777777" w:rsidR="004A2F79"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De esta manera, el orden de la rentabilidad de una vivienda es:</w:t>
      </w:r>
      <w:r>
        <w:rPr>
          <w:rFonts w:ascii="Times New Roman" w:eastAsia="Times New Roman" w:hAnsi="Times New Roman" w:cs="Times New Roman"/>
          <w:color w:val="000000"/>
        </w:rPr>
        <w:t xml:space="preserve"> </w:t>
      </w:r>
      <w:r>
        <w:rPr>
          <w:rFonts w:ascii="Open Sans" w:eastAsia="Open Sans" w:hAnsi="Open Sans" w:cs="Open Sans"/>
          <w:color w:val="000000"/>
          <w:sz w:val="22"/>
          <w:szCs w:val="22"/>
        </w:rPr>
        <w:t>Comunitat Valenciana con 8,0% (9,9% vivienda/3 hab.), Región de Murcia con 7,6% (10,2% vivienda/3 hab.), Cantabria con 7,2% (8,0% vivienda/3 hab.), Asturias con 6,8% (7,9% vivienda/3 hab.), Cataluña con 6,8% (9,5% vivienda/3 hab.), Castilla y León con 6,8% (8,1% vivienda/3 hab.), Canarias con 6,6% (7,8% vivienda/3 hab.), Castilla-La Mancha con 6,5% (9,5% vivienda/3 hab.), Navarra con 6,5% (12,2% vivienda/3 hab.), Aragón con 6,3% (9,3% vivienda/3 hab.), España con 6,2% (9,5% vivienda/3 hab.), La Rioja con 6,1% (8,0% vivienda/3 hab.), Extremadura con 6,1% (9,0% vivienda/3 hab.), País Vasco con 6,0% (7,1% vivienda/3 hab.), Andalucía con 5,8% (7,6% vivienda/3 hab.), Galicia 5,8% con (8,0% vivienda/3 hab.), Madrid con 5,7% (6,7% vivienda/3 hab.) y Baleares con 5,3% (5,8% vivienda/3 hab.).</w:t>
      </w:r>
    </w:p>
    <w:p w14:paraId="0E5C92C7" w14:textId="77777777" w:rsidR="004A2F79" w:rsidRDefault="00000000">
      <w:pPr>
        <w:pBdr>
          <w:top w:val="nil"/>
          <w:left w:val="nil"/>
          <w:bottom w:val="nil"/>
          <w:right w:val="nil"/>
          <w:between w:val="nil"/>
        </w:pBdr>
        <w:shd w:val="clear" w:color="auto" w:fill="FFFFFF"/>
        <w:spacing w:before="280" w:after="280"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u w:val="single"/>
        </w:rPr>
        <w:t>Tabla por CCAA</w:t>
      </w:r>
      <w:r>
        <w:rPr>
          <w:rFonts w:ascii="Open Sans Light" w:eastAsia="Open Sans Light" w:hAnsi="Open Sans Light" w:cs="Open Sans Light"/>
          <w:b/>
          <w:color w:val="303AB2"/>
        </w:rPr>
        <w:t>: Rentabilidad de vivienda de 80 m</w:t>
      </w:r>
      <w:r>
        <w:rPr>
          <w:rFonts w:ascii="Open Sans Light" w:eastAsia="Open Sans Light" w:hAnsi="Open Sans Light" w:cs="Open Sans Light"/>
          <w:b/>
          <w:color w:val="303AB2"/>
          <w:vertAlign w:val="superscript"/>
        </w:rPr>
        <w:t>2</w:t>
      </w:r>
      <w:r>
        <w:rPr>
          <w:rFonts w:ascii="Open Sans Light" w:eastAsia="Open Sans Light" w:hAnsi="Open Sans Light" w:cs="Open Sans Light"/>
          <w:b/>
          <w:color w:val="303AB2"/>
        </w:rPr>
        <w:t xml:space="preserve"> completa vs alquiler de 3 habitaciones</w:t>
      </w:r>
    </w:p>
    <w:tbl>
      <w:tblPr>
        <w:tblStyle w:val="a"/>
        <w:tblW w:w="906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687"/>
        <w:gridCol w:w="2020"/>
        <w:gridCol w:w="2659"/>
        <w:gridCol w:w="1701"/>
      </w:tblGrid>
      <w:tr w:rsidR="004A2F79" w14:paraId="737450AB" w14:textId="77777777" w:rsidTr="004A2F79">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1077A4AE"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CCAA</w:t>
            </w:r>
          </w:p>
        </w:tc>
        <w:tc>
          <w:tcPr>
            <w:tcW w:w="2020" w:type="dxa"/>
            <w:vAlign w:val="center"/>
          </w:tcPr>
          <w:p w14:paraId="58F551A8"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b w:val="0"/>
                <w:sz w:val="22"/>
                <w:szCs w:val="22"/>
              </w:rPr>
              <w:t>Rentabilidad vivienda 80 m</w:t>
            </w:r>
            <w:r>
              <w:rPr>
                <w:rFonts w:ascii="Open Sans" w:eastAsia="Open Sans" w:hAnsi="Open Sans" w:cs="Open Sans"/>
                <w:b w:val="0"/>
                <w:sz w:val="22"/>
                <w:szCs w:val="22"/>
                <w:vertAlign w:val="superscript"/>
              </w:rPr>
              <w:t>2</w:t>
            </w:r>
            <w:r>
              <w:rPr>
                <w:rFonts w:ascii="Open Sans" w:eastAsia="Open Sans" w:hAnsi="Open Sans" w:cs="Open Sans"/>
                <w:b w:val="0"/>
                <w:sz w:val="22"/>
                <w:szCs w:val="22"/>
              </w:rPr>
              <w:t xml:space="preserve"> (sept-23)</w:t>
            </w:r>
          </w:p>
        </w:tc>
        <w:tc>
          <w:tcPr>
            <w:tcW w:w="2659" w:type="dxa"/>
            <w:vAlign w:val="center"/>
          </w:tcPr>
          <w:p w14:paraId="564A8331"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b w:val="0"/>
                <w:sz w:val="22"/>
                <w:szCs w:val="22"/>
              </w:rPr>
              <w:t>Rentabilidad vivienda compartida de 3 habitaciones (sept-23)</w:t>
            </w:r>
          </w:p>
        </w:tc>
        <w:tc>
          <w:tcPr>
            <w:tcW w:w="1701" w:type="dxa"/>
            <w:vAlign w:val="center"/>
          </w:tcPr>
          <w:p w14:paraId="0397D934"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sz w:val="22"/>
                <w:szCs w:val="22"/>
              </w:rPr>
            </w:pPr>
            <w:r>
              <w:rPr>
                <w:rFonts w:ascii="Open Sans" w:eastAsia="Open Sans" w:hAnsi="Open Sans" w:cs="Open Sans"/>
                <w:b w:val="0"/>
                <w:sz w:val="22"/>
                <w:szCs w:val="22"/>
              </w:rPr>
              <w:t>Diferencia punto porcentual</w:t>
            </w:r>
          </w:p>
        </w:tc>
      </w:tr>
      <w:tr w:rsidR="004A2F79" w14:paraId="0D6162CE"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5047937A"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Navarra</w:t>
            </w:r>
          </w:p>
        </w:tc>
        <w:tc>
          <w:tcPr>
            <w:tcW w:w="2020" w:type="dxa"/>
            <w:vAlign w:val="bottom"/>
          </w:tcPr>
          <w:p w14:paraId="64F183C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2659" w:type="dxa"/>
            <w:vAlign w:val="bottom"/>
          </w:tcPr>
          <w:p w14:paraId="2058C4E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12,2%</w:t>
            </w:r>
          </w:p>
        </w:tc>
        <w:tc>
          <w:tcPr>
            <w:tcW w:w="1701" w:type="dxa"/>
            <w:vAlign w:val="bottom"/>
          </w:tcPr>
          <w:p w14:paraId="0885BAF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5,7</w:t>
            </w:r>
          </w:p>
        </w:tc>
      </w:tr>
      <w:tr w:rsidR="004A2F79" w14:paraId="5E5CB16B"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shd w:val="clear" w:color="auto" w:fill="FFC000"/>
            <w:vAlign w:val="bottom"/>
          </w:tcPr>
          <w:p w14:paraId="6C18359A" w14:textId="77777777" w:rsidR="004A2F79" w:rsidRDefault="00000000">
            <w:pPr>
              <w:rPr>
                <w:rFonts w:ascii="Open Sans" w:eastAsia="Open Sans" w:hAnsi="Open Sans" w:cs="Open Sans"/>
                <w:color w:val="000000"/>
                <w:sz w:val="22"/>
                <w:szCs w:val="22"/>
              </w:rPr>
            </w:pPr>
            <w:r>
              <w:rPr>
                <w:rFonts w:ascii="Open Sans" w:eastAsia="Open Sans" w:hAnsi="Open Sans" w:cs="Open Sans"/>
                <w:b w:val="0"/>
                <w:color w:val="000000"/>
                <w:sz w:val="22"/>
                <w:szCs w:val="22"/>
              </w:rPr>
              <w:t>España</w:t>
            </w:r>
          </w:p>
        </w:tc>
        <w:tc>
          <w:tcPr>
            <w:tcW w:w="2020" w:type="dxa"/>
            <w:shd w:val="clear" w:color="auto" w:fill="FFC000"/>
            <w:vAlign w:val="bottom"/>
          </w:tcPr>
          <w:p w14:paraId="77CD3AB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sz w:val="22"/>
                <w:szCs w:val="22"/>
              </w:rPr>
              <w:t>6,2%</w:t>
            </w:r>
          </w:p>
        </w:tc>
        <w:tc>
          <w:tcPr>
            <w:tcW w:w="2659" w:type="dxa"/>
            <w:shd w:val="clear" w:color="auto" w:fill="FFC000"/>
            <w:vAlign w:val="bottom"/>
          </w:tcPr>
          <w:p w14:paraId="1751B24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2"/>
                <w:szCs w:val="22"/>
              </w:rPr>
            </w:pPr>
            <w:r>
              <w:rPr>
                <w:rFonts w:ascii="Open Sans" w:eastAsia="Open Sans" w:hAnsi="Open Sans" w:cs="Open Sans"/>
                <w:sz w:val="22"/>
                <w:szCs w:val="22"/>
              </w:rPr>
              <w:t>9,5%</w:t>
            </w:r>
          </w:p>
        </w:tc>
        <w:tc>
          <w:tcPr>
            <w:tcW w:w="1701" w:type="dxa"/>
            <w:shd w:val="clear" w:color="auto" w:fill="FFC000"/>
            <w:vAlign w:val="bottom"/>
          </w:tcPr>
          <w:p w14:paraId="3431321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2"/>
                <w:szCs w:val="22"/>
              </w:rPr>
            </w:pPr>
            <w:r>
              <w:rPr>
                <w:rFonts w:ascii="Open Sans" w:eastAsia="Open Sans" w:hAnsi="Open Sans" w:cs="Open Sans"/>
                <w:b/>
                <w:sz w:val="22"/>
                <w:szCs w:val="22"/>
              </w:rPr>
              <w:t>3,3</w:t>
            </w:r>
          </w:p>
        </w:tc>
      </w:tr>
      <w:tr w:rsidR="004A2F79" w14:paraId="33569CB1"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250F2DC4"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Aragón</w:t>
            </w:r>
          </w:p>
        </w:tc>
        <w:tc>
          <w:tcPr>
            <w:tcW w:w="2020" w:type="dxa"/>
            <w:vAlign w:val="bottom"/>
          </w:tcPr>
          <w:p w14:paraId="525B6E2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6,3%</w:t>
            </w:r>
          </w:p>
        </w:tc>
        <w:tc>
          <w:tcPr>
            <w:tcW w:w="2659" w:type="dxa"/>
            <w:vAlign w:val="bottom"/>
          </w:tcPr>
          <w:p w14:paraId="189D9F9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9,3%</w:t>
            </w:r>
          </w:p>
        </w:tc>
        <w:tc>
          <w:tcPr>
            <w:tcW w:w="1701" w:type="dxa"/>
            <w:vAlign w:val="bottom"/>
          </w:tcPr>
          <w:p w14:paraId="720134E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3,0</w:t>
            </w:r>
          </w:p>
        </w:tc>
      </w:tr>
      <w:tr w:rsidR="004A2F79" w14:paraId="087FA36D"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1CC5FD02"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Castilla-La Mancha</w:t>
            </w:r>
          </w:p>
        </w:tc>
        <w:tc>
          <w:tcPr>
            <w:tcW w:w="2020" w:type="dxa"/>
            <w:vAlign w:val="bottom"/>
          </w:tcPr>
          <w:p w14:paraId="7287ECD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6,5%</w:t>
            </w:r>
          </w:p>
        </w:tc>
        <w:tc>
          <w:tcPr>
            <w:tcW w:w="2659" w:type="dxa"/>
            <w:vAlign w:val="bottom"/>
          </w:tcPr>
          <w:p w14:paraId="63971B3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9,5%</w:t>
            </w:r>
          </w:p>
        </w:tc>
        <w:tc>
          <w:tcPr>
            <w:tcW w:w="1701" w:type="dxa"/>
            <w:vAlign w:val="bottom"/>
          </w:tcPr>
          <w:p w14:paraId="36FC4F6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2,9</w:t>
            </w:r>
          </w:p>
        </w:tc>
      </w:tr>
      <w:tr w:rsidR="004A2F79" w14:paraId="26390A87"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23AD4120"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Extremadura</w:t>
            </w:r>
          </w:p>
        </w:tc>
        <w:tc>
          <w:tcPr>
            <w:tcW w:w="2020" w:type="dxa"/>
            <w:vAlign w:val="bottom"/>
          </w:tcPr>
          <w:p w14:paraId="48A828C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2659" w:type="dxa"/>
            <w:vAlign w:val="bottom"/>
          </w:tcPr>
          <w:p w14:paraId="7630AD4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9,0%</w:t>
            </w:r>
          </w:p>
        </w:tc>
        <w:tc>
          <w:tcPr>
            <w:tcW w:w="1701" w:type="dxa"/>
            <w:vAlign w:val="bottom"/>
          </w:tcPr>
          <w:p w14:paraId="4473B6C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2,9</w:t>
            </w:r>
          </w:p>
        </w:tc>
      </w:tr>
      <w:tr w:rsidR="004A2F79" w14:paraId="76EDE441"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7555A306"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Cataluña</w:t>
            </w:r>
          </w:p>
        </w:tc>
        <w:tc>
          <w:tcPr>
            <w:tcW w:w="2020" w:type="dxa"/>
            <w:vAlign w:val="bottom"/>
          </w:tcPr>
          <w:p w14:paraId="715C100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c>
          <w:tcPr>
            <w:tcW w:w="2659" w:type="dxa"/>
            <w:vAlign w:val="bottom"/>
          </w:tcPr>
          <w:p w14:paraId="73E0615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9,5%</w:t>
            </w:r>
          </w:p>
        </w:tc>
        <w:tc>
          <w:tcPr>
            <w:tcW w:w="1701" w:type="dxa"/>
            <w:vAlign w:val="bottom"/>
          </w:tcPr>
          <w:p w14:paraId="0204383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2,7</w:t>
            </w:r>
          </w:p>
        </w:tc>
      </w:tr>
      <w:tr w:rsidR="004A2F79" w14:paraId="1C9F1539"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1F5A93FE"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Región de Murcia</w:t>
            </w:r>
          </w:p>
        </w:tc>
        <w:tc>
          <w:tcPr>
            <w:tcW w:w="2020" w:type="dxa"/>
            <w:vAlign w:val="bottom"/>
          </w:tcPr>
          <w:p w14:paraId="70EC43E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c>
          <w:tcPr>
            <w:tcW w:w="2659" w:type="dxa"/>
            <w:vAlign w:val="bottom"/>
          </w:tcPr>
          <w:p w14:paraId="32F6ADF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10,2%</w:t>
            </w:r>
          </w:p>
        </w:tc>
        <w:tc>
          <w:tcPr>
            <w:tcW w:w="1701" w:type="dxa"/>
            <w:vAlign w:val="bottom"/>
          </w:tcPr>
          <w:p w14:paraId="3C7CD90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2,6</w:t>
            </w:r>
          </w:p>
        </w:tc>
      </w:tr>
      <w:tr w:rsidR="004A2F79" w14:paraId="437AC38E"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1DFDF537"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Galicia</w:t>
            </w:r>
          </w:p>
        </w:tc>
        <w:tc>
          <w:tcPr>
            <w:tcW w:w="2020" w:type="dxa"/>
            <w:vAlign w:val="bottom"/>
          </w:tcPr>
          <w:p w14:paraId="32B4F9B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2659" w:type="dxa"/>
            <w:vAlign w:val="bottom"/>
          </w:tcPr>
          <w:p w14:paraId="63DD17A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8,0%</w:t>
            </w:r>
          </w:p>
        </w:tc>
        <w:tc>
          <w:tcPr>
            <w:tcW w:w="1701" w:type="dxa"/>
            <w:vAlign w:val="bottom"/>
          </w:tcPr>
          <w:p w14:paraId="33E06B2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2,1</w:t>
            </w:r>
          </w:p>
        </w:tc>
      </w:tr>
      <w:tr w:rsidR="004A2F79" w14:paraId="2F4A0A79"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57ACEE02"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Comunitat Valenciana</w:t>
            </w:r>
          </w:p>
        </w:tc>
        <w:tc>
          <w:tcPr>
            <w:tcW w:w="2020" w:type="dxa"/>
            <w:vAlign w:val="bottom"/>
          </w:tcPr>
          <w:p w14:paraId="2033B14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8,0%</w:t>
            </w:r>
          </w:p>
        </w:tc>
        <w:tc>
          <w:tcPr>
            <w:tcW w:w="2659" w:type="dxa"/>
            <w:vAlign w:val="bottom"/>
          </w:tcPr>
          <w:p w14:paraId="7A2394A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9,9%</w:t>
            </w:r>
          </w:p>
        </w:tc>
        <w:tc>
          <w:tcPr>
            <w:tcW w:w="1701" w:type="dxa"/>
            <w:vAlign w:val="bottom"/>
          </w:tcPr>
          <w:p w14:paraId="420AB18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1,9</w:t>
            </w:r>
          </w:p>
        </w:tc>
      </w:tr>
      <w:tr w:rsidR="004A2F79" w14:paraId="449196B9"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468089CA"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La Rioja</w:t>
            </w:r>
          </w:p>
        </w:tc>
        <w:tc>
          <w:tcPr>
            <w:tcW w:w="2020" w:type="dxa"/>
            <w:vAlign w:val="bottom"/>
          </w:tcPr>
          <w:p w14:paraId="4C32EF5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6,1%</w:t>
            </w:r>
          </w:p>
        </w:tc>
        <w:tc>
          <w:tcPr>
            <w:tcW w:w="2659" w:type="dxa"/>
            <w:vAlign w:val="bottom"/>
          </w:tcPr>
          <w:p w14:paraId="59139D3D"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8,0%</w:t>
            </w:r>
          </w:p>
        </w:tc>
        <w:tc>
          <w:tcPr>
            <w:tcW w:w="1701" w:type="dxa"/>
            <w:vAlign w:val="bottom"/>
          </w:tcPr>
          <w:p w14:paraId="60840A7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1,9</w:t>
            </w:r>
          </w:p>
        </w:tc>
      </w:tr>
      <w:tr w:rsidR="004A2F79" w14:paraId="1F223E5A"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205012D9"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Andalucía</w:t>
            </w:r>
          </w:p>
        </w:tc>
        <w:tc>
          <w:tcPr>
            <w:tcW w:w="2020" w:type="dxa"/>
            <w:vAlign w:val="bottom"/>
          </w:tcPr>
          <w:p w14:paraId="3AEFC7E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2659" w:type="dxa"/>
            <w:vAlign w:val="bottom"/>
          </w:tcPr>
          <w:p w14:paraId="1BD5B8A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7,6%</w:t>
            </w:r>
          </w:p>
        </w:tc>
        <w:tc>
          <w:tcPr>
            <w:tcW w:w="1701" w:type="dxa"/>
            <w:vAlign w:val="bottom"/>
          </w:tcPr>
          <w:p w14:paraId="711A75B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1,8</w:t>
            </w:r>
          </w:p>
        </w:tc>
      </w:tr>
      <w:tr w:rsidR="004A2F79" w14:paraId="6FA29E18"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7FBED2F1"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Castilla y León</w:t>
            </w:r>
          </w:p>
        </w:tc>
        <w:tc>
          <w:tcPr>
            <w:tcW w:w="2020" w:type="dxa"/>
            <w:vAlign w:val="bottom"/>
          </w:tcPr>
          <w:p w14:paraId="56AF55F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c>
          <w:tcPr>
            <w:tcW w:w="2659" w:type="dxa"/>
            <w:vAlign w:val="bottom"/>
          </w:tcPr>
          <w:p w14:paraId="1F82E79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8,1%</w:t>
            </w:r>
          </w:p>
        </w:tc>
        <w:tc>
          <w:tcPr>
            <w:tcW w:w="1701" w:type="dxa"/>
            <w:vAlign w:val="bottom"/>
          </w:tcPr>
          <w:p w14:paraId="7BFB380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1,3</w:t>
            </w:r>
          </w:p>
        </w:tc>
      </w:tr>
      <w:tr w:rsidR="004A2F79" w14:paraId="750AA022"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4C97E84B"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Canarias</w:t>
            </w:r>
          </w:p>
        </w:tc>
        <w:tc>
          <w:tcPr>
            <w:tcW w:w="2020" w:type="dxa"/>
            <w:vAlign w:val="bottom"/>
          </w:tcPr>
          <w:p w14:paraId="7AB75C8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6,6%</w:t>
            </w:r>
          </w:p>
        </w:tc>
        <w:tc>
          <w:tcPr>
            <w:tcW w:w="2659" w:type="dxa"/>
            <w:vAlign w:val="bottom"/>
          </w:tcPr>
          <w:p w14:paraId="6765E50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7,8%</w:t>
            </w:r>
          </w:p>
        </w:tc>
        <w:tc>
          <w:tcPr>
            <w:tcW w:w="1701" w:type="dxa"/>
            <w:vAlign w:val="bottom"/>
          </w:tcPr>
          <w:p w14:paraId="4B1162D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1,3</w:t>
            </w:r>
          </w:p>
        </w:tc>
      </w:tr>
      <w:tr w:rsidR="004A2F79" w14:paraId="5333EC56"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33AE2F1D"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Asturias</w:t>
            </w:r>
          </w:p>
        </w:tc>
        <w:tc>
          <w:tcPr>
            <w:tcW w:w="2020" w:type="dxa"/>
            <w:vAlign w:val="bottom"/>
          </w:tcPr>
          <w:p w14:paraId="3C5241A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6,8%</w:t>
            </w:r>
          </w:p>
        </w:tc>
        <w:tc>
          <w:tcPr>
            <w:tcW w:w="2659" w:type="dxa"/>
            <w:vAlign w:val="bottom"/>
          </w:tcPr>
          <w:p w14:paraId="3AAC8C04"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7,9%</w:t>
            </w:r>
          </w:p>
        </w:tc>
        <w:tc>
          <w:tcPr>
            <w:tcW w:w="1701" w:type="dxa"/>
            <w:vAlign w:val="bottom"/>
          </w:tcPr>
          <w:p w14:paraId="088436B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1,2</w:t>
            </w:r>
          </w:p>
        </w:tc>
      </w:tr>
      <w:tr w:rsidR="004A2F79" w14:paraId="448C83E8"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09FE81A0"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País Vasco</w:t>
            </w:r>
          </w:p>
        </w:tc>
        <w:tc>
          <w:tcPr>
            <w:tcW w:w="2020" w:type="dxa"/>
            <w:vAlign w:val="bottom"/>
          </w:tcPr>
          <w:p w14:paraId="03BF9D9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6,0%</w:t>
            </w:r>
          </w:p>
        </w:tc>
        <w:tc>
          <w:tcPr>
            <w:tcW w:w="2659" w:type="dxa"/>
            <w:vAlign w:val="bottom"/>
          </w:tcPr>
          <w:p w14:paraId="690C46E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7,1%</w:t>
            </w:r>
          </w:p>
        </w:tc>
        <w:tc>
          <w:tcPr>
            <w:tcW w:w="1701" w:type="dxa"/>
            <w:vAlign w:val="bottom"/>
          </w:tcPr>
          <w:p w14:paraId="1708B82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1,1</w:t>
            </w:r>
          </w:p>
        </w:tc>
      </w:tr>
      <w:tr w:rsidR="004A2F79" w14:paraId="4FCBFA20"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5DAD44C7"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Madrid</w:t>
            </w:r>
          </w:p>
        </w:tc>
        <w:tc>
          <w:tcPr>
            <w:tcW w:w="2020" w:type="dxa"/>
            <w:vAlign w:val="bottom"/>
          </w:tcPr>
          <w:p w14:paraId="5B347CE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5,7%</w:t>
            </w:r>
          </w:p>
        </w:tc>
        <w:tc>
          <w:tcPr>
            <w:tcW w:w="2659" w:type="dxa"/>
            <w:vAlign w:val="bottom"/>
          </w:tcPr>
          <w:p w14:paraId="07A8985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6,7%</w:t>
            </w:r>
          </w:p>
        </w:tc>
        <w:tc>
          <w:tcPr>
            <w:tcW w:w="1701" w:type="dxa"/>
            <w:vAlign w:val="bottom"/>
          </w:tcPr>
          <w:p w14:paraId="69E9F79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0,9</w:t>
            </w:r>
          </w:p>
        </w:tc>
      </w:tr>
      <w:tr w:rsidR="004A2F79" w14:paraId="10429C2D" w14:textId="77777777" w:rsidTr="004A2F7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5F478626"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Cantabria</w:t>
            </w:r>
          </w:p>
        </w:tc>
        <w:tc>
          <w:tcPr>
            <w:tcW w:w="2020" w:type="dxa"/>
            <w:vAlign w:val="bottom"/>
          </w:tcPr>
          <w:p w14:paraId="55F2488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7,2%</w:t>
            </w:r>
          </w:p>
        </w:tc>
        <w:tc>
          <w:tcPr>
            <w:tcW w:w="2659" w:type="dxa"/>
            <w:vAlign w:val="bottom"/>
          </w:tcPr>
          <w:p w14:paraId="4AD646E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8,0%</w:t>
            </w:r>
          </w:p>
        </w:tc>
        <w:tc>
          <w:tcPr>
            <w:tcW w:w="1701" w:type="dxa"/>
            <w:vAlign w:val="bottom"/>
          </w:tcPr>
          <w:p w14:paraId="1969F0A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0,8</w:t>
            </w:r>
          </w:p>
        </w:tc>
      </w:tr>
      <w:tr w:rsidR="004A2F79" w14:paraId="5197DF09" w14:textId="77777777" w:rsidTr="004A2F79">
        <w:trPr>
          <w:trHeight w:val="257"/>
        </w:trPr>
        <w:tc>
          <w:tcPr>
            <w:cnfStyle w:val="001000000000" w:firstRow="0" w:lastRow="0" w:firstColumn="1" w:lastColumn="0" w:oddVBand="0" w:evenVBand="0" w:oddHBand="0" w:evenHBand="0" w:firstRowFirstColumn="0" w:firstRowLastColumn="0" w:lastRowFirstColumn="0" w:lastRowLastColumn="0"/>
            <w:tcW w:w="2687" w:type="dxa"/>
            <w:vAlign w:val="bottom"/>
          </w:tcPr>
          <w:p w14:paraId="666E2BD5" w14:textId="77777777" w:rsidR="004A2F79" w:rsidRDefault="00000000">
            <w:pPr>
              <w:rPr>
                <w:rFonts w:ascii="Open Sans" w:eastAsia="Open Sans" w:hAnsi="Open Sans" w:cs="Open Sans"/>
                <w:sz w:val="22"/>
                <w:szCs w:val="22"/>
              </w:rPr>
            </w:pPr>
            <w:r>
              <w:rPr>
                <w:rFonts w:ascii="Open Sans" w:eastAsia="Open Sans" w:hAnsi="Open Sans" w:cs="Open Sans"/>
                <w:b w:val="0"/>
                <w:sz w:val="22"/>
                <w:szCs w:val="22"/>
              </w:rPr>
              <w:t>Baleares</w:t>
            </w:r>
          </w:p>
        </w:tc>
        <w:tc>
          <w:tcPr>
            <w:tcW w:w="2020" w:type="dxa"/>
            <w:vAlign w:val="bottom"/>
          </w:tcPr>
          <w:p w14:paraId="2B948124"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5,3%</w:t>
            </w:r>
          </w:p>
        </w:tc>
        <w:tc>
          <w:tcPr>
            <w:tcW w:w="2659" w:type="dxa"/>
            <w:vAlign w:val="bottom"/>
          </w:tcPr>
          <w:p w14:paraId="7B2B181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2"/>
                <w:szCs w:val="22"/>
              </w:rPr>
            </w:pPr>
            <w:r>
              <w:rPr>
                <w:rFonts w:ascii="Open Sans" w:eastAsia="Open Sans" w:hAnsi="Open Sans" w:cs="Open Sans"/>
                <w:color w:val="000000"/>
                <w:sz w:val="22"/>
                <w:szCs w:val="22"/>
              </w:rPr>
              <w:t>5,8%</w:t>
            </w:r>
          </w:p>
        </w:tc>
        <w:tc>
          <w:tcPr>
            <w:tcW w:w="1701" w:type="dxa"/>
            <w:vAlign w:val="bottom"/>
          </w:tcPr>
          <w:p w14:paraId="3F483EA4"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000000"/>
                <w:sz w:val="22"/>
                <w:szCs w:val="22"/>
              </w:rPr>
            </w:pPr>
            <w:r>
              <w:rPr>
                <w:rFonts w:ascii="Open Sans" w:eastAsia="Open Sans" w:hAnsi="Open Sans" w:cs="Open Sans"/>
                <w:b/>
                <w:color w:val="000000"/>
                <w:sz w:val="22"/>
                <w:szCs w:val="22"/>
              </w:rPr>
              <w:t>0,5</w:t>
            </w:r>
          </w:p>
        </w:tc>
      </w:tr>
    </w:tbl>
    <w:p w14:paraId="4A5444B8" w14:textId="77777777" w:rsidR="004A2F79" w:rsidRDefault="00000000">
      <w:pPr>
        <w:pBdr>
          <w:top w:val="nil"/>
          <w:left w:val="nil"/>
          <w:bottom w:val="nil"/>
          <w:right w:val="nil"/>
          <w:between w:val="nil"/>
        </w:pBdr>
        <w:shd w:val="clear" w:color="auto" w:fill="FFFFFF"/>
        <w:spacing w:before="280" w:after="280" w:line="276" w:lineRule="auto"/>
        <w:ind w:left="-142" w:right="-574"/>
        <w:jc w:val="both"/>
        <w:rPr>
          <w:rFonts w:ascii="Open Sans Light" w:eastAsia="Open Sans Light" w:hAnsi="Open Sans Light" w:cs="Open Sans Light"/>
          <w:b/>
          <w:color w:val="303AB2"/>
          <w:sz w:val="28"/>
          <w:szCs w:val="28"/>
        </w:rPr>
      </w:pPr>
      <w:r>
        <w:rPr>
          <w:rFonts w:ascii="Open Sans Light" w:eastAsia="Open Sans Light" w:hAnsi="Open Sans Light" w:cs="Open Sans Light"/>
          <w:b/>
          <w:color w:val="303AB2"/>
          <w:sz w:val="28"/>
          <w:szCs w:val="28"/>
        </w:rPr>
        <w:t>Por municipios</w:t>
      </w:r>
    </w:p>
    <w:p w14:paraId="1DDD28A1" w14:textId="77777777" w:rsidR="004A2F79"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el análisis de </w:t>
      </w:r>
      <w:hyperlink r:id="rId14">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también vemos que, al igual que las comunidades autónomas, en los municipios de España también la rentabilidad de la vivienda alquilada por habitaciones es muy superior a la rentabilidad de un alquiler convencional. En el caso de Pamplona / Iruña la diferencia entre una rentabilidad y otra alcanza los 4 puntos </w:t>
      </w:r>
      <w:r>
        <w:rPr>
          <w:rFonts w:ascii="Open Sans" w:eastAsia="Open Sans" w:hAnsi="Open Sans" w:cs="Open Sans"/>
          <w:color w:val="000000"/>
          <w:sz w:val="22"/>
          <w:szCs w:val="22"/>
        </w:rPr>
        <w:lastRenderedPageBreak/>
        <w:t>porcentuales, es decir, por el alquiler de una vivienda se saca 4,5% frente a la rentabilidad del 8,5% que se saca por el alquiler de las habitaciones de esa misma vivienda.</w:t>
      </w:r>
    </w:p>
    <w:p w14:paraId="486C5D8A" w14:textId="77777777" w:rsidR="004A2F79"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De esta manera, el orden de los cinco municipios con mayor rentabilidad es: L'Hospitalet de Llobregat con 8,9% (9,1% vivienda/3 hab.), Alcoy / Alcoi con 7,2% (9,0% vivienda/3 hab.), Elche / Elx con 7,1% (8,0% vivienda/3 hab.), Murcia capital con 6,9% (9,2% vivienda/3 hab.) y Cartagena con 6,9% (10,0% vivienda/3 hab.).</w:t>
      </w:r>
    </w:p>
    <w:p w14:paraId="004D41B1" w14:textId="77777777" w:rsidR="004A2F79" w:rsidRDefault="00000000">
      <w:pPr>
        <w:pBdr>
          <w:top w:val="nil"/>
          <w:left w:val="nil"/>
          <w:bottom w:val="nil"/>
          <w:right w:val="nil"/>
          <w:between w:val="nil"/>
        </w:pBdr>
        <w:shd w:val="clear" w:color="auto" w:fill="FFFFFF"/>
        <w:spacing w:before="280" w:after="280" w:line="276" w:lineRule="auto"/>
        <w:ind w:left="-142"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Por otro lado, el orden de las cinco ciudades con las máximas rentabilidades de las viviendas de alquiler por habitaciones es: Cartagena con 10,0% (6,9% vivienda/80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Murcia capital</w:t>
      </w:r>
      <w:r>
        <w:rPr>
          <w:rFonts w:ascii="Open Sans" w:eastAsia="Open Sans" w:hAnsi="Open Sans" w:cs="Open Sans"/>
          <w:color w:val="000000"/>
          <w:sz w:val="22"/>
          <w:szCs w:val="22"/>
        </w:rPr>
        <w:tab/>
        <w:t>9,2% con (6,9% vivienda/80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Almería capital con 9,2% (6,8% vivienda/80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L'Hospitalet de Llobregat con 9,1% (8,9% vivienda/80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y Alcoy / Alcoi con 9,0% (7,2% vivienda/80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w:t>
      </w:r>
    </w:p>
    <w:p w14:paraId="2EDDCC83" w14:textId="77777777" w:rsidR="004A2F79"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0"/>
          <w:szCs w:val="20"/>
        </w:rPr>
      </w:pPr>
      <w:r>
        <w:rPr>
          <w:rFonts w:ascii="Open Sans Light" w:eastAsia="Open Sans Light" w:hAnsi="Open Sans Light" w:cs="Open Sans Light"/>
          <w:b/>
          <w:color w:val="303AB2"/>
          <w:u w:val="single"/>
        </w:rPr>
        <w:t>Tabla por municipios</w:t>
      </w:r>
      <w:r>
        <w:rPr>
          <w:rFonts w:ascii="Open Sans Light" w:eastAsia="Open Sans Light" w:hAnsi="Open Sans Light" w:cs="Open Sans Light"/>
          <w:b/>
          <w:color w:val="303AB2"/>
        </w:rPr>
        <w:t>: Rentabilidad de vivienda de 80 m</w:t>
      </w:r>
      <w:r>
        <w:rPr>
          <w:rFonts w:ascii="Open Sans Light" w:eastAsia="Open Sans Light" w:hAnsi="Open Sans Light" w:cs="Open Sans Light"/>
          <w:b/>
          <w:color w:val="303AB2"/>
          <w:vertAlign w:val="superscript"/>
        </w:rPr>
        <w:t>2</w:t>
      </w:r>
      <w:r>
        <w:rPr>
          <w:rFonts w:ascii="Open Sans Light" w:eastAsia="Open Sans Light" w:hAnsi="Open Sans Light" w:cs="Open Sans Light"/>
          <w:b/>
          <w:color w:val="303AB2"/>
        </w:rPr>
        <w:t xml:space="preserve"> completa vs alquiler de 3 habitaciones </w:t>
      </w:r>
    </w:p>
    <w:tbl>
      <w:tblPr>
        <w:tblStyle w:val="a0"/>
        <w:tblW w:w="9123"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38"/>
        <w:gridCol w:w="1985"/>
        <w:gridCol w:w="1701"/>
        <w:gridCol w:w="2126"/>
        <w:gridCol w:w="1473"/>
      </w:tblGrid>
      <w:tr w:rsidR="004A2F79" w14:paraId="41E8635E" w14:textId="77777777" w:rsidTr="004A2F79">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DFB93B0"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Provincia</w:t>
            </w:r>
          </w:p>
        </w:tc>
        <w:tc>
          <w:tcPr>
            <w:tcW w:w="1985" w:type="dxa"/>
            <w:vAlign w:val="center"/>
          </w:tcPr>
          <w:p w14:paraId="075D7D7D" w14:textId="77777777" w:rsidR="004A2F79" w:rsidRDefault="00000000">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Municipio</w:t>
            </w:r>
          </w:p>
        </w:tc>
        <w:tc>
          <w:tcPr>
            <w:tcW w:w="1701" w:type="dxa"/>
            <w:vAlign w:val="center"/>
          </w:tcPr>
          <w:p w14:paraId="28A3E0E1"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b w:val="0"/>
                <w:sz w:val="20"/>
                <w:szCs w:val="20"/>
              </w:rPr>
              <w:t xml:space="preserve"> Rentabilidad vivienda 80 m</w:t>
            </w:r>
            <w:r>
              <w:rPr>
                <w:rFonts w:ascii="Open Sans" w:eastAsia="Open Sans" w:hAnsi="Open Sans" w:cs="Open Sans"/>
                <w:b w:val="0"/>
                <w:sz w:val="20"/>
                <w:szCs w:val="20"/>
                <w:vertAlign w:val="superscript"/>
              </w:rPr>
              <w:t xml:space="preserve">2 </w:t>
            </w:r>
            <w:r>
              <w:rPr>
                <w:rFonts w:ascii="Open Sans" w:eastAsia="Open Sans" w:hAnsi="Open Sans" w:cs="Open Sans"/>
                <w:b w:val="0"/>
                <w:sz w:val="20"/>
                <w:szCs w:val="20"/>
              </w:rPr>
              <w:t xml:space="preserve">(sept-23) </w:t>
            </w:r>
          </w:p>
        </w:tc>
        <w:tc>
          <w:tcPr>
            <w:tcW w:w="2126" w:type="dxa"/>
            <w:vAlign w:val="center"/>
          </w:tcPr>
          <w:p w14:paraId="31F6E19E"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sz w:val="20"/>
                <w:szCs w:val="20"/>
              </w:rPr>
            </w:pPr>
            <w:r>
              <w:rPr>
                <w:rFonts w:ascii="Open Sans" w:eastAsia="Open Sans" w:hAnsi="Open Sans" w:cs="Open Sans"/>
                <w:b w:val="0"/>
                <w:sz w:val="20"/>
                <w:szCs w:val="20"/>
              </w:rPr>
              <w:t xml:space="preserve"> Rentabilidad de una vivenda compartida de 3 hab. (sept-23) </w:t>
            </w:r>
          </w:p>
        </w:tc>
        <w:tc>
          <w:tcPr>
            <w:tcW w:w="1473" w:type="dxa"/>
            <w:vAlign w:val="center"/>
          </w:tcPr>
          <w:p w14:paraId="673A47FB"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b w:val="0"/>
                <w:sz w:val="20"/>
                <w:szCs w:val="20"/>
              </w:rPr>
              <w:t xml:space="preserve"> Diferencia punto porcentual </w:t>
            </w:r>
          </w:p>
        </w:tc>
      </w:tr>
      <w:tr w:rsidR="004A2F79" w14:paraId="59567691"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B38D84E"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Almería</w:t>
            </w:r>
          </w:p>
        </w:tc>
        <w:tc>
          <w:tcPr>
            <w:tcW w:w="1985" w:type="dxa"/>
            <w:vAlign w:val="bottom"/>
          </w:tcPr>
          <w:p w14:paraId="1ECEE2EF"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Almería capital</w:t>
            </w:r>
          </w:p>
        </w:tc>
        <w:tc>
          <w:tcPr>
            <w:tcW w:w="1701" w:type="dxa"/>
            <w:vAlign w:val="bottom"/>
          </w:tcPr>
          <w:p w14:paraId="01E49FF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6,8%</w:t>
            </w:r>
          </w:p>
        </w:tc>
        <w:tc>
          <w:tcPr>
            <w:tcW w:w="2126" w:type="dxa"/>
            <w:vAlign w:val="bottom"/>
          </w:tcPr>
          <w:p w14:paraId="3AD8FEC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9,2%</w:t>
            </w:r>
          </w:p>
        </w:tc>
        <w:tc>
          <w:tcPr>
            <w:tcW w:w="1473" w:type="dxa"/>
            <w:vAlign w:val="bottom"/>
          </w:tcPr>
          <w:p w14:paraId="31B3C9E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2,4</w:t>
            </w:r>
          </w:p>
        </w:tc>
      </w:tr>
      <w:tr w:rsidR="004A2F79" w14:paraId="33925A27"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50F80F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Córdoba</w:t>
            </w:r>
          </w:p>
        </w:tc>
        <w:tc>
          <w:tcPr>
            <w:tcW w:w="1985" w:type="dxa"/>
            <w:vAlign w:val="bottom"/>
          </w:tcPr>
          <w:p w14:paraId="1ED3CAAB"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Córdoba capital</w:t>
            </w:r>
          </w:p>
        </w:tc>
        <w:tc>
          <w:tcPr>
            <w:tcW w:w="1701" w:type="dxa"/>
            <w:vAlign w:val="bottom"/>
          </w:tcPr>
          <w:p w14:paraId="3E12BF6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6,0%</w:t>
            </w:r>
          </w:p>
        </w:tc>
        <w:tc>
          <w:tcPr>
            <w:tcW w:w="2126" w:type="dxa"/>
            <w:vAlign w:val="bottom"/>
          </w:tcPr>
          <w:p w14:paraId="70460F4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7,9%</w:t>
            </w:r>
          </w:p>
        </w:tc>
        <w:tc>
          <w:tcPr>
            <w:tcW w:w="1473" w:type="dxa"/>
            <w:vAlign w:val="bottom"/>
          </w:tcPr>
          <w:p w14:paraId="4AC646A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1,9</w:t>
            </w:r>
          </w:p>
        </w:tc>
      </w:tr>
      <w:tr w:rsidR="004A2F79" w14:paraId="03E07AD1"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09954F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Granada</w:t>
            </w:r>
          </w:p>
        </w:tc>
        <w:tc>
          <w:tcPr>
            <w:tcW w:w="1985" w:type="dxa"/>
            <w:vAlign w:val="bottom"/>
          </w:tcPr>
          <w:p w14:paraId="655CAC64"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Granada capital</w:t>
            </w:r>
          </w:p>
        </w:tc>
        <w:tc>
          <w:tcPr>
            <w:tcW w:w="1701" w:type="dxa"/>
            <w:vAlign w:val="bottom"/>
          </w:tcPr>
          <w:p w14:paraId="2F4E686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5,2%</w:t>
            </w:r>
          </w:p>
        </w:tc>
        <w:tc>
          <w:tcPr>
            <w:tcW w:w="2126" w:type="dxa"/>
            <w:vAlign w:val="bottom"/>
          </w:tcPr>
          <w:p w14:paraId="6E08C6E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6,6%</w:t>
            </w:r>
          </w:p>
        </w:tc>
        <w:tc>
          <w:tcPr>
            <w:tcW w:w="1473" w:type="dxa"/>
            <w:vAlign w:val="bottom"/>
          </w:tcPr>
          <w:p w14:paraId="61C2A92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1,4</w:t>
            </w:r>
          </w:p>
        </w:tc>
      </w:tr>
      <w:tr w:rsidR="004A2F79" w14:paraId="1368B52F"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5D44D2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Jaén</w:t>
            </w:r>
          </w:p>
        </w:tc>
        <w:tc>
          <w:tcPr>
            <w:tcW w:w="1985" w:type="dxa"/>
            <w:vAlign w:val="bottom"/>
          </w:tcPr>
          <w:p w14:paraId="4CA00DCF"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Jaén capital</w:t>
            </w:r>
          </w:p>
        </w:tc>
        <w:tc>
          <w:tcPr>
            <w:tcW w:w="1701" w:type="dxa"/>
            <w:vAlign w:val="bottom"/>
          </w:tcPr>
          <w:p w14:paraId="333E8CB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6,0%</w:t>
            </w:r>
          </w:p>
        </w:tc>
        <w:tc>
          <w:tcPr>
            <w:tcW w:w="2126" w:type="dxa"/>
            <w:vAlign w:val="bottom"/>
          </w:tcPr>
          <w:p w14:paraId="01A97CD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7,8%</w:t>
            </w:r>
          </w:p>
        </w:tc>
        <w:tc>
          <w:tcPr>
            <w:tcW w:w="1473" w:type="dxa"/>
            <w:vAlign w:val="bottom"/>
          </w:tcPr>
          <w:p w14:paraId="5E26D93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1,8</w:t>
            </w:r>
          </w:p>
        </w:tc>
      </w:tr>
      <w:tr w:rsidR="004A2F79" w14:paraId="34A14C59"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2FB779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Málaga</w:t>
            </w:r>
          </w:p>
        </w:tc>
        <w:tc>
          <w:tcPr>
            <w:tcW w:w="1985" w:type="dxa"/>
            <w:vAlign w:val="bottom"/>
          </w:tcPr>
          <w:p w14:paraId="7428639A"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Málaga capital</w:t>
            </w:r>
          </w:p>
        </w:tc>
        <w:tc>
          <w:tcPr>
            <w:tcW w:w="1701" w:type="dxa"/>
            <w:vAlign w:val="bottom"/>
          </w:tcPr>
          <w:p w14:paraId="4C81F32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5,2%</w:t>
            </w:r>
          </w:p>
        </w:tc>
        <w:tc>
          <w:tcPr>
            <w:tcW w:w="2126" w:type="dxa"/>
            <w:vAlign w:val="bottom"/>
          </w:tcPr>
          <w:p w14:paraId="305AABF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6,7%</w:t>
            </w:r>
          </w:p>
        </w:tc>
        <w:tc>
          <w:tcPr>
            <w:tcW w:w="1473" w:type="dxa"/>
            <w:vAlign w:val="bottom"/>
          </w:tcPr>
          <w:p w14:paraId="2182DE9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1,5</w:t>
            </w:r>
          </w:p>
        </w:tc>
      </w:tr>
      <w:tr w:rsidR="004A2F79" w14:paraId="2F8877AE"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AFACCD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Sevilla</w:t>
            </w:r>
          </w:p>
        </w:tc>
        <w:tc>
          <w:tcPr>
            <w:tcW w:w="1985" w:type="dxa"/>
            <w:vAlign w:val="bottom"/>
          </w:tcPr>
          <w:p w14:paraId="7291647D"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Sevilla capital</w:t>
            </w:r>
          </w:p>
        </w:tc>
        <w:tc>
          <w:tcPr>
            <w:tcW w:w="1701" w:type="dxa"/>
            <w:vAlign w:val="bottom"/>
          </w:tcPr>
          <w:p w14:paraId="4EC9107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6,0%</w:t>
            </w:r>
          </w:p>
        </w:tc>
        <w:tc>
          <w:tcPr>
            <w:tcW w:w="2126" w:type="dxa"/>
            <w:vAlign w:val="bottom"/>
          </w:tcPr>
          <w:p w14:paraId="12886A7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7,8%</w:t>
            </w:r>
          </w:p>
        </w:tc>
        <w:tc>
          <w:tcPr>
            <w:tcW w:w="1473" w:type="dxa"/>
            <w:vAlign w:val="bottom"/>
          </w:tcPr>
          <w:p w14:paraId="166804A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1,8</w:t>
            </w:r>
          </w:p>
        </w:tc>
      </w:tr>
      <w:tr w:rsidR="004A2F79" w14:paraId="193AC12A"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1641A57"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Zaragoza</w:t>
            </w:r>
          </w:p>
        </w:tc>
        <w:tc>
          <w:tcPr>
            <w:tcW w:w="1985" w:type="dxa"/>
            <w:vAlign w:val="bottom"/>
          </w:tcPr>
          <w:p w14:paraId="18534410"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Zaragoza capital</w:t>
            </w:r>
          </w:p>
        </w:tc>
        <w:tc>
          <w:tcPr>
            <w:tcW w:w="1701" w:type="dxa"/>
            <w:vAlign w:val="bottom"/>
          </w:tcPr>
          <w:p w14:paraId="4D66E61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6,0%</w:t>
            </w:r>
          </w:p>
        </w:tc>
        <w:tc>
          <w:tcPr>
            <w:tcW w:w="2126" w:type="dxa"/>
            <w:vAlign w:val="bottom"/>
          </w:tcPr>
          <w:p w14:paraId="7F95D6B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8,2%</w:t>
            </w:r>
          </w:p>
        </w:tc>
        <w:tc>
          <w:tcPr>
            <w:tcW w:w="1473" w:type="dxa"/>
            <w:vAlign w:val="bottom"/>
          </w:tcPr>
          <w:p w14:paraId="325C47C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2,2</w:t>
            </w:r>
          </w:p>
        </w:tc>
      </w:tr>
      <w:tr w:rsidR="004A2F79" w14:paraId="15A69D44"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E11253F"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Asturias</w:t>
            </w:r>
          </w:p>
        </w:tc>
        <w:tc>
          <w:tcPr>
            <w:tcW w:w="1985" w:type="dxa"/>
            <w:vAlign w:val="bottom"/>
          </w:tcPr>
          <w:p w14:paraId="72CEDC8B"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Gijón</w:t>
            </w:r>
          </w:p>
        </w:tc>
        <w:tc>
          <w:tcPr>
            <w:tcW w:w="1701" w:type="dxa"/>
            <w:vAlign w:val="bottom"/>
          </w:tcPr>
          <w:p w14:paraId="04EFA7AD"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6,3%</w:t>
            </w:r>
          </w:p>
        </w:tc>
        <w:tc>
          <w:tcPr>
            <w:tcW w:w="2126" w:type="dxa"/>
            <w:vAlign w:val="bottom"/>
          </w:tcPr>
          <w:p w14:paraId="79004FF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6,8%</w:t>
            </w:r>
          </w:p>
        </w:tc>
        <w:tc>
          <w:tcPr>
            <w:tcW w:w="1473" w:type="dxa"/>
            <w:vAlign w:val="bottom"/>
          </w:tcPr>
          <w:p w14:paraId="1C08B8C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6A22D316"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3EBF8C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Asturias</w:t>
            </w:r>
          </w:p>
        </w:tc>
        <w:tc>
          <w:tcPr>
            <w:tcW w:w="1985" w:type="dxa"/>
            <w:vAlign w:val="bottom"/>
          </w:tcPr>
          <w:p w14:paraId="7EB45B55"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Oviedo</w:t>
            </w:r>
          </w:p>
        </w:tc>
        <w:tc>
          <w:tcPr>
            <w:tcW w:w="1701" w:type="dxa"/>
            <w:vAlign w:val="bottom"/>
          </w:tcPr>
          <w:p w14:paraId="6820D90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6,1%</w:t>
            </w:r>
          </w:p>
        </w:tc>
        <w:tc>
          <w:tcPr>
            <w:tcW w:w="2126" w:type="dxa"/>
            <w:vAlign w:val="bottom"/>
          </w:tcPr>
          <w:p w14:paraId="4F335CE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7,0%</w:t>
            </w:r>
          </w:p>
        </w:tc>
        <w:tc>
          <w:tcPr>
            <w:tcW w:w="1473" w:type="dxa"/>
            <w:vAlign w:val="bottom"/>
          </w:tcPr>
          <w:p w14:paraId="0080D97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0,9</w:t>
            </w:r>
          </w:p>
        </w:tc>
      </w:tr>
      <w:tr w:rsidR="004A2F79" w14:paraId="32A51860"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508E9AE"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Illes Balears</w:t>
            </w:r>
          </w:p>
        </w:tc>
        <w:tc>
          <w:tcPr>
            <w:tcW w:w="1985" w:type="dxa"/>
            <w:vAlign w:val="bottom"/>
          </w:tcPr>
          <w:p w14:paraId="51F992B9"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Palma de Mallorca</w:t>
            </w:r>
          </w:p>
        </w:tc>
        <w:tc>
          <w:tcPr>
            <w:tcW w:w="1701" w:type="dxa"/>
            <w:vAlign w:val="bottom"/>
          </w:tcPr>
          <w:p w14:paraId="6E7EAD3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4,8%</w:t>
            </w:r>
          </w:p>
        </w:tc>
        <w:tc>
          <w:tcPr>
            <w:tcW w:w="2126" w:type="dxa"/>
            <w:vAlign w:val="bottom"/>
          </w:tcPr>
          <w:p w14:paraId="0CC88B1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5,5%</w:t>
            </w:r>
          </w:p>
        </w:tc>
        <w:tc>
          <w:tcPr>
            <w:tcW w:w="1473" w:type="dxa"/>
            <w:vAlign w:val="bottom"/>
          </w:tcPr>
          <w:p w14:paraId="048D0FD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0,7</w:t>
            </w:r>
          </w:p>
        </w:tc>
      </w:tr>
      <w:tr w:rsidR="004A2F79" w14:paraId="0BEF1F52"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2A4E4F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Las Palmas</w:t>
            </w:r>
          </w:p>
        </w:tc>
        <w:tc>
          <w:tcPr>
            <w:tcW w:w="1985" w:type="dxa"/>
            <w:vAlign w:val="bottom"/>
          </w:tcPr>
          <w:p w14:paraId="0AF13D50"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Las Palmas de Gran Canaria</w:t>
            </w:r>
          </w:p>
        </w:tc>
        <w:tc>
          <w:tcPr>
            <w:tcW w:w="1701" w:type="dxa"/>
            <w:vAlign w:val="bottom"/>
          </w:tcPr>
          <w:p w14:paraId="63C9EE8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6,6%</w:t>
            </w:r>
          </w:p>
        </w:tc>
        <w:tc>
          <w:tcPr>
            <w:tcW w:w="2126" w:type="dxa"/>
            <w:vAlign w:val="bottom"/>
          </w:tcPr>
          <w:p w14:paraId="54D04796"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7,7%</w:t>
            </w:r>
          </w:p>
        </w:tc>
        <w:tc>
          <w:tcPr>
            <w:tcW w:w="1473" w:type="dxa"/>
            <w:vAlign w:val="bottom"/>
          </w:tcPr>
          <w:p w14:paraId="555729E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1,0</w:t>
            </w:r>
          </w:p>
        </w:tc>
      </w:tr>
      <w:tr w:rsidR="004A2F79" w14:paraId="5F2F88BD"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F913A3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Cantabria</w:t>
            </w:r>
          </w:p>
        </w:tc>
        <w:tc>
          <w:tcPr>
            <w:tcW w:w="1985" w:type="dxa"/>
            <w:vAlign w:val="bottom"/>
          </w:tcPr>
          <w:p w14:paraId="31726CDA"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Santander</w:t>
            </w:r>
          </w:p>
        </w:tc>
        <w:tc>
          <w:tcPr>
            <w:tcW w:w="1701" w:type="dxa"/>
            <w:vAlign w:val="bottom"/>
          </w:tcPr>
          <w:p w14:paraId="0DC6B53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5,2%</w:t>
            </w:r>
          </w:p>
        </w:tc>
        <w:tc>
          <w:tcPr>
            <w:tcW w:w="2126" w:type="dxa"/>
            <w:vAlign w:val="bottom"/>
          </w:tcPr>
          <w:p w14:paraId="1B221C6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6,2%</w:t>
            </w:r>
          </w:p>
        </w:tc>
        <w:tc>
          <w:tcPr>
            <w:tcW w:w="1473" w:type="dxa"/>
            <w:vAlign w:val="bottom"/>
          </w:tcPr>
          <w:p w14:paraId="06A7673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0,9</w:t>
            </w:r>
          </w:p>
        </w:tc>
      </w:tr>
      <w:tr w:rsidR="004A2F79" w14:paraId="5C487AC5"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D9D99BF"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Burgos</w:t>
            </w:r>
          </w:p>
        </w:tc>
        <w:tc>
          <w:tcPr>
            <w:tcW w:w="1985" w:type="dxa"/>
            <w:vAlign w:val="bottom"/>
          </w:tcPr>
          <w:p w14:paraId="621FFB1E"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Burgos capital</w:t>
            </w:r>
          </w:p>
        </w:tc>
        <w:tc>
          <w:tcPr>
            <w:tcW w:w="1701" w:type="dxa"/>
            <w:vAlign w:val="bottom"/>
          </w:tcPr>
          <w:p w14:paraId="7FF199B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6,2%</w:t>
            </w:r>
          </w:p>
        </w:tc>
        <w:tc>
          <w:tcPr>
            <w:tcW w:w="2126" w:type="dxa"/>
            <w:vAlign w:val="bottom"/>
          </w:tcPr>
          <w:p w14:paraId="72A3104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7,0%</w:t>
            </w:r>
          </w:p>
        </w:tc>
        <w:tc>
          <w:tcPr>
            <w:tcW w:w="1473" w:type="dxa"/>
            <w:vAlign w:val="bottom"/>
          </w:tcPr>
          <w:p w14:paraId="74B4EF2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0,8</w:t>
            </w:r>
          </w:p>
        </w:tc>
      </w:tr>
      <w:tr w:rsidR="004A2F79" w14:paraId="3F2EE30B"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39AC748"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León</w:t>
            </w:r>
          </w:p>
        </w:tc>
        <w:tc>
          <w:tcPr>
            <w:tcW w:w="1985" w:type="dxa"/>
            <w:vAlign w:val="bottom"/>
          </w:tcPr>
          <w:p w14:paraId="43DC0EB1"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León capital</w:t>
            </w:r>
          </w:p>
        </w:tc>
        <w:tc>
          <w:tcPr>
            <w:tcW w:w="1701" w:type="dxa"/>
            <w:vAlign w:val="bottom"/>
          </w:tcPr>
          <w:p w14:paraId="6C2C679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5,9%</w:t>
            </w:r>
          </w:p>
        </w:tc>
        <w:tc>
          <w:tcPr>
            <w:tcW w:w="2126" w:type="dxa"/>
            <w:vAlign w:val="bottom"/>
          </w:tcPr>
          <w:p w14:paraId="7E8F6DD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8,8%</w:t>
            </w:r>
          </w:p>
        </w:tc>
        <w:tc>
          <w:tcPr>
            <w:tcW w:w="1473" w:type="dxa"/>
            <w:vAlign w:val="bottom"/>
          </w:tcPr>
          <w:p w14:paraId="5F75A45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2,9</w:t>
            </w:r>
          </w:p>
        </w:tc>
      </w:tr>
      <w:tr w:rsidR="004A2F79" w14:paraId="67093054"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4C8E86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Salamanca</w:t>
            </w:r>
          </w:p>
        </w:tc>
        <w:tc>
          <w:tcPr>
            <w:tcW w:w="1985" w:type="dxa"/>
            <w:vAlign w:val="bottom"/>
          </w:tcPr>
          <w:p w14:paraId="2A877A60"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Salamanca capital</w:t>
            </w:r>
          </w:p>
        </w:tc>
        <w:tc>
          <w:tcPr>
            <w:tcW w:w="1701" w:type="dxa"/>
            <w:vAlign w:val="bottom"/>
          </w:tcPr>
          <w:p w14:paraId="2A6E840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5,4%</w:t>
            </w:r>
          </w:p>
        </w:tc>
        <w:tc>
          <w:tcPr>
            <w:tcW w:w="2126" w:type="dxa"/>
            <w:vAlign w:val="bottom"/>
          </w:tcPr>
          <w:p w14:paraId="6CCAC6A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5,9%</w:t>
            </w:r>
          </w:p>
        </w:tc>
        <w:tc>
          <w:tcPr>
            <w:tcW w:w="1473" w:type="dxa"/>
            <w:vAlign w:val="bottom"/>
          </w:tcPr>
          <w:p w14:paraId="3A338F3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6355F45B"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68FE51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Valladolid</w:t>
            </w:r>
          </w:p>
        </w:tc>
        <w:tc>
          <w:tcPr>
            <w:tcW w:w="1985" w:type="dxa"/>
            <w:vAlign w:val="bottom"/>
          </w:tcPr>
          <w:p w14:paraId="3953EC95"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Valladolid capital</w:t>
            </w:r>
          </w:p>
        </w:tc>
        <w:tc>
          <w:tcPr>
            <w:tcW w:w="1701" w:type="dxa"/>
            <w:vAlign w:val="bottom"/>
          </w:tcPr>
          <w:p w14:paraId="63A7F26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5,6%</w:t>
            </w:r>
          </w:p>
        </w:tc>
        <w:tc>
          <w:tcPr>
            <w:tcW w:w="2126" w:type="dxa"/>
            <w:vAlign w:val="bottom"/>
          </w:tcPr>
          <w:p w14:paraId="3D0C722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6,8%</w:t>
            </w:r>
          </w:p>
        </w:tc>
        <w:tc>
          <w:tcPr>
            <w:tcW w:w="1473" w:type="dxa"/>
            <w:vAlign w:val="bottom"/>
          </w:tcPr>
          <w:p w14:paraId="2184163D"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1,2</w:t>
            </w:r>
          </w:p>
        </w:tc>
      </w:tr>
      <w:tr w:rsidR="004A2F79" w14:paraId="210064B2"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38C2AD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Albacete</w:t>
            </w:r>
          </w:p>
        </w:tc>
        <w:tc>
          <w:tcPr>
            <w:tcW w:w="1985" w:type="dxa"/>
            <w:vAlign w:val="bottom"/>
          </w:tcPr>
          <w:p w14:paraId="63553806"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Albacete capital</w:t>
            </w:r>
          </w:p>
        </w:tc>
        <w:tc>
          <w:tcPr>
            <w:tcW w:w="1701" w:type="dxa"/>
            <w:vAlign w:val="bottom"/>
          </w:tcPr>
          <w:p w14:paraId="575332F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5,7%</w:t>
            </w:r>
          </w:p>
        </w:tc>
        <w:tc>
          <w:tcPr>
            <w:tcW w:w="2126" w:type="dxa"/>
            <w:vAlign w:val="bottom"/>
          </w:tcPr>
          <w:p w14:paraId="2DD81AE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7,0%</w:t>
            </w:r>
          </w:p>
        </w:tc>
        <w:tc>
          <w:tcPr>
            <w:tcW w:w="1473" w:type="dxa"/>
            <w:vAlign w:val="bottom"/>
          </w:tcPr>
          <w:p w14:paraId="568E027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1,4</w:t>
            </w:r>
          </w:p>
        </w:tc>
      </w:tr>
      <w:tr w:rsidR="004A2F79" w14:paraId="3E029244"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723CA9F"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w:t>
            </w:r>
          </w:p>
        </w:tc>
        <w:tc>
          <w:tcPr>
            <w:tcW w:w="1985" w:type="dxa"/>
            <w:vAlign w:val="bottom"/>
          </w:tcPr>
          <w:p w14:paraId="2320F3F4"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Barcelona capital</w:t>
            </w:r>
          </w:p>
        </w:tc>
        <w:tc>
          <w:tcPr>
            <w:tcW w:w="1701" w:type="dxa"/>
            <w:vAlign w:val="bottom"/>
          </w:tcPr>
          <w:p w14:paraId="423BA85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5,6%</w:t>
            </w:r>
          </w:p>
        </w:tc>
        <w:tc>
          <w:tcPr>
            <w:tcW w:w="2126" w:type="dxa"/>
            <w:vAlign w:val="bottom"/>
          </w:tcPr>
          <w:p w14:paraId="05B5DD2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6,2%</w:t>
            </w:r>
          </w:p>
        </w:tc>
        <w:tc>
          <w:tcPr>
            <w:tcW w:w="1473" w:type="dxa"/>
            <w:vAlign w:val="bottom"/>
          </w:tcPr>
          <w:p w14:paraId="2CF13EC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0,6</w:t>
            </w:r>
          </w:p>
        </w:tc>
      </w:tr>
      <w:tr w:rsidR="004A2F79" w14:paraId="7F6E93BB"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3B20E1A"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w:t>
            </w:r>
          </w:p>
        </w:tc>
        <w:tc>
          <w:tcPr>
            <w:tcW w:w="1985" w:type="dxa"/>
            <w:vAlign w:val="bottom"/>
          </w:tcPr>
          <w:p w14:paraId="60D3B54A"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L'Hospitalet de Llobregat</w:t>
            </w:r>
          </w:p>
        </w:tc>
        <w:tc>
          <w:tcPr>
            <w:tcW w:w="1701" w:type="dxa"/>
            <w:vAlign w:val="bottom"/>
          </w:tcPr>
          <w:p w14:paraId="34DEBA6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8,9%</w:t>
            </w:r>
          </w:p>
        </w:tc>
        <w:tc>
          <w:tcPr>
            <w:tcW w:w="2126" w:type="dxa"/>
            <w:vAlign w:val="bottom"/>
          </w:tcPr>
          <w:p w14:paraId="5FA248E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9,1%</w:t>
            </w:r>
          </w:p>
        </w:tc>
        <w:tc>
          <w:tcPr>
            <w:tcW w:w="1473" w:type="dxa"/>
            <w:vAlign w:val="bottom"/>
          </w:tcPr>
          <w:p w14:paraId="6FD2A77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0,2</w:t>
            </w:r>
          </w:p>
        </w:tc>
      </w:tr>
      <w:tr w:rsidR="004A2F79" w14:paraId="79DA464D"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0266C8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Alicante</w:t>
            </w:r>
          </w:p>
        </w:tc>
        <w:tc>
          <w:tcPr>
            <w:tcW w:w="1985" w:type="dxa"/>
            <w:vAlign w:val="bottom"/>
          </w:tcPr>
          <w:p w14:paraId="6D1EAA7E"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Alcoy / Alcoi</w:t>
            </w:r>
          </w:p>
        </w:tc>
        <w:tc>
          <w:tcPr>
            <w:tcW w:w="1701" w:type="dxa"/>
            <w:vAlign w:val="bottom"/>
          </w:tcPr>
          <w:p w14:paraId="4C7FA51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7,2%</w:t>
            </w:r>
          </w:p>
        </w:tc>
        <w:tc>
          <w:tcPr>
            <w:tcW w:w="2126" w:type="dxa"/>
            <w:vAlign w:val="bottom"/>
          </w:tcPr>
          <w:p w14:paraId="57ED9DB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9,0%</w:t>
            </w:r>
          </w:p>
        </w:tc>
        <w:tc>
          <w:tcPr>
            <w:tcW w:w="1473" w:type="dxa"/>
            <w:vAlign w:val="bottom"/>
          </w:tcPr>
          <w:p w14:paraId="51C7D24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1,8</w:t>
            </w:r>
          </w:p>
        </w:tc>
      </w:tr>
      <w:tr w:rsidR="004A2F79" w14:paraId="4DA69C79"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5C802BD"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Alicante</w:t>
            </w:r>
          </w:p>
        </w:tc>
        <w:tc>
          <w:tcPr>
            <w:tcW w:w="1985" w:type="dxa"/>
            <w:vAlign w:val="bottom"/>
          </w:tcPr>
          <w:p w14:paraId="251DF5C9"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Alicante / Alacant</w:t>
            </w:r>
          </w:p>
        </w:tc>
        <w:tc>
          <w:tcPr>
            <w:tcW w:w="1701" w:type="dxa"/>
            <w:vAlign w:val="bottom"/>
          </w:tcPr>
          <w:p w14:paraId="096AF3C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6,8%</w:t>
            </w:r>
          </w:p>
        </w:tc>
        <w:tc>
          <w:tcPr>
            <w:tcW w:w="2126" w:type="dxa"/>
            <w:vAlign w:val="bottom"/>
          </w:tcPr>
          <w:p w14:paraId="6717691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7,9%</w:t>
            </w:r>
          </w:p>
        </w:tc>
        <w:tc>
          <w:tcPr>
            <w:tcW w:w="1473" w:type="dxa"/>
            <w:vAlign w:val="bottom"/>
          </w:tcPr>
          <w:p w14:paraId="0826A57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1,1</w:t>
            </w:r>
          </w:p>
        </w:tc>
      </w:tr>
      <w:tr w:rsidR="004A2F79" w14:paraId="109D4298"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BCDAA6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Alicante</w:t>
            </w:r>
          </w:p>
        </w:tc>
        <w:tc>
          <w:tcPr>
            <w:tcW w:w="1985" w:type="dxa"/>
            <w:vAlign w:val="bottom"/>
          </w:tcPr>
          <w:p w14:paraId="6C0FAA41"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Elche / Elx</w:t>
            </w:r>
          </w:p>
        </w:tc>
        <w:tc>
          <w:tcPr>
            <w:tcW w:w="1701" w:type="dxa"/>
            <w:vAlign w:val="bottom"/>
          </w:tcPr>
          <w:p w14:paraId="3003623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7,1%</w:t>
            </w:r>
          </w:p>
        </w:tc>
        <w:tc>
          <w:tcPr>
            <w:tcW w:w="2126" w:type="dxa"/>
            <w:vAlign w:val="bottom"/>
          </w:tcPr>
          <w:p w14:paraId="0CDBD9A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8,0%</w:t>
            </w:r>
          </w:p>
        </w:tc>
        <w:tc>
          <w:tcPr>
            <w:tcW w:w="1473" w:type="dxa"/>
            <w:vAlign w:val="bottom"/>
          </w:tcPr>
          <w:p w14:paraId="693AD22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0,9</w:t>
            </w:r>
          </w:p>
        </w:tc>
      </w:tr>
      <w:tr w:rsidR="004A2F79" w14:paraId="469AA638"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C10709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lastRenderedPageBreak/>
              <w:t>Castellón</w:t>
            </w:r>
          </w:p>
        </w:tc>
        <w:tc>
          <w:tcPr>
            <w:tcW w:w="1985" w:type="dxa"/>
            <w:vAlign w:val="bottom"/>
          </w:tcPr>
          <w:p w14:paraId="1DBB8974"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Castellón de la Plana / Castelló de la Plana</w:t>
            </w:r>
          </w:p>
        </w:tc>
        <w:tc>
          <w:tcPr>
            <w:tcW w:w="1701" w:type="dxa"/>
            <w:vAlign w:val="bottom"/>
          </w:tcPr>
          <w:p w14:paraId="3E94D6B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6,9%</w:t>
            </w:r>
          </w:p>
        </w:tc>
        <w:tc>
          <w:tcPr>
            <w:tcW w:w="2126" w:type="dxa"/>
            <w:vAlign w:val="bottom"/>
          </w:tcPr>
          <w:p w14:paraId="6EFE37C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8,8%</w:t>
            </w:r>
          </w:p>
        </w:tc>
        <w:tc>
          <w:tcPr>
            <w:tcW w:w="1473" w:type="dxa"/>
            <w:vAlign w:val="bottom"/>
          </w:tcPr>
          <w:p w14:paraId="29AF569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1,9</w:t>
            </w:r>
          </w:p>
        </w:tc>
      </w:tr>
      <w:tr w:rsidR="004A2F79" w14:paraId="5A541B42"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5E77C60"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w:t>
            </w:r>
          </w:p>
        </w:tc>
        <w:tc>
          <w:tcPr>
            <w:tcW w:w="1985" w:type="dxa"/>
            <w:vAlign w:val="bottom"/>
          </w:tcPr>
          <w:p w14:paraId="0C9B340A"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Valencia capital</w:t>
            </w:r>
          </w:p>
        </w:tc>
        <w:tc>
          <w:tcPr>
            <w:tcW w:w="1701" w:type="dxa"/>
            <w:vAlign w:val="bottom"/>
          </w:tcPr>
          <w:p w14:paraId="392809D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6,6%</w:t>
            </w:r>
          </w:p>
        </w:tc>
        <w:tc>
          <w:tcPr>
            <w:tcW w:w="2126" w:type="dxa"/>
            <w:vAlign w:val="bottom"/>
          </w:tcPr>
          <w:p w14:paraId="500E95B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7,0%</w:t>
            </w:r>
          </w:p>
        </w:tc>
        <w:tc>
          <w:tcPr>
            <w:tcW w:w="1473" w:type="dxa"/>
            <w:vAlign w:val="bottom"/>
          </w:tcPr>
          <w:p w14:paraId="5A93273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0,4</w:t>
            </w:r>
          </w:p>
        </w:tc>
      </w:tr>
      <w:tr w:rsidR="004A2F79" w14:paraId="28A5DD34"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7A6883E"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Pontevedra</w:t>
            </w:r>
          </w:p>
        </w:tc>
        <w:tc>
          <w:tcPr>
            <w:tcW w:w="1985" w:type="dxa"/>
            <w:vAlign w:val="bottom"/>
          </w:tcPr>
          <w:p w14:paraId="7AC5A77C"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Vigo</w:t>
            </w:r>
          </w:p>
        </w:tc>
        <w:tc>
          <w:tcPr>
            <w:tcW w:w="1701" w:type="dxa"/>
            <w:vAlign w:val="bottom"/>
          </w:tcPr>
          <w:p w14:paraId="0BB72EA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4,7%</w:t>
            </w:r>
          </w:p>
        </w:tc>
        <w:tc>
          <w:tcPr>
            <w:tcW w:w="2126" w:type="dxa"/>
            <w:vAlign w:val="bottom"/>
          </w:tcPr>
          <w:p w14:paraId="0D85275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6,2%</w:t>
            </w:r>
          </w:p>
        </w:tc>
        <w:tc>
          <w:tcPr>
            <w:tcW w:w="1473" w:type="dxa"/>
            <w:vAlign w:val="bottom"/>
          </w:tcPr>
          <w:p w14:paraId="48420AD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1,5</w:t>
            </w:r>
          </w:p>
        </w:tc>
      </w:tr>
      <w:tr w:rsidR="004A2F79" w14:paraId="00065069"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E23CF3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La Rioja</w:t>
            </w:r>
          </w:p>
        </w:tc>
        <w:tc>
          <w:tcPr>
            <w:tcW w:w="1985" w:type="dxa"/>
            <w:vAlign w:val="bottom"/>
          </w:tcPr>
          <w:p w14:paraId="3ED2053E"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Logroño</w:t>
            </w:r>
          </w:p>
        </w:tc>
        <w:tc>
          <w:tcPr>
            <w:tcW w:w="1701" w:type="dxa"/>
            <w:vAlign w:val="bottom"/>
          </w:tcPr>
          <w:p w14:paraId="1A1FEA4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5,3%</w:t>
            </w:r>
          </w:p>
        </w:tc>
        <w:tc>
          <w:tcPr>
            <w:tcW w:w="2126" w:type="dxa"/>
            <w:vAlign w:val="bottom"/>
          </w:tcPr>
          <w:p w14:paraId="556B559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6,8%</w:t>
            </w:r>
          </w:p>
        </w:tc>
        <w:tc>
          <w:tcPr>
            <w:tcW w:w="1473" w:type="dxa"/>
            <w:vAlign w:val="bottom"/>
          </w:tcPr>
          <w:p w14:paraId="11BFA414"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1,6</w:t>
            </w:r>
          </w:p>
        </w:tc>
      </w:tr>
      <w:tr w:rsidR="004A2F79" w14:paraId="6D2885B6"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D478804"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w:t>
            </w:r>
          </w:p>
        </w:tc>
        <w:tc>
          <w:tcPr>
            <w:tcW w:w="1985" w:type="dxa"/>
            <w:vAlign w:val="bottom"/>
          </w:tcPr>
          <w:p w14:paraId="0C39B9F4"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Alcalá de Henares</w:t>
            </w:r>
          </w:p>
        </w:tc>
        <w:tc>
          <w:tcPr>
            <w:tcW w:w="1701" w:type="dxa"/>
            <w:vAlign w:val="bottom"/>
          </w:tcPr>
          <w:p w14:paraId="1D9F852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6,4%</w:t>
            </w:r>
          </w:p>
        </w:tc>
        <w:tc>
          <w:tcPr>
            <w:tcW w:w="2126" w:type="dxa"/>
            <w:vAlign w:val="bottom"/>
          </w:tcPr>
          <w:p w14:paraId="0BC2E8D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7,2%</w:t>
            </w:r>
          </w:p>
        </w:tc>
        <w:tc>
          <w:tcPr>
            <w:tcW w:w="1473" w:type="dxa"/>
            <w:vAlign w:val="bottom"/>
          </w:tcPr>
          <w:p w14:paraId="4F6B946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0,8</w:t>
            </w:r>
          </w:p>
        </w:tc>
      </w:tr>
      <w:tr w:rsidR="004A2F79" w14:paraId="73E3F3A5"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69E789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w:t>
            </w:r>
          </w:p>
        </w:tc>
        <w:tc>
          <w:tcPr>
            <w:tcW w:w="1985" w:type="dxa"/>
            <w:vAlign w:val="bottom"/>
          </w:tcPr>
          <w:p w14:paraId="48856B8F"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Getafe</w:t>
            </w:r>
          </w:p>
        </w:tc>
        <w:tc>
          <w:tcPr>
            <w:tcW w:w="1701" w:type="dxa"/>
            <w:vAlign w:val="bottom"/>
          </w:tcPr>
          <w:p w14:paraId="417C2EF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5,9%</w:t>
            </w:r>
          </w:p>
        </w:tc>
        <w:tc>
          <w:tcPr>
            <w:tcW w:w="2126" w:type="dxa"/>
            <w:vAlign w:val="bottom"/>
          </w:tcPr>
          <w:p w14:paraId="542236F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8,1%</w:t>
            </w:r>
          </w:p>
        </w:tc>
        <w:tc>
          <w:tcPr>
            <w:tcW w:w="1473" w:type="dxa"/>
            <w:vAlign w:val="bottom"/>
          </w:tcPr>
          <w:p w14:paraId="3FA3398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2,2</w:t>
            </w:r>
          </w:p>
        </w:tc>
      </w:tr>
      <w:tr w:rsidR="004A2F79" w14:paraId="5F8C24FF"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B06F2D6"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w:t>
            </w:r>
          </w:p>
        </w:tc>
        <w:tc>
          <w:tcPr>
            <w:tcW w:w="1985" w:type="dxa"/>
            <w:vAlign w:val="bottom"/>
          </w:tcPr>
          <w:p w14:paraId="249EB2D1"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Leganés</w:t>
            </w:r>
          </w:p>
        </w:tc>
        <w:tc>
          <w:tcPr>
            <w:tcW w:w="1701" w:type="dxa"/>
            <w:vAlign w:val="bottom"/>
          </w:tcPr>
          <w:p w14:paraId="773EC2C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6,4%</w:t>
            </w:r>
          </w:p>
        </w:tc>
        <w:tc>
          <w:tcPr>
            <w:tcW w:w="2126" w:type="dxa"/>
            <w:vAlign w:val="bottom"/>
          </w:tcPr>
          <w:p w14:paraId="3DC4529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7,9%</w:t>
            </w:r>
          </w:p>
        </w:tc>
        <w:tc>
          <w:tcPr>
            <w:tcW w:w="1473" w:type="dxa"/>
            <w:vAlign w:val="bottom"/>
          </w:tcPr>
          <w:p w14:paraId="2FA1718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1,4</w:t>
            </w:r>
          </w:p>
        </w:tc>
      </w:tr>
      <w:tr w:rsidR="004A2F79" w14:paraId="26422361"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E744140"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w:t>
            </w:r>
          </w:p>
        </w:tc>
        <w:tc>
          <w:tcPr>
            <w:tcW w:w="1985" w:type="dxa"/>
            <w:vAlign w:val="bottom"/>
          </w:tcPr>
          <w:p w14:paraId="6CF7FC54"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Madrid capital</w:t>
            </w:r>
          </w:p>
        </w:tc>
        <w:tc>
          <w:tcPr>
            <w:tcW w:w="1701" w:type="dxa"/>
            <w:vAlign w:val="bottom"/>
          </w:tcPr>
          <w:p w14:paraId="009818A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5,0%</w:t>
            </w:r>
          </w:p>
        </w:tc>
        <w:tc>
          <w:tcPr>
            <w:tcW w:w="2126" w:type="dxa"/>
            <w:vAlign w:val="bottom"/>
          </w:tcPr>
          <w:p w14:paraId="65F78FE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5,5%</w:t>
            </w:r>
          </w:p>
        </w:tc>
        <w:tc>
          <w:tcPr>
            <w:tcW w:w="1473" w:type="dxa"/>
            <w:vAlign w:val="bottom"/>
          </w:tcPr>
          <w:p w14:paraId="655919DD"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0,6</w:t>
            </w:r>
          </w:p>
        </w:tc>
      </w:tr>
      <w:tr w:rsidR="004A2F79" w14:paraId="1DE9A823"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2540FE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w:t>
            </w:r>
          </w:p>
        </w:tc>
        <w:tc>
          <w:tcPr>
            <w:tcW w:w="1985" w:type="dxa"/>
            <w:vAlign w:val="bottom"/>
          </w:tcPr>
          <w:p w14:paraId="7DF25486"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Móstoles</w:t>
            </w:r>
          </w:p>
        </w:tc>
        <w:tc>
          <w:tcPr>
            <w:tcW w:w="1701" w:type="dxa"/>
            <w:vAlign w:val="bottom"/>
          </w:tcPr>
          <w:p w14:paraId="54A1897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6,6%</w:t>
            </w:r>
          </w:p>
        </w:tc>
        <w:tc>
          <w:tcPr>
            <w:tcW w:w="2126" w:type="dxa"/>
            <w:vAlign w:val="bottom"/>
          </w:tcPr>
          <w:p w14:paraId="5422C27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8,3%</w:t>
            </w:r>
          </w:p>
        </w:tc>
        <w:tc>
          <w:tcPr>
            <w:tcW w:w="1473" w:type="dxa"/>
            <w:vAlign w:val="bottom"/>
          </w:tcPr>
          <w:p w14:paraId="548C1AB6"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1,7</w:t>
            </w:r>
          </w:p>
        </w:tc>
      </w:tr>
      <w:tr w:rsidR="004A2F79" w14:paraId="3E8366C3"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7E40F66"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Navarra</w:t>
            </w:r>
          </w:p>
        </w:tc>
        <w:tc>
          <w:tcPr>
            <w:tcW w:w="1985" w:type="dxa"/>
            <w:vAlign w:val="bottom"/>
          </w:tcPr>
          <w:p w14:paraId="732F76DF"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Pamplona / Iruña</w:t>
            </w:r>
          </w:p>
        </w:tc>
        <w:tc>
          <w:tcPr>
            <w:tcW w:w="1701" w:type="dxa"/>
            <w:vAlign w:val="bottom"/>
          </w:tcPr>
          <w:p w14:paraId="7EF0396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4,5%</w:t>
            </w:r>
          </w:p>
        </w:tc>
        <w:tc>
          <w:tcPr>
            <w:tcW w:w="2126" w:type="dxa"/>
            <w:vAlign w:val="bottom"/>
          </w:tcPr>
          <w:p w14:paraId="60D70FF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8,5%</w:t>
            </w:r>
          </w:p>
        </w:tc>
        <w:tc>
          <w:tcPr>
            <w:tcW w:w="1473" w:type="dxa"/>
            <w:vAlign w:val="bottom"/>
          </w:tcPr>
          <w:p w14:paraId="358B5D34"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4,0</w:t>
            </w:r>
          </w:p>
        </w:tc>
      </w:tr>
      <w:tr w:rsidR="004A2F79" w14:paraId="5F6DE124"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20A1CA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Bizkaia</w:t>
            </w:r>
          </w:p>
        </w:tc>
        <w:tc>
          <w:tcPr>
            <w:tcW w:w="1985" w:type="dxa"/>
            <w:vAlign w:val="bottom"/>
          </w:tcPr>
          <w:p w14:paraId="68F94BDD"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Bilbao</w:t>
            </w:r>
          </w:p>
        </w:tc>
        <w:tc>
          <w:tcPr>
            <w:tcW w:w="1701" w:type="dxa"/>
            <w:vAlign w:val="bottom"/>
          </w:tcPr>
          <w:p w14:paraId="3EE0556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5,3%</w:t>
            </w:r>
          </w:p>
        </w:tc>
        <w:tc>
          <w:tcPr>
            <w:tcW w:w="2126" w:type="dxa"/>
            <w:vAlign w:val="bottom"/>
          </w:tcPr>
          <w:p w14:paraId="3F38E40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7,3%</w:t>
            </w:r>
          </w:p>
        </w:tc>
        <w:tc>
          <w:tcPr>
            <w:tcW w:w="1473" w:type="dxa"/>
            <w:vAlign w:val="bottom"/>
          </w:tcPr>
          <w:p w14:paraId="049190D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2,0</w:t>
            </w:r>
          </w:p>
        </w:tc>
      </w:tr>
      <w:tr w:rsidR="004A2F79" w14:paraId="6F92EF5D"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56310E6"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Murcia</w:t>
            </w:r>
          </w:p>
        </w:tc>
        <w:tc>
          <w:tcPr>
            <w:tcW w:w="1985" w:type="dxa"/>
            <w:vAlign w:val="bottom"/>
          </w:tcPr>
          <w:p w14:paraId="148C13D6"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Cartagena</w:t>
            </w:r>
          </w:p>
        </w:tc>
        <w:tc>
          <w:tcPr>
            <w:tcW w:w="1701" w:type="dxa"/>
            <w:vAlign w:val="bottom"/>
          </w:tcPr>
          <w:p w14:paraId="5CE1A8C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6,9%</w:t>
            </w:r>
          </w:p>
        </w:tc>
        <w:tc>
          <w:tcPr>
            <w:tcW w:w="2126" w:type="dxa"/>
            <w:vAlign w:val="bottom"/>
          </w:tcPr>
          <w:p w14:paraId="581477F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10,0%</w:t>
            </w:r>
          </w:p>
        </w:tc>
        <w:tc>
          <w:tcPr>
            <w:tcW w:w="1473" w:type="dxa"/>
            <w:vAlign w:val="bottom"/>
          </w:tcPr>
          <w:p w14:paraId="244B15E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3,1</w:t>
            </w:r>
          </w:p>
        </w:tc>
      </w:tr>
      <w:tr w:rsidR="004A2F79" w14:paraId="276715B9"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2F5BD7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Murcia</w:t>
            </w:r>
          </w:p>
        </w:tc>
        <w:tc>
          <w:tcPr>
            <w:tcW w:w="1985" w:type="dxa"/>
            <w:vAlign w:val="bottom"/>
          </w:tcPr>
          <w:p w14:paraId="58717F3A"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Murcia capital</w:t>
            </w:r>
          </w:p>
        </w:tc>
        <w:tc>
          <w:tcPr>
            <w:tcW w:w="1701" w:type="dxa"/>
            <w:vAlign w:val="bottom"/>
          </w:tcPr>
          <w:p w14:paraId="152AB28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6,9%</w:t>
            </w:r>
          </w:p>
        </w:tc>
        <w:tc>
          <w:tcPr>
            <w:tcW w:w="2126" w:type="dxa"/>
            <w:vAlign w:val="bottom"/>
          </w:tcPr>
          <w:p w14:paraId="2210CD4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9,2%</w:t>
            </w:r>
          </w:p>
        </w:tc>
        <w:tc>
          <w:tcPr>
            <w:tcW w:w="1473" w:type="dxa"/>
            <w:vAlign w:val="bottom"/>
          </w:tcPr>
          <w:p w14:paraId="79A0C30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2,3</w:t>
            </w:r>
          </w:p>
        </w:tc>
      </w:tr>
    </w:tbl>
    <w:p w14:paraId="38B931F3" w14:textId="77777777" w:rsidR="004A2F79" w:rsidRDefault="0000000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0"/>
          <w:szCs w:val="20"/>
        </w:rPr>
      </w:pPr>
      <w:r>
        <w:rPr>
          <w:rFonts w:ascii="Open Sans Light" w:eastAsia="Open Sans Light" w:hAnsi="Open Sans Light" w:cs="Open Sans Light"/>
          <w:b/>
          <w:color w:val="303AB2"/>
          <w:u w:val="single"/>
        </w:rPr>
        <w:t>Tabla por distritos</w:t>
      </w:r>
      <w:r>
        <w:rPr>
          <w:rFonts w:ascii="Open Sans Light" w:eastAsia="Open Sans Light" w:hAnsi="Open Sans Light" w:cs="Open Sans Light"/>
          <w:b/>
          <w:color w:val="303AB2"/>
        </w:rPr>
        <w:t>: Rentabilidad de vivienda de 80 m</w:t>
      </w:r>
      <w:r>
        <w:rPr>
          <w:rFonts w:ascii="Open Sans Light" w:eastAsia="Open Sans Light" w:hAnsi="Open Sans Light" w:cs="Open Sans Light"/>
          <w:b/>
          <w:color w:val="303AB2"/>
          <w:vertAlign w:val="superscript"/>
        </w:rPr>
        <w:t>2</w:t>
      </w:r>
      <w:r>
        <w:rPr>
          <w:rFonts w:ascii="Open Sans Light" w:eastAsia="Open Sans Light" w:hAnsi="Open Sans Light" w:cs="Open Sans Light"/>
          <w:b/>
          <w:color w:val="303AB2"/>
        </w:rPr>
        <w:t xml:space="preserve"> completa vs alquiler de 3 habitaciones </w:t>
      </w:r>
    </w:p>
    <w:tbl>
      <w:tblPr>
        <w:tblStyle w:val="a1"/>
        <w:tblW w:w="9123"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38"/>
        <w:gridCol w:w="1985"/>
        <w:gridCol w:w="1701"/>
        <w:gridCol w:w="2126"/>
        <w:gridCol w:w="1473"/>
      </w:tblGrid>
      <w:tr w:rsidR="004A2F79" w14:paraId="5429D917" w14:textId="77777777" w:rsidTr="004A2F79">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3BE05A7" w14:textId="77777777" w:rsidR="004A2F79" w:rsidRDefault="00000000">
            <w:pPr>
              <w:rPr>
                <w:rFonts w:ascii="Open Sans" w:eastAsia="Open Sans" w:hAnsi="Open Sans" w:cs="Open Sans"/>
                <w:sz w:val="20"/>
                <w:szCs w:val="20"/>
              </w:rPr>
            </w:pPr>
            <w:bookmarkStart w:id="2" w:name="_heading=h.1fob9te" w:colFirst="0" w:colLast="0"/>
            <w:bookmarkEnd w:id="2"/>
            <w:r>
              <w:rPr>
                <w:rFonts w:ascii="Open Sans" w:eastAsia="Open Sans" w:hAnsi="Open Sans" w:cs="Open Sans"/>
                <w:b w:val="0"/>
                <w:sz w:val="20"/>
                <w:szCs w:val="20"/>
              </w:rPr>
              <w:t>Municipio</w:t>
            </w:r>
          </w:p>
        </w:tc>
        <w:tc>
          <w:tcPr>
            <w:tcW w:w="1985" w:type="dxa"/>
            <w:vAlign w:val="center"/>
          </w:tcPr>
          <w:p w14:paraId="1BEBB15C" w14:textId="77777777" w:rsidR="004A2F79" w:rsidRDefault="00000000">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b w:val="0"/>
                <w:color w:val="000000"/>
                <w:sz w:val="20"/>
                <w:szCs w:val="20"/>
              </w:rPr>
              <w:t>Distrito</w:t>
            </w:r>
          </w:p>
        </w:tc>
        <w:tc>
          <w:tcPr>
            <w:tcW w:w="1701" w:type="dxa"/>
            <w:vAlign w:val="center"/>
          </w:tcPr>
          <w:p w14:paraId="3BFFDA28"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b w:val="0"/>
                <w:sz w:val="20"/>
                <w:szCs w:val="20"/>
              </w:rPr>
              <w:t xml:space="preserve"> Rentabilidad vivienda 80 m</w:t>
            </w:r>
            <w:r>
              <w:rPr>
                <w:rFonts w:ascii="Open Sans" w:eastAsia="Open Sans" w:hAnsi="Open Sans" w:cs="Open Sans"/>
                <w:b w:val="0"/>
                <w:sz w:val="20"/>
                <w:szCs w:val="20"/>
                <w:vertAlign w:val="superscript"/>
              </w:rPr>
              <w:t xml:space="preserve">2 </w:t>
            </w:r>
            <w:r>
              <w:rPr>
                <w:rFonts w:ascii="Open Sans" w:eastAsia="Open Sans" w:hAnsi="Open Sans" w:cs="Open Sans"/>
                <w:b w:val="0"/>
                <w:sz w:val="20"/>
                <w:szCs w:val="20"/>
              </w:rPr>
              <w:t xml:space="preserve">(sept-23) </w:t>
            </w:r>
          </w:p>
        </w:tc>
        <w:tc>
          <w:tcPr>
            <w:tcW w:w="2126" w:type="dxa"/>
            <w:vAlign w:val="center"/>
          </w:tcPr>
          <w:p w14:paraId="61611229"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i/>
                <w:sz w:val="20"/>
                <w:szCs w:val="20"/>
              </w:rPr>
            </w:pPr>
            <w:r>
              <w:rPr>
                <w:rFonts w:ascii="Open Sans" w:eastAsia="Open Sans" w:hAnsi="Open Sans" w:cs="Open Sans"/>
                <w:b w:val="0"/>
                <w:sz w:val="20"/>
                <w:szCs w:val="20"/>
              </w:rPr>
              <w:t xml:space="preserve"> Rentabilidad de una vivenda compartida de 3 hab. (sept-23) </w:t>
            </w:r>
          </w:p>
        </w:tc>
        <w:tc>
          <w:tcPr>
            <w:tcW w:w="1473" w:type="dxa"/>
            <w:vAlign w:val="center"/>
          </w:tcPr>
          <w:p w14:paraId="6402A2BB" w14:textId="77777777" w:rsidR="004A2F79" w:rsidRDefault="00000000">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b w:val="0"/>
                <w:sz w:val="20"/>
                <w:szCs w:val="20"/>
              </w:rPr>
              <w:t xml:space="preserve"> Diferencia punto porcentual </w:t>
            </w:r>
          </w:p>
        </w:tc>
      </w:tr>
      <w:tr w:rsidR="004A2F79" w14:paraId="0E96CD26"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47A3C8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Córdoba capital</w:t>
            </w:r>
          </w:p>
        </w:tc>
        <w:tc>
          <w:tcPr>
            <w:tcW w:w="1985" w:type="dxa"/>
            <w:vAlign w:val="bottom"/>
          </w:tcPr>
          <w:p w14:paraId="40717DA2"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Centro</w:t>
            </w:r>
          </w:p>
        </w:tc>
        <w:tc>
          <w:tcPr>
            <w:tcW w:w="1701" w:type="dxa"/>
            <w:vAlign w:val="bottom"/>
          </w:tcPr>
          <w:p w14:paraId="5CED813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5,4%</w:t>
            </w:r>
          </w:p>
        </w:tc>
        <w:tc>
          <w:tcPr>
            <w:tcW w:w="2126" w:type="dxa"/>
            <w:vAlign w:val="bottom"/>
          </w:tcPr>
          <w:p w14:paraId="1E834B9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7,4%</w:t>
            </w:r>
          </w:p>
        </w:tc>
        <w:tc>
          <w:tcPr>
            <w:tcW w:w="1473" w:type="dxa"/>
            <w:vAlign w:val="bottom"/>
          </w:tcPr>
          <w:p w14:paraId="2DF7983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1,9</w:t>
            </w:r>
          </w:p>
        </w:tc>
      </w:tr>
      <w:tr w:rsidR="004A2F79" w14:paraId="5C344640"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A48DE8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Córdoba capital</w:t>
            </w:r>
          </w:p>
        </w:tc>
        <w:tc>
          <w:tcPr>
            <w:tcW w:w="1985" w:type="dxa"/>
            <w:vAlign w:val="bottom"/>
          </w:tcPr>
          <w:p w14:paraId="688CE170"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Poniente-Sur</w:t>
            </w:r>
          </w:p>
        </w:tc>
        <w:tc>
          <w:tcPr>
            <w:tcW w:w="1701" w:type="dxa"/>
            <w:vAlign w:val="bottom"/>
          </w:tcPr>
          <w:p w14:paraId="7FB1791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5,5%</w:t>
            </w:r>
          </w:p>
        </w:tc>
        <w:tc>
          <w:tcPr>
            <w:tcW w:w="2126" w:type="dxa"/>
            <w:vAlign w:val="bottom"/>
          </w:tcPr>
          <w:p w14:paraId="567EC39D"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7,4%</w:t>
            </w:r>
          </w:p>
        </w:tc>
        <w:tc>
          <w:tcPr>
            <w:tcW w:w="1473" w:type="dxa"/>
            <w:vAlign w:val="bottom"/>
          </w:tcPr>
          <w:p w14:paraId="582345A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1,9</w:t>
            </w:r>
          </w:p>
        </w:tc>
      </w:tr>
      <w:tr w:rsidR="004A2F79" w14:paraId="249F7665"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C77E7A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Granada capital</w:t>
            </w:r>
          </w:p>
        </w:tc>
        <w:tc>
          <w:tcPr>
            <w:tcW w:w="1985" w:type="dxa"/>
            <w:vAlign w:val="bottom"/>
          </w:tcPr>
          <w:p w14:paraId="7EFDF848"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Beiro</w:t>
            </w:r>
          </w:p>
        </w:tc>
        <w:tc>
          <w:tcPr>
            <w:tcW w:w="1701" w:type="dxa"/>
            <w:vAlign w:val="bottom"/>
          </w:tcPr>
          <w:p w14:paraId="702AD87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5,4%</w:t>
            </w:r>
          </w:p>
        </w:tc>
        <w:tc>
          <w:tcPr>
            <w:tcW w:w="2126" w:type="dxa"/>
            <w:vAlign w:val="bottom"/>
          </w:tcPr>
          <w:p w14:paraId="36BF463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6,6%</w:t>
            </w:r>
          </w:p>
        </w:tc>
        <w:tc>
          <w:tcPr>
            <w:tcW w:w="1473" w:type="dxa"/>
            <w:vAlign w:val="bottom"/>
          </w:tcPr>
          <w:p w14:paraId="62F6797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1,3</w:t>
            </w:r>
          </w:p>
        </w:tc>
      </w:tr>
      <w:tr w:rsidR="004A2F79" w14:paraId="4A809F90"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48DCD3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Granada capital</w:t>
            </w:r>
          </w:p>
        </w:tc>
        <w:tc>
          <w:tcPr>
            <w:tcW w:w="1985" w:type="dxa"/>
            <w:vAlign w:val="bottom"/>
          </w:tcPr>
          <w:p w14:paraId="1F05BC1A"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Centro</w:t>
            </w:r>
          </w:p>
        </w:tc>
        <w:tc>
          <w:tcPr>
            <w:tcW w:w="1701" w:type="dxa"/>
            <w:vAlign w:val="bottom"/>
          </w:tcPr>
          <w:p w14:paraId="3A0DE91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4,6%</w:t>
            </w:r>
          </w:p>
        </w:tc>
        <w:tc>
          <w:tcPr>
            <w:tcW w:w="2126" w:type="dxa"/>
            <w:vAlign w:val="bottom"/>
          </w:tcPr>
          <w:p w14:paraId="42B4FC2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6,1%</w:t>
            </w:r>
          </w:p>
        </w:tc>
        <w:tc>
          <w:tcPr>
            <w:tcW w:w="1473" w:type="dxa"/>
            <w:vAlign w:val="bottom"/>
          </w:tcPr>
          <w:p w14:paraId="343AB00D"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1,4</w:t>
            </w:r>
          </w:p>
        </w:tc>
      </w:tr>
      <w:tr w:rsidR="004A2F79" w14:paraId="320BF689"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376440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Granada capital</w:t>
            </w:r>
          </w:p>
        </w:tc>
        <w:tc>
          <w:tcPr>
            <w:tcW w:w="1985" w:type="dxa"/>
            <w:vAlign w:val="bottom"/>
          </w:tcPr>
          <w:p w14:paraId="2B1CD640"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Chana</w:t>
            </w:r>
          </w:p>
        </w:tc>
        <w:tc>
          <w:tcPr>
            <w:tcW w:w="1701" w:type="dxa"/>
            <w:vAlign w:val="bottom"/>
          </w:tcPr>
          <w:p w14:paraId="0C542BF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6,0%</w:t>
            </w:r>
          </w:p>
        </w:tc>
        <w:tc>
          <w:tcPr>
            <w:tcW w:w="2126" w:type="dxa"/>
            <w:vAlign w:val="bottom"/>
          </w:tcPr>
          <w:p w14:paraId="14269C76"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11,5%</w:t>
            </w:r>
          </w:p>
        </w:tc>
        <w:tc>
          <w:tcPr>
            <w:tcW w:w="1473" w:type="dxa"/>
            <w:vAlign w:val="bottom"/>
          </w:tcPr>
          <w:p w14:paraId="284D218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5,5</w:t>
            </w:r>
          </w:p>
        </w:tc>
      </w:tr>
      <w:tr w:rsidR="004A2F79" w14:paraId="435C6EF0"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FFDABF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Granada capital</w:t>
            </w:r>
          </w:p>
        </w:tc>
        <w:tc>
          <w:tcPr>
            <w:tcW w:w="1985" w:type="dxa"/>
            <w:vAlign w:val="bottom"/>
          </w:tcPr>
          <w:p w14:paraId="11BB773B"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Norte</w:t>
            </w:r>
          </w:p>
        </w:tc>
        <w:tc>
          <w:tcPr>
            <w:tcW w:w="1701" w:type="dxa"/>
            <w:vAlign w:val="bottom"/>
          </w:tcPr>
          <w:p w14:paraId="5FD9CB0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8,7%</w:t>
            </w:r>
          </w:p>
        </w:tc>
        <w:tc>
          <w:tcPr>
            <w:tcW w:w="2126" w:type="dxa"/>
            <w:vAlign w:val="bottom"/>
          </w:tcPr>
          <w:p w14:paraId="414DC48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10,1%</w:t>
            </w:r>
          </w:p>
        </w:tc>
        <w:tc>
          <w:tcPr>
            <w:tcW w:w="1473" w:type="dxa"/>
            <w:vAlign w:val="bottom"/>
          </w:tcPr>
          <w:p w14:paraId="5F79166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1,4</w:t>
            </w:r>
          </w:p>
        </w:tc>
      </w:tr>
      <w:tr w:rsidR="004A2F79" w14:paraId="0E6209AB"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C18D60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Granada capital</w:t>
            </w:r>
          </w:p>
        </w:tc>
        <w:tc>
          <w:tcPr>
            <w:tcW w:w="1985" w:type="dxa"/>
            <w:vAlign w:val="bottom"/>
          </w:tcPr>
          <w:p w14:paraId="6FD70F59"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Ronda</w:t>
            </w:r>
          </w:p>
        </w:tc>
        <w:tc>
          <w:tcPr>
            <w:tcW w:w="1701" w:type="dxa"/>
            <w:vAlign w:val="bottom"/>
          </w:tcPr>
          <w:p w14:paraId="2874B68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4,8%</w:t>
            </w:r>
          </w:p>
        </w:tc>
        <w:tc>
          <w:tcPr>
            <w:tcW w:w="2126" w:type="dxa"/>
            <w:vAlign w:val="bottom"/>
          </w:tcPr>
          <w:p w14:paraId="208A3F5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5,9%</w:t>
            </w:r>
          </w:p>
        </w:tc>
        <w:tc>
          <w:tcPr>
            <w:tcW w:w="1473" w:type="dxa"/>
            <w:vAlign w:val="bottom"/>
          </w:tcPr>
          <w:p w14:paraId="72ADBE1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1,1</w:t>
            </w:r>
          </w:p>
        </w:tc>
      </w:tr>
      <w:tr w:rsidR="004A2F79" w14:paraId="641F5C98"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219971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Sevilla capital</w:t>
            </w:r>
          </w:p>
        </w:tc>
        <w:tc>
          <w:tcPr>
            <w:tcW w:w="1985" w:type="dxa"/>
            <w:vAlign w:val="bottom"/>
          </w:tcPr>
          <w:p w14:paraId="0AC679D8"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Casco Antiguo</w:t>
            </w:r>
          </w:p>
        </w:tc>
        <w:tc>
          <w:tcPr>
            <w:tcW w:w="1701" w:type="dxa"/>
            <w:vAlign w:val="bottom"/>
          </w:tcPr>
          <w:p w14:paraId="7B3D0C3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4,5%</w:t>
            </w:r>
          </w:p>
        </w:tc>
        <w:tc>
          <w:tcPr>
            <w:tcW w:w="2126" w:type="dxa"/>
            <w:vAlign w:val="bottom"/>
          </w:tcPr>
          <w:p w14:paraId="70097A8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6,0%</w:t>
            </w:r>
          </w:p>
        </w:tc>
        <w:tc>
          <w:tcPr>
            <w:tcW w:w="1473" w:type="dxa"/>
            <w:vAlign w:val="bottom"/>
          </w:tcPr>
          <w:p w14:paraId="36AE9F3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1,5</w:t>
            </w:r>
          </w:p>
        </w:tc>
      </w:tr>
      <w:tr w:rsidR="004A2F79" w14:paraId="441F1246"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2301BF8"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Sevilla capital</w:t>
            </w:r>
          </w:p>
        </w:tc>
        <w:tc>
          <w:tcPr>
            <w:tcW w:w="1985" w:type="dxa"/>
            <w:vAlign w:val="bottom"/>
          </w:tcPr>
          <w:p w14:paraId="2AADD063"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Macarena</w:t>
            </w:r>
          </w:p>
        </w:tc>
        <w:tc>
          <w:tcPr>
            <w:tcW w:w="1701" w:type="dxa"/>
            <w:vAlign w:val="bottom"/>
          </w:tcPr>
          <w:p w14:paraId="692030E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6,2%</w:t>
            </w:r>
          </w:p>
        </w:tc>
        <w:tc>
          <w:tcPr>
            <w:tcW w:w="2126" w:type="dxa"/>
            <w:vAlign w:val="bottom"/>
          </w:tcPr>
          <w:p w14:paraId="13008D3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7,3%</w:t>
            </w:r>
          </w:p>
        </w:tc>
        <w:tc>
          <w:tcPr>
            <w:tcW w:w="1473" w:type="dxa"/>
            <w:vAlign w:val="bottom"/>
          </w:tcPr>
          <w:p w14:paraId="17376B6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1,1</w:t>
            </w:r>
          </w:p>
        </w:tc>
      </w:tr>
      <w:tr w:rsidR="004A2F79" w14:paraId="428A29EF"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70CDD7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Sevilla capital</w:t>
            </w:r>
          </w:p>
        </w:tc>
        <w:tc>
          <w:tcPr>
            <w:tcW w:w="1985" w:type="dxa"/>
            <w:vAlign w:val="bottom"/>
          </w:tcPr>
          <w:p w14:paraId="43984C55"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Sur</w:t>
            </w:r>
          </w:p>
        </w:tc>
        <w:tc>
          <w:tcPr>
            <w:tcW w:w="1701" w:type="dxa"/>
            <w:vAlign w:val="bottom"/>
          </w:tcPr>
          <w:p w14:paraId="44B544B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5,6%</w:t>
            </w:r>
          </w:p>
        </w:tc>
        <w:tc>
          <w:tcPr>
            <w:tcW w:w="2126" w:type="dxa"/>
            <w:vAlign w:val="bottom"/>
          </w:tcPr>
          <w:p w14:paraId="79196F7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7,9%</w:t>
            </w:r>
          </w:p>
        </w:tc>
        <w:tc>
          <w:tcPr>
            <w:tcW w:w="1473" w:type="dxa"/>
            <w:vAlign w:val="bottom"/>
          </w:tcPr>
          <w:p w14:paraId="5FD67D1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2,3</w:t>
            </w:r>
          </w:p>
        </w:tc>
      </w:tr>
      <w:tr w:rsidR="004A2F79" w14:paraId="19C4AAA5"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977875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Sevilla capital</w:t>
            </w:r>
          </w:p>
        </w:tc>
        <w:tc>
          <w:tcPr>
            <w:tcW w:w="1985" w:type="dxa"/>
            <w:vAlign w:val="bottom"/>
          </w:tcPr>
          <w:p w14:paraId="09902CCA"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Triana</w:t>
            </w:r>
          </w:p>
        </w:tc>
        <w:tc>
          <w:tcPr>
            <w:tcW w:w="1701" w:type="dxa"/>
            <w:vAlign w:val="bottom"/>
          </w:tcPr>
          <w:p w14:paraId="7B12F17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5,4%</w:t>
            </w:r>
          </w:p>
        </w:tc>
        <w:tc>
          <w:tcPr>
            <w:tcW w:w="2126" w:type="dxa"/>
            <w:vAlign w:val="bottom"/>
          </w:tcPr>
          <w:p w14:paraId="20C7136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6,7%</w:t>
            </w:r>
          </w:p>
        </w:tc>
        <w:tc>
          <w:tcPr>
            <w:tcW w:w="1473" w:type="dxa"/>
            <w:vAlign w:val="bottom"/>
          </w:tcPr>
          <w:p w14:paraId="10409C9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1,3</w:t>
            </w:r>
          </w:p>
        </w:tc>
      </w:tr>
      <w:tr w:rsidR="004A2F79" w14:paraId="2BA3569F"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8D34898"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Zaragoza capital</w:t>
            </w:r>
          </w:p>
        </w:tc>
        <w:tc>
          <w:tcPr>
            <w:tcW w:w="1985" w:type="dxa"/>
            <w:vAlign w:val="bottom"/>
          </w:tcPr>
          <w:p w14:paraId="4C94C217"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Centro</w:t>
            </w:r>
          </w:p>
        </w:tc>
        <w:tc>
          <w:tcPr>
            <w:tcW w:w="1701" w:type="dxa"/>
            <w:vAlign w:val="bottom"/>
          </w:tcPr>
          <w:p w14:paraId="01E6C22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4,8%</w:t>
            </w:r>
          </w:p>
        </w:tc>
        <w:tc>
          <w:tcPr>
            <w:tcW w:w="2126" w:type="dxa"/>
            <w:vAlign w:val="bottom"/>
          </w:tcPr>
          <w:p w14:paraId="0CB304D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7,0%</w:t>
            </w:r>
          </w:p>
        </w:tc>
        <w:tc>
          <w:tcPr>
            <w:tcW w:w="1473" w:type="dxa"/>
            <w:vAlign w:val="bottom"/>
          </w:tcPr>
          <w:p w14:paraId="4ACCBE0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2,1</w:t>
            </w:r>
          </w:p>
        </w:tc>
      </w:tr>
      <w:tr w:rsidR="004A2F79" w14:paraId="08A9FB83"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43EE9E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Zaragoza capital</w:t>
            </w:r>
          </w:p>
        </w:tc>
        <w:tc>
          <w:tcPr>
            <w:tcW w:w="1985" w:type="dxa"/>
            <w:vAlign w:val="bottom"/>
          </w:tcPr>
          <w:p w14:paraId="6C9F2797"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Delicias</w:t>
            </w:r>
          </w:p>
        </w:tc>
        <w:tc>
          <w:tcPr>
            <w:tcW w:w="1701" w:type="dxa"/>
            <w:vAlign w:val="bottom"/>
          </w:tcPr>
          <w:p w14:paraId="30BEB74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6,0%</w:t>
            </w:r>
          </w:p>
        </w:tc>
        <w:tc>
          <w:tcPr>
            <w:tcW w:w="2126" w:type="dxa"/>
            <w:vAlign w:val="bottom"/>
          </w:tcPr>
          <w:p w14:paraId="1F8AF11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7,0%</w:t>
            </w:r>
          </w:p>
        </w:tc>
        <w:tc>
          <w:tcPr>
            <w:tcW w:w="1473" w:type="dxa"/>
            <w:vAlign w:val="bottom"/>
          </w:tcPr>
          <w:p w14:paraId="305003A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1,0</w:t>
            </w:r>
          </w:p>
        </w:tc>
      </w:tr>
      <w:tr w:rsidR="004A2F79" w14:paraId="5287BC1C"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C22872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Zaragoza capital</w:t>
            </w:r>
          </w:p>
        </w:tc>
        <w:tc>
          <w:tcPr>
            <w:tcW w:w="1985" w:type="dxa"/>
            <w:vAlign w:val="bottom"/>
          </w:tcPr>
          <w:p w14:paraId="53A72C8B"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Universidad</w:t>
            </w:r>
          </w:p>
        </w:tc>
        <w:tc>
          <w:tcPr>
            <w:tcW w:w="1701" w:type="dxa"/>
            <w:vAlign w:val="bottom"/>
          </w:tcPr>
          <w:p w14:paraId="4F64C0D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5,5%</w:t>
            </w:r>
          </w:p>
        </w:tc>
        <w:tc>
          <w:tcPr>
            <w:tcW w:w="2126" w:type="dxa"/>
            <w:vAlign w:val="bottom"/>
          </w:tcPr>
          <w:p w14:paraId="6745D01D"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8,6%</w:t>
            </w:r>
          </w:p>
        </w:tc>
        <w:tc>
          <w:tcPr>
            <w:tcW w:w="1473" w:type="dxa"/>
            <w:vAlign w:val="bottom"/>
          </w:tcPr>
          <w:p w14:paraId="7C4DDF9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3,0</w:t>
            </w:r>
          </w:p>
        </w:tc>
      </w:tr>
      <w:tr w:rsidR="004A2F79" w14:paraId="752E2F4A"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C485B9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Palma de Mallorca</w:t>
            </w:r>
          </w:p>
        </w:tc>
        <w:tc>
          <w:tcPr>
            <w:tcW w:w="1985" w:type="dxa"/>
            <w:vAlign w:val="bottom"/>
          </w:tcPr>
          <w:p w14:paraId="3EEF368E"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Llevant</w:t>
            </w:r>
          </w:p>
        </w:tc>
        <w:tc>
          <w:tcPr>
            <w:tcW w:w="1701" w:type="dxa"/>
            <w:vAlign w:val="bottom"/>
          </w:tcPr>
          <w:p w14:paraId="7A0CB8F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5,4%</w:t>
            </w:r>
          </w:p>
        </w:tc>
        <w:tc>
          <w:tcPr>
            <w:tcW w:w="2126" w:type="dxa"/>
            <w:vAlign w:val="bottom"/>
          </w:tcPr>
          <w:p w14:paraId="5521556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7,8%</w:t>
            </w:r>
          </w:p>
        </w:tc>
        <w:tc>
          <w:tcPr>
            <w:tcW w:w="1473" w:type="dxa"/>
            <w:vAlign w:val="bottom"/>
          </w:tcPr>
          <w:p w14:paraId="7AD5BFD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2,3</w:t>
            </w:r>
          </w:p>
        </w:tc>
      </w:tr>
      <w:tr w:rsidR="004A2F79" w14:paraId="74063131"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7D9181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Salamanca capital</w:t>
            </w:r>
          </w:p>
        </w:tc>
        <w:tc>
          <w:tcPr>
            <w:tcW w:w="1985" w:type="dxa"/>
            <w:vAlign w:val="bottom"/>
          </w:tcPr>
          <w:p w14:paraId="2E7E7EC7"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Centro</w:t>
            </w:r>
          </w:p>
        </w:tc>
        <w:tc>
          <w:tcPr>
            <w:tcW w:w="1701" w:type="dxa"/>
            <w:vAlign w:val="bottom"/>
          </w:tcPr>
          <w:p w14:paraId="45D2704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4,4%</w:t>
            </w:r>
          </w:p>
        </w:tc>
        <w:tc>
          <w:tcPr>
            <w:tcW w:w="2126" w:type="dxa"/>
            <w:vAlign w:val="bottom"/>
          </w:tcPr>
          <w:p w14:paraId="3529774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4,8%</w:t>
            </w:r>
          </w:p>
        </w:tc>
        <w:tc>
          <w:tcPr>
            <w:tcW w:w="1473" w:type="dxa"/>
            <w:vAlign w:val="bottom"/>
          </w:tcPr>
          <w:p w14:paraId="12D0EC4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5964F621"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C9A223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Salamanca capital</w:t>
            </w:r>
          </w:p>
        </w:tc>
        <w:tc>
          <w:tcPr>
            <w:tcW w:w="1985" w:type="dxa"/>
            <w:vAlign w:val="bottom"/>
          </w:tcPr>
          <w:p w14:paraId="30200DF9"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San Bernardo - Carmelitas - Campus</w:t>
            </w:r>
          </w:p>
        </w:tc>
        <w:tc>
          <w:tcPr>
            <w:tcW w:w="1701" w:type="dxa"/>
            <w:vAlign w:val="bottom"/>
          </w:tcPr>
          <w:p w14:paraId="58C4C97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4,4%</w:t>
            </w:r>
          </w:p>
        </w:tc>
        <w:tc>
          <w:tcPr>
            <w:tcW w:w="2126" w:type="dxa"/>
            <w:vAlign w:val="bottom"/>
          </w:tcPr>
          <w:p w14:paraId="1070F8E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4,7%</w:t>
            </w:r>
          </w:p>
        </w:tc>
        <w:tc>
          <w:tcPr>
            <w:tcW w:w="1473" w:type="dxa"/>
            <w:vAlign w:val="bottom"/>
          </w:tcPr>
          <w:p w14:paraId="59096B4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0,3</w:t>
            </w:r>
          </w:p>
        </w:tc>
      </w:tr>
      <w:tr w:rsidR="004A2F79" w14:paraId="4343E0C5"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143357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5A6607A4"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Ciutat Vella</w:t>
            </w:r>
          </w:p>
        </w:tc>
        <w:tc>
          <w:tcPr>
            <w:tcW w:w="1701" w:type="dxa"/>
            <w:vAlign w:val="bottom"/>
          </w:tcPr>
          <w:p w14:paraId="1740056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5,7%</w:t>
            </w:r>
          </w:p>
        </w:tc>
        <w:tc>
          <w:tcPr>
            <w:tcW w:w="2126" w:type="dxa"/>
            <w:vAlign w:val="bottom"/>
          </w:tcPr>
          <w:p w14:paraId="0E1B3C2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6,1%</w:t>
            </w:r>
          </w:p>
        </w:tc>
        <w:tc>
          <w:tcPr>
            <w:tcW w:w="1473" w:type="dxa"/>
            <w:vAlign w:val="bottom"/>
          </w:tcPr>
          <w:p w14:paraId="45E026F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0,3</w:t>
            </w:r>
          </w:p>
        </w:tc>
      </w:tr>
      <w:tr w:rsidR="004A2F79" w14:paraId="0F3F370B"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E12B5E4"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4ED8BAE0"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Eixample</w:t>
            </w:r>
          </w:p>
        </w:tc>
        <w:tc>
          <w:tcPr>
            <w:tcW w:w="1701" w:type="dxa"/>
            <w:vAlign w:val="bottom"/>
          </w:tcPr>
          <w:p w14:paraId="6B86156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4,4%</w:t>
            </w:r>
          </w:p>
        </w:tc>
        <w:tc>
          <w:tcPr>
            <w:tcW w:w="2126" w:type="dxa"/>
            <w:vAlign w:val="bottom"/>
          </w:tcPr>
          <w:p w14:paraId="11F06EE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4,9%</w:t>
            </w:r>
          </w:p>
        </w:tc>
        <w:tc>
          <w:tcPr>
            <w:tcW w:w="1473" w:type="dxa"/>
            <w:vAlign w:val="bottom"/>
          </w:tcPr>
          <w:p w14:paraId="4FDA92D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0,4</w:t>
            </w:r>
          </w:p>
        </w:tc>
      </w:tr>
      <w:tr w:rsidR="004A2F79" w14:paraId="4FE34B16"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72F4FAE"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3D107FE8"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Gràcia</w:t>
            </w:r>
          </w:p>
        </w:tc>
        <w:tc>
          <w:tcPr>
            <w:tcW w:w="1701" w:type="dxa"/>
            <w:vAlign w:val="bottom"/>
          </w:tcPr>
          <w:p w14:paraId="3D07BBE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5,2%</w:t>
            </w:r>
          </w:p>
        </w:tc>
        <w:tc>
          <w:tcPr>
            <w:tcW w:w="2126" w:type="dxa"/>
            <w:vAlign w:val="bottom"/>
          </w:tcPr>
          <w:p w14:paraId="6CBF5CF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5,8%</w:t>
            </w:r>
          </w:p>
        </w:tc>
        <w:tc>
          <w:tcPr>
            <w:tcW w:w="1473" w:type="dxa"/>
            <w:vAlign w:val="bottom"/>
          </w:tcPr>
          <w:p w14:paraId="045F1CD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0,6</w:t>
            </w:r>
          </w:p>
        </w:tc>
      </w:tr>
      <w:tr w:rsidR="004A2F79" w14:paraId="4D21DFB0"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DC46E0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53BEA125"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Horta - Guinardó</w:t>
            </w:r>
          </w:p>
        </w:tc>
        <w:tc>
          <w:tcPr>
            <w:tcW w:w="1701" w:type="dxa"/>
            <w:vAlign w:val="bottom"/>
          </w:tcPr>
          <w:p w14:paraId="5338D9A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5,8%</w:t>
            </w:r>
          </w:p>
        </w:tc>
        <w:tc>
          <w:tcPr>
            <w:tcW w:w="2126" w:type="dxa"/>
            <w:vAlign w:val="bottom"/>
          </w:tcPr>
          <w:p w14:paraId="470324B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7,4%</w:t>
            </w:r>
          </w:p>
        </w:tc>
        <w:tc>
          <w:tcPr>
            <w:tcW w:w="1473" w:type="dxa"/>
            <w:vAlign w:val="bottom"/>
          </w:tcPr>
          <w:p w14:paraId="5EA3CDF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1,5</w:t>
            </w:r>
          </w:p>
        </w:tc>
      </w:tr>
      <w:tr w:rsidR="004A2F79" w14:paraId="729AB728"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78F440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lastRenderedPageBreak/>
              <w:t>Barcelona capital</w:t>
            </w:r>
          </w:p>
        </w:tc>
        <w:tc>
          <w:tcPr>
            <w:tcW w:w="1985" w:type="dxa"/>
            <w:vAlign w:val="bottom"/>
          </w:tcPr>
          <w:p w14:paraId="3E32436C"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Les Corts</w:t>
            </w:r>
          </w:p>
        </w:tc>
        <w:tc>
          <w:tcPr>
            <w:tcW w:w="1701" w:type="dxa"/>
            <w:vAlign w:val="bottom"/>
          </w:tcPr>
          <w:p w14:paraId="29514F84"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4,6%</w:t>
            </w:r>
          </w:p>
        </w:tc>
        <w:tc>
          <w:tcPr>
            <w:tcW w:w="2126" w:type="dxa"/>
            <w:vAlign w:val="bottom"/>
          </w:tcPr>
          <w:p w14:paraId="2F64472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5,0%</w:t>
            </w:r>
          </w:p>
        </w:tc>
        <w:tc>
          <w:tcPr>
            <w:tcW w:w="1473" w:type="dxa"/>
            <w:vAlign w:val="bottom"/>
          </w:tcPr>
          <w:p w14:paraId="350A98F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0,4</w:t>
            </w:r>
          </w:p>
        </w:tc>
      </w:tr>
      <w:tr w:rsidR="004A2F79" w14:paraId="0B05838F"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47176AA"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7FE2186B"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Nou Barris</w:t>
            </w:r>
          </w:p>
        </w:tc>
        <w:tc>
          <w:tcPr>
            <w:tcW w:w="1701" w:type="dxa"/>
            <w:vAlign w:val="bottom"/>
          </w:tcPr>
          <w:p w14:paraId="1FCFB7B6"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7,9%</w:t>
            </w:r>
          </w:p>
        </w:tc>
        <w:tc>
          <w:tcPr>
            <w:tcW w:w="2126" w:type="dxa"/>
            <w:vAlign w:val="bottom"/>
          </w:tcPr>
          <w:p w14:paraId="7EC777E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8,5%</w:t>
            </w:r>
          </w:p>
        </w:tc>
        <w:tc>
          <w:tcPr>
            <w:tcW w:w="1473" w:type="dxa"/>
            <w:vAlign w:val="bottom"/>
          </w:tcPr>
          <w:p w14:paraId="454F373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0,7</w:t>
            </w:r>
          </w:p>
        </w:tc>
      </w:tr>
      <w:tr w:rsidR="004A2F79" w14:paraId="104804D5"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D94CB3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00457ED0"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Sant Andreu</w:t>
            </w:r>
          </w:p>
        </w:tc>
        <w:tc>
          <w:tcPr>
            <w:tcW w:w="1701" w:type="dxa"/>
            <w:vAlign w:val="bottom"/>
          </w:tcPr>
          <w:p w14:paraId="051EA61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6,8%</w:t>
            </w:r>
          </w:p>
        </w:tc>
        <w:tc>
          <w:tcPr>
            <w:tcW w:w="2126" w:type="dxa"/>
            <w:vAlign w:val="bottom"/>
          </w:tcPr>
          <w:p w14:paraId="03D6808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7,3%</w:t>
            </w:r>
          </w:p>
        </w:tc>
        <w:tc>
          <w:tcPr>
            <w:tcW w:w="1473" w:type="dxa"/>
            <w:vAlign w:val="bottom"/>
          </w:tcPr>
          <w:p w14:paraId="570C5C9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0,4</w:t>
            </w:r>
          </w:p>
        </w:tc>
      </w:tr>
      <w:tr w:rsidR="004A2F79" w14:paraId="5E14D51E"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5EE1028"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08EEB1E4"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Sant Martí</w:t>
            </w:r>
          </w:p>
        </w:tc>
        <w:tc>
          <w:tcPr>
            <w:tcW w:w="1701" w:type="dxa"/>
            <w:vAlign w:val="bottom"/>
          </w:tcPr>
          <w:p w14:paraId="482B25C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6,4%</w:t>
            </w:r>
          </w:p>
        </w:tc>
        <w:tc>
          <w:tcPr>
            <w:tcW w:w="2126" w:type="dxa"/>
            <w:vAlign w:val="bottom"/>
          </w:tcPr>
          <w:p w14:paraId="3A546A9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6,3%</w:t>
            </w:r>
          </w:p>
        </w:tc>
        <w:tc>
          <w:tcPr>
            <w:tcW w:w="1473" w:type="dxa"/>
            <w:vAlign w:val="bottom"/>
          </w:tcPr>
          <w:p w14:paraId="5389873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                             0,1</w:t>
            </w:r>
          </w:p>
        </w:tc>
      </w:tr>
      <w:tr w:rsidR="004A2F79" w14:paraId="6439AE94"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040CA1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3094FD24"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Sants - Montjuïc</w:t>
            </w:r>
          </w:p>
        </w:tc>
        <w:tc>
          <w:tcPr>
            <w:tcW w:w="1701" w:type="dxa"/>
            <w:vAlign w:val="bottom"/>
          </w:tcPr>
          <w:p w14:paraId="5EC0176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6,3%</w:t>
            </w:r>
          </w:p>
        </w:tc>
        <w:tc>
          <w:tcPr>
            <w:tcW w:w="2126" w:type="dxa"/>
            <w:vAlign w:val="bottom"/>
          </w:tcPr>
          <w:p w14:paraId="0A4FD08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6,7%</w:t>
            </w:r>
          </w:p>
        </w:tc>
        <w:tc>
          <w:tcPr>
            <w:tcW w:w="1473" w:type="dxa"/>
            <w:vAlign w:val="bottom"/>
          </w:tcPr>
          <w:p w14:paraId="32FE637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331AA1D6"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3EB5D6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Barcelona capital</w:t>
            </w:r>
          </w:p>
        </w:tc>
        <w:tc>
          <w:tcPr>
            <w:tcW w:w="1985" w:type="dxa"/>
            <w:vAlign w:val="bottom"/>
          </w:tcPr>
          <w:p w14:paraId="4769FE25"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Sarrià - Sant Gervasi</w:t>
            </w:r>
          </w:p>
        </w:tc>
        <w:tc>
          <w:tcPr>
            <w:tcW w:w="1701" w:type="dxa"/>
            <w:vAlign w:val="bottom"/>
          </w:tcPr>
          <w:p w14:paraId="4847BC3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4,1%</w:t>
            </w:r>
          </w:p>
        </w:tc>
        <w:tc>
          <w:tcPr>
            <w:tcW w:w="2126" w:type="dxa"/>
            <w:vAlign w:val="bottom"/>
          </w:tcPr>
          <w:p w14:paraId="030C5D9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5,0%</w:t>
            </w:r>
          </w:p>
        </w:tc>
        <w:tc>
          <w:tcPr>
            <w:tcW w:w="1473" w:type="dxa"/>
            <w:vAlign w:val="bottom"/>
          </w:tcPr>
          <w:p w14:paraId="0C6FABB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0,9</w:t>
            </w:r>
          </w:p>
        </w:tc>
      </w:tr>
      <w:tr w:rsidR="004A2F79" w14:paraId="135BC91D"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FBF54DE"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Elche / Elx</w:t>
            </w:r>
          </w:p>
        </w:tc>
        <w:tc>
          <w:tcPr>
            <w:tcW w:w="1985" w:type="dxa"/>
            <w:vAlign w:val="bottom"/>
          </w:tcPr>
          <w:p w14:paraId="0A2793D8"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Elche ciudad</w:t>
            </w:r>
          </w:p>
        </w:tc>
        <w:tc>
          <w:tcPr>
            <w:tcW w:w="1701" w:type="dxa"/>
            <w:vAlign w:val="bottom"/>
          </w:tcPr>
          <w:p w14:paraId="2B5F705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7,1%</w:t>
            </w:r>
          </w:p>
        </w:tc>
        <w:tc>
          <w:tcPr>
            <w:tcW w:w="2126" w:type="dxa"/>
            <w:vAlign w:val="bottom"/>
          </w:tcPr>
          <w:p w14:paraId="07668C6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8,3%</w:t>
            </w:r>
          </w:p>
        </w:tc>
        <w:tc>
          <w:tcPr>
            <w:tcW w:w="1473" w:type="dxa"/>
            <w:vAlign w:val="bottom"/>
          </w:tcPr>
          <w:p w14:paraId="0424D06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1,3</w:t>
            </w:r>
          </w:p>
        </w:tc>
      </w:tr>
      <w:tr w:rsidR="004A2F79" w14:paraId="49FCF64E"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33F1685"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664FB841"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Algirós</w:t>
            </w:r>
          </w:p>
        </w:tc>
        <w:tc>
          <w:tcPr>
            <w:tcW w:w="1701" w:type="dxa"/>
            <w:vAlign w:val="bottom"/>
          </w:tcPr>
          <w:p w14:paraId="1B5C862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6,2%</w:t>
            </w:r>
          </w:p>
        </w:tc>
        <w:tc>
          <w:tcPr>
            <w:tcW w:w="2126" w:type="dxa"/>
            <w:vAlign w:val="bottom"/>
          </w:tcPr>
          <w:p w14:paraId="47937FA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7,6%</w:t>
            </w:r>
          </w:p>
        </w:tc>
        <w:tc>
          <w:tcPr>
            <w:tcW w:w="1473" w:type="dxa"/>
            <w:vAlign w:val="bottom"/>
          </w:tcPr>
          <w:p w14:paraId="009407D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1,4</w:t>
            </w:r>
          </w:p>
        </w:tc>
      </w:tr>
      <w:tr w:rsidR="004A2F79" w14:paraId="76FAA595"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881E136"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79A98F82"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Benimaclet</w:t>
            </w:r>
          </w:p>
        </w:tc>
        <w:tc>
          <w:tcPr>
            <w:tcW w:w="1701" w:type="dxa"/>
            <w:vAlign w:val="bottom"/>
          </w:tcPr>
          <w:p w14:paraId="78F3659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5,6%</w:t>
            </w:r>
          </w:p>
        </w:tc>
        <w:tc>
          <w:tcPr>
            <w:tcW w:w="2126" w:type="dxa"/>
            <w:vAlign w:val="bottom"/>
          </w:tcPr>
          <w:p w14:paraId="2C8D12F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5,8%</w:t>
            </w:r>
          </w:p>
        </w:tc>
        <w:tc>
          <w:tcPr>
            <w:tcW w:w="1473" w:type="dxa"/>
            <w:vAlign w:val="bottom"/>
          </w:tcPr>
          <w:p w14:paraId="3B1D881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0,2</w:t>
            </w:r>
          </w:p>
        </w:tc>
      </w:tr>
      <w:tr w:rsidR="004A2F79" w14:paraId="3883BA61"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8AF2D0F"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43604987"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Camins al Grau</w:t>
            </w:r>
          </w:p>
        </w:tc>
        <w:tc>
          <w:tcPr>
            <w:tcW w:w="1701" w:type="dxa"/>
            <w:vAlign w:val="bottom"/>
          </w:tcPr>
          <w:p w14:paraId="5FF198E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6,0%</w:t>
            </w:r>
          </w:p>
        </w:tc>
        <w:tc>
          <w:tcPr>
            <w:tcW w:w="2126" w:type="dxa"/>
            <w:vAlign w:val="bottom"/>
          </w:tcPr>
          <w:p w14:paraId="5283E67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6,5%</w:t>
            </w:r>
          </w:p>
        </w:tc>
        <w:tc>
          <w:tcPr>
            <w:tcW w:w="1473" w:type="dxa"/>
            <w:vAlign w:val="bottom"/>
          </w:tcPr>
          <w:p w14:paraId="292CD8B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008145DA"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091EE6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6973FD72"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Ciutat Vella</w:t>
            </w:r>
          </w:p>
        </w:tc>
        <w:tc>
          <w:tcPr>
            <w:tcW w:w="1701" w:type="dxa"/>
            <w:vAlign w:val="bottom"/>
          </w:tcPr>
          <w:p w14:paraId="21CEED4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5,9%</w:t>
            </w:r>
          </w:p>
        </w:tc>
        <w:tc>
          <w:tcPr>
            <w:tcW w:w="2126" w:type="dxa"/>
            <w:vAlign w:val="bottom"/>
          </w:tcPr>
          <w:p w14:paraId="1A72C2F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5,6%</w:t>
            </w:r>
          </w:p>
        </w:tc>
        <w:tc>
          <w:tcPr>
            <w:tcW w:w="1473" w:type="dxa"/>
            <w:vAlign w:val="bottom"/>
          </w:tcPr>
          <w:p w14:paraId="3FAD903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                             0,3</w:t>
            </w:r>
          </w:p>
        </w:tc>
      </w:tr>
      <w:tr w:rsidR="004A2F79" w14:paraId="5087856F"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A61697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061755E5"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El Pla del Real</w:t>
            </w:r>
          </w:p>
        </w:tc>
        <w:tc>
          <w:tcPr>
            <w:tcW w:w="1701" w:type="dxa"/>
            <w:vAlign w:val="bottom"/>
          </w:tcPr>
          <w:p w14:paraId="4846ED9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4,4%</w:t>
            </w:r>
          </w:p>
        </w:tc>
        <w:tc>
          <w:tcPr>
            <w:tcW w:w="2126" w:type="dxa"/>
            <w:vAlign w:val="bottom"/>
          </w:tcPr>
          <w:p w14:paraId="6416551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5,4%</w:t>
            </w:r>
          </w:p>
        </w:tc>
        <w:tc>
          <w:tcPr>
            <w:tcW w:w="1473" w:type="dxa"/>
            <w:vAlign w:val="bottom"/>
          </w:tcPr>
          <w:p w14:paraId="47CAF78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1,0</w:t>
            </w:r>
          </w:p>
        </w:tc>
      </w:tr>
      <w:tr w:rsidR="004A2F79" w14:paraId="1BB5ABA5"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A16C96A"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5739DC65"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Extramurs</w:t>
            </w:r>
          </w:p>
        </w:tc>
        <w:tc>
          <w:tcPr>
            <w:tcW w:w="1701" w:type="dxa"/>
            <w:vAlign w:val="bottom"/>
          </w:tcPr>
          <w:p w14:paraId="61C8F65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7,1%</w:t>
            </w:r>
          </w:p>
        </w:tc>
        <w:tc>
          <w:tcPr>
            <w:tcW w:w="2126" w:type="dxa"/>
            <w:vAlign w:val="bottom"/>
          </w:tcPr>
          <w:p w14:paraId="759E634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6,3%</w:t>
            </w:r>
          </w:p>
        </w:tc>
        <w:tc>
          <w:tcPr>
            <w:tcW w:w="1473" w:type="dxa"/>
            <w:vAlign w:val="bottom"/>
          </w:tcPr>
          <w:p w14:paraId="5853A38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                             0,8</w:t>
            </w:r>
          </w:p>
        </w:tc>
      </w:tr>
      <w:tr w:rsidR="004A2F79" w14:paraId="00BD2A7F"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386897F"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7B559B95"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Jesús</w:t>
            </w:r>
          </w:p>
        </w:tc>
        <w:tc>
          <w:tcPr>
            <w:tcW w:w="1701" w:type="dxa"/>
            <w:vAlign w:val="bottom"/>
          </w:tcPr>
          <w:p w14:paraId="1E3EAA2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7,1%</w:t>
            </w:r>
          </w:p>
        </w:tc>
        <w:tc>
          <w:tcPr>
            <w:tcW w:w="2126" w:type="dxa"/>
            <w:vAlign w:val="bottom"/>
          </w:tcPr>
          <w:p w14:paraId="651259EE"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9,0%</w:t>
            </w:r>
          </w:p>
        </w:tc>
        <w:tc>
          <w:tcPr>
            <w:tcW w:w="1473" w:type="dxa"/>
            <w:vAlign w:val="bottom"/>
          </w:tcPr>
          <w:p w14:paraId="0C10EF6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1,8</w:t>
            </w:r>
          </w:p>
        </w:tc>
      </w:tr>
      <w:tr w:rsidR="004A2F79" w14:paraId="04259778"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414091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3FAD0DEC"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L'Eixample</w:t>
            </w:r>
          </w:p>
        </w:tc>
        <w:tc>
          <w:tcPr>
            <w:tcW w:w="1701" w:type="dxa"/>
            <w:vAlign w:val="bottom"/>
          </w:tcPr>
          <w:p w14:paraId="6CFBEB07"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5,1%</w:t>
            </w:r>
          </w:p>
        </w:tc>
        <w:tc>
          <w:tcPr>
            <w:tcW w:w="2126" w:type="dxa"/>
            <w:vAlign w:val="bottom"/>
          </w:tcPr>
          <w:p w14:paraId="177452A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4,9%</w:t>
            </w:r>
          </w:p>
        </w:tc>
        <w:tc>
          <w:tcPr>
            <w:tcW w:w="1473" w:type="dxa"/>
            <w:vAlign w:val="bottom"/>
          </w:tcPr>
          <w:p w14:paraId="64935B6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                             0,2</w:t>
            </w:r>
          </w:p>
        </w:tc>
      </w:tr>
      <w:tr w:rsidR="004A2F79" w14:paraId="1E01F946"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1309A68"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30A04A05"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L'Olivereta</w:t>
            </w:r>
          </w:p>
        </w:tc>
        <w:tc>
          <w:tcPr>
            <w:tcW w:w="1701" w:type="dxa"/>
            <w:vAlign w:val="bottom"/>
          </w:tcPr>
          <w:p w14:paraId="10446B2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8,1%</w:t>
            </w:r>
          </w:p>
        </w:tc>
        <w:tc>
          <w:tcPr>
            <w:tcW w:w="2126" w:type="dxa"/>
            <w:vAlign w:val="bottom"/>
          </w:tcPr>
          <w:p w14:paraId="2BD04A2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11,1%</w:t>
            </w:r>
          </w:p>
        </w:tc>
        <w:tc>
          <w:tcPr>
            <w:tcW w:w="1473" w:type="dxa"/>
            <w:vAlign w:val="bottom"/>
          </w:tcPr>
          <w:p w14:paraId="70B9ABD5"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3,0</w:t>
            </w:r>
          </w:p>
        </w:tc>
      </w:tr>
      <w:tr w:rsidR="004A2F79" w14:paraId="6E4EBD1D"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CC4C5AD"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33E0501F"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La Saïdia</w:t>
            </w:r>
          </w:p>
        </w:tc>
        <w:tc>
          <w:tcPr>
            <w:tcW w:w="1701" w:type="dxa"/>
            <w:vAlign w:val="bottom"/>
          </w:tcPr>
          <w:p w14:paraId="3F6E79A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7,1%</w:t>
            </w:r>
          </w:p>
        </w:tc>
        <w:tc>
          <w:tcPr>
            <w:tcW w:w="2126" w:type="dxa"/>
            <w:vAlign w:val="bottom"/>
          </w:tcPr>
          <w:p w14:paraId="0C3E8F1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7,3%</w:t>
            </w:r>
          </w:p>
        </w:tc>
        <w:tc>
          <w:tcPr>
            <w:tcW w:w="1473" w:type="dxa"/>
            <w:vAlign w:val="bottom"/>
          </w:tcPr>
          <w:p w14:paraId="5704CD8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0,2</w:t>
            </w:r>
          </w:p>
        </w:tc>
      </w:tr>
      <w:tr w:rsidR="004A2F79" w14:paraId="06C20BED"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DB9FD64"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433AC8E8"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Poblats Marítims</w:t>
            </w:r>
          </w:p>
        </w:tc>
        <w:tc>
          <w:tcPr>
            <w:tcW w:w="1701" w:type="dxa"/>
            <w:vAlign w:val="bottom"/>
          </w:tcPr>
          <w:p w14:paraId="413A557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8,2%</w:t>
            </w:r>
          </w:p>
        </w:tc>
        <w:tc>
          <w:tcPr>
            <w:tcW w:w="2126" w:type="dxa"/>
            <w:vAlign w:val="bottom"/>
          </w:tcPr>
          <w:p w14:paraId="75EE2A6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8,4%</w:t>
            </w:r>
          </w:p>
        </w:tc>
        <w:tc>
          <w:tcPr>
            <w:tcW w:w="1473" w:type="dxa"/>
            <w:vAlign w:val="bottom"/>
          </w:tcPr>
          <w:p w14:paraId="4CDE49CD"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0,2</w:t>
            </w:r>
          </w:p>
        </w:tc>
      </w:tr>
      <w:tr w:rsidR="004A2F79" w14:paraId="4FF63794"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D503D64"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6A500B4E"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Quatre Carreres</w:t>
            </w:r>
          </w:p>
        </w:tc>
        <w:tc>
          <w:tcPr>
            <w:tcW w:w="1701" w:type="dxa"/>
            <w:vAlign w:val="bottom"/>
          </w:tcPr>
          <w:p w14:paraId="1BCE9158"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7,5%</w:t>
            </w:r>
          </w:p>
        </w:tc>
        <w:tc>
          <w:tcPr>
            <w:tcW w:w="2126" w:type="dxa"/>
            <w:vAlign w:val="bottom"/>
          </w:tcPr>
          <w:p w14:paraId="5EAAA6E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7,6%</w:t>
            </w:r>
          </w:p>
        </w:tc>
        <w:tc>
          <w:tcPr>
            <w:tcW w:w="1473" w:type="dxa"/>
            <w:vAlign w:val="bottom"/>
          </w:tcPr>
          <w:p w14:paraId="53D2904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0,1</w:t>
            </w:r>
          </w:p>
        </w:tc>
      </w:tr>
      <w:tr w:rsidR="004A2F79" w14:paraId="73AF1777"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3BF1AA8"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Valencia capital</w:t>
            </w:r>
          </w:p>
        </w:tc>
        <w:tc>
          <w:tcPr>
            <w:tcW w:w="1985" w:type="dxa"/>
            <w:vAlign w:val="bottom"/>
          </w:tcPr>
          <w:p w14:paraId="456E7C78"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Rascanya</w:t>
            </w:r>
          </w:p>
        </w:tc>
        <w:tc>
          <w:tcPr>
            <w:tcW w:w="1701" w:type="dxa"/>
            <w:vAlign w:val="bottom"/>
          </w:tcPr>
          <w:p w14:paraId="3AA9CE7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7,7%</w:t>
            </w:r>
          </w:p>
        </w:tc>
        <w:tc>
          <w:tcPr>
            <w:tcW w:w="2126" w:type="dxa"/>
            <w:vAlign w:val="bottom"/>
          </w:tcPr>
          <w:p w14:paraId="1F62F1B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8,6%</w:t>
            </w:r>
          </w:p>
        </w:tc>
        <w:tc>
          <w:tcPr>
            <w:tcW w:w="1473" w:type="dxa"/>
            <w:vAlign w:val="bottom"/>
          </w:tcPr>
          <w:p w14:paraId="31DFD9B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0,9</w:t>
            </w:r>
          </w:p>
        </w:tc>
      </w:tr>
      <w:tr w:rsidR="004A2F79" w14:paraId="47F8EA56"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1F242AF7"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Vigo</w:t>
            </w:r>
          </w:p>
        </w:tc>
        <w:tc>
          <w:tcPr>
            <w:tcW w:w="1985" w:type="dxa"/>
            <w:vAlign w:val="bottom"/>
          </w:tcPr>
          <w:p w14:paraId="49910D96"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Centro Urbano</w:t>
            </w:r>
          </w:p>
        </w:tc>
        <w:tc>
          <w:tcPr>
            <w:tcW w:w="1701" w:type="dxa"/>
            <w:vAlign w:val="bottom"/>
          </w:tcPr>
          <w:p w14:paraId="5CC314B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4,6%</w:t>
            </w:r>
          </w:p>
        </w:tc>
        <w:tc>
          <w:tcPr>
            <w:tcW w:w="2126" w:type="dxa"/>
            <w:vAlign w:val="bottom"/>
          </w:tcPr>
          <w:p w14:paraId="42FFDAB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6,2%</w:t>
            </w:r>
          </w:p>
        </w:tc>
        <w:tc>
          <w:tcPr>
            <w:tcW w:w="1473" w:type="dxa"/>
            <w:vAlign w:val="bottom"/>
          </w:tcPr>
          <w:p w14:paraId="6C77B8C9"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1,6</w:t>
            </w:r>
          </w:p>
        </w:tc>
      </w:tr>
      <w:tr w:rsidR="004A2F79" w14:paraId="6F13A539"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342ADB3"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200E784E"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Arganzuela</w:t>
            </w:r>
          </w:p>
        </w:tc>
        <w:tc>
          <w:tcPr>
            <w:tcW w:w="1701" w:type="dxa"/>
            <w:vAlign w:val="bottom"/>
          </w:tcPr>
          <w:p w14:paraId="662A1EBA"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4,9%</w:t>
            </w:r>
          </w:p>
        </w:tc>
        <w:tc>
          <w:tcPr>
            <w:tcW w:w="2126" w:type="dxa"/>
            <w:vAlign w:val="bottom"/>
          </w:tcPr>
          <w:p w14:paraId="78E9AFF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5,4%</w:t>
            </w:r>
          </w:p>
        </w:tc>
        <w:tc>
          <w:tcPr>
            <w:tcW w:w="1473" w:type="dxa"/>
            <w:vAlign w:val="bottom"/>
          </w:tcPr>
          <w:p w14:paraId="3810943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270F419B"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FB67D55"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76F30902"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Barrio de Salamanca</w:t>
            </w:r>
          </w:p>
        </w:tc>
        <w:tc>
          <w:tcPr>
            <w:tcW w:w="1701" w:type="dxa"/>
            <w:vAlign w:val="bottom"/>
          </w:tcPr>
          <w:p w14:paraId="64AD777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3,5%</w:t>
            </w:r>
          </w:p>
        </w:tc>
        <w:tc>
          <w:tcPr>
            <w:tcW w:w="2126" w:type="dxa"/>
            <w:vAlign w:val="bottom"/>
          </w:tcPr>
          <w:p w14:paraId="6DCD76E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3,6%</w:t>
            </w:r>
          </w:p>
        </w:tc>
        <w:tc>
          <w:tcPr>
            <w:tcW w:w="1473" w:type="dxa"/>
            <w:vAlign w:val="bottom"/>
          </w:tcPr>
          <w:p w14:paraId="7E58931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0,1</w:t>
            </w:r>
          </w:p>
        </w:tc>
      </w:tr>
      <w:tr w:rsidR="004A2F79" w14:paraId="187280E1"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F549AF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3BC9F6C2"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Carabanchel</w:t>
            </w:r>
          </w:p>
        </w:tc>
        <w:tc>
          <w:tcPr>
            <w:tcW w:w="1701" w:type="dxa"/>
            <w:vAlign w:val="bottom"/>
          </w:tcPr>
          <w:p w14:paraId="4E0C421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6,9%</w:t>
            </w:r>
          </w:p>
        </w:tc>
        <w:tc>
          <w:tcPr>
            <w:tcW w:w="2126" w:type="dxa"/>
            <w:vAlign w:val="bottom"/>
          </w:tcPr>
          <w:p w14:paraId="474FA55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7,4%</w:t>
            </w:r>
          </w:p>
        </w:tc>
        <w:tc>
          <w:tcPr>
            <w:tcW w:w="1473" w:type="dxa"/>
            <w:vAlign w:val="bottom"/>
          </w:tcPr>
          <w:p w14:paraId="5586337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0,6</w:t>
            </w:r>
          </w:p>
        </w:tc>
      </w:tr>
      <w:tr w:rsidR="004A2F79" w14:paraId="2507DA02"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7BC7073C"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1D6D7E49"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Centro</w:t>
            </w:r>
          </w:p>
        </w:tc>
        <w:tc>
          <w:tcPr>
            <w:tcW w:w="1701" w:type="dxa"/>
            <w:vAlign w:val="bottom"/>
          </w:tcPr>
          <w:p w14:paraId="0C92892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4,2%</w:t>
            </w:r>
          </w:p>
        </w:tc>
        <w:tc>
          <w:tcPr>
            <w:tcW w:w="2126" w:type="dxa"/>
            <w:vAlign w:val="bottom"/>
          </w:tcPr>
          <w:p w14:paraId="6CA4F78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4,4%</w:t>
            </w:r>
          </w:p>
        </w:tc>
        <w:tc>
          <w:tcPr>
            <w:tcW w:w="1473" w:type="dxa"/>
            <w:vAlign w:val="bottom"/>
          </w:tcPr>
          <w:p w14:paraId="0FB81B9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0,2</w:t>
            </w:r>
          </w:p>
        </w:tc>
      </w:tr>
      <w:tr w:rsidR="004A2F79" w14:paraId="5501841D"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9434A41"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65847D0C"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Chamartín</w:t>
            </w:r>
          </w:p>
        </w:tc>
        <w:tc>
          <w:tcPr>
            <w:tcW w:w="1701" w:type="dxa"/>
            <w:vAlign w:val="bottom"/>
          </w:tcPr>
          <w:p w14:paraId="26BE229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3,8%</w:t>
            </w:r>
          </w:p>
        </w:tc>
        <w:tc>
          <w:tcPr>
            <w:tcW w:w="2126" w:type="dxa"/>
            <w:vAlign w:val="bottom"/>
          </w:tcPr>
          <w:p w14:paraId="674267B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4,5%</w:t>
            </w:r>
          </w:p>
        </w:tc>
        <w:tc>
          <w:tcPr>
            <w:tcW w:w="1473" w:type="dxa"/>
            <w:vAlign w:val="bottom"/>
          </w:tcPr>
          <w:p w14:paraId="7991449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0,7</w:t>
            </w:r>
          </w:p>
        </w:tc>
      </w:tr>
      <w:tr w:rsidR="004A2F79" w14:paraId="6A292A9D"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63620FB"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559C0BDB"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Chamberí</w:t>
            </w:r>
          </w:p>
        </w:tc>
        <w:tc>
          <w:tcPr>
            <w:tcW w:w="1701" w:type="dxa"/>
            <w:vAlign w:val="bottom"/>
          </w:tcPr>
          <w:p w14:paraId="5E7FC61F"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3,9%</w:t>
            </w:r>
          </w:p>
        </w:tc>
        <w:tc>
          <w:tcPr>
            <w:tcW w:w="2126" w:type="dxa"/>
            <w:vAlign w:val="bottom"/>
          </w:tcPr>
          <w:p w14:paraId="66E06CE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4,3%</w:t>
            </w:r>
          </w:p>
        </w:tc>
        <w:tc>
          <w:tcPr>
            <w:tcW w:w="1473" w:type="dxa"/>
            <w:vAlign w:val="bottom"/>
          </w:tcPr>
          <w:p w14:paraId="4ABDB08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0,3</w:t>
            </w:r>
          </w:p>
        </w:tc>
      </w:tr>
      <w:tr w:rsidR="004A2F79" w14:paraId="36770A46"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854BC80"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75D050D0"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Ciudad Lineal</w:t>
            </w:r>
          </w:p>
        </w:tc>
        <w:tc>
          <w:tcPr>
            <w:tcW w:w="1701" w:type="dxa"/>
            <w:vAlign w:val="bottom"/>
          </w:tcPr>
          <w:p w14:paraId="53B9455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5,4%</w:t>
            </w:r>
          </w:p>
        </w:tc>
        <w:tc>
          <w:tcPr>
            <w:tcW w:w="2126" w:type="dxa"/>
            <w:vAlign w:val="bottom"/>
          </w:tcPr>
          <w:p w14:paraId="05A68F66"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6,0%</w:t>
            </w:r>
          </w:p>
        </w:tc>
        <w:tc>
          <w:tcPr>
            <w:tcW w:w="1473" w:type="dxa"/>
            <w:vAlign w:val="bottom"/>
          </w:tcPr>
          <w:p w14:paraId="61D7FFA3"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19BC0608"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FD1F527"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04B684DB"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Fuencarral - El Pardo</w:t>
            </w:r>
          </w:p>
        </w:tc>
        <w:tc>
          <w:tcPr>
            <w:tcW w:w="1701" w:type="dxa"/>
            <w:vAlign w:val="bottom"/>
          </w:tcPr>
          <w:p w14:paraId="6913751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4,7%</w:t>
            </w:r>
          </w:p>
        </w:tc>
        <w:tc>
          <w:tcPr>
            <w:tcW w:w="2126" w:type="dxa"/>
            <w:vAlign w:val="bottom"/>
          </w:tcPr>
          <w:p w14:paraId="2A7EC6C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5,2%</w:t>
            </w:r>
          </w:p>
        </w:tc>
        <w:tc>
          <w:tcPr>
            <w:tcW w:w="1473" w:type="dxa"/>
            <w:vAlign w:val="bottom"/>
          </w:tcPr>
          <w:p w14:paraId="5C9D4DBC"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0,5</w:t>
            </w:r>
          </w:p>
        </w:tc>
      </w:tr>
      <w:tr w:rsidR="004A2F79" w14:paraId="1CD73D17"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D40277D"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0137C44D"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Hortaleza</w:t>
            </w:r>
          </w:p>
        </w:tc>
        <w:tc>
          <w:tcPr>
            <w:tcW w:w="1701" w:type="dxa"/>
            <w:vAlign w:val="bottom"/>
          </w:tcPr>
          <w:p w14:paraId="537261F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4,6%</w:t>
            </w:r>
          </w:p>
        </w:tc>
        <w:tc>
          <w:tcPr>
            <w:tcW w:w="2126" w:type="dxa"/>
            <w:vAlign w:val="bottom"/>
          </w:tcPr>
          <w:p w14:paraId="66241538"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5,3%</w:t>
            </w:r>
          </w:p>
        </w:tc>
        <w:tc>
          <w:tcPr>
            <w:tcW w:w="1473" w:type="dxa"/>
            <w:vAlign w:val="bottom"/>
          </w:tcPr>
          <w:p w14:paraId="114EF34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0,6</w:t>
            </w:r>
          </w:p>
        </w:tc>
      </w:tr>
      <w:tr w:rsidR="004A2F79" w14:paraId="4F3104A7"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84F567A"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66B545DC"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Latina</w:t>
            </w:r>
          </w:p>
        </w:tc>
        <w:tc>
          <w:tcPr>
            <w:tcW w:w="1701" w:type="dxa"/>
            <w:vAlign w:val="bottom"/>
          </w:tcPr>
          <w:p w14:paraId="5345E3F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6,5%</w:t>
            </w:r>
          </w:p>
        </w:tc>
        <w:tc>
          <w:tcPr>
            <w:tcW w:w="2126" w:type="dxa"/>
            <w:vAlign w:val="bottom"/>
          </w:tcPr>
          <w:p w14:paraId="3B47227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7,1%</w:t>
            </w:r>
          </w:p>
        </w:tc>
        <w:tc>
          <w:tcPr>
            <w:tcW w:w="1473" w:type="dxa"/>
            <w:vAlign w:val="bottom"/>
          </w:tcPr>
          <w:p w14:paraId="33012D3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0,6</w:t>
            </w:r>
          </w:p>
        </w:tc>
      </w:tr>
      <w:tr w:rsidR="004A2F79" w14:paraId="3D88E742"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68C5ACE"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71844608"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Moncloa - Aravaca</w:t>
            </w:r>
          </w:p>
        </w:tc>
        <w:tc>
          <w:tcPr>
            <w:tcW w:w="1701" w:type="dxa"/>
            <w:vAlign w:val="bottom"/>
          </w:tcPr>
          <w:p w14:paraId="7A7F9FC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4,4%</w:t>
            </w:r>
          </w:p>
        </w:tc>
        <w:tc>
          <w:tcPr>
            <w:tcW w:w="2126" w:type="dxa"/>
            <w:vAlign w:val="bottom"/>
          </w:tcPr>
          <w:p w14:paraId="0D20C340"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5,0%</w:t>
            </w:r>
          </w:p>
        </w:tc>
        <w:tc>
          <w:tcPr>
            <w:tcW w:w="1473" w:type="dxa"/>
            <w:vAlign w:val="bottom"/>
          </w:tcPr>
          <w:p w14:paraId="3CEF25C6"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0,6</w:t>
            </w:r>
          </w:p>
        </w:tc>
      </w:tr>
      <w:tr w:rsidR="004A2F79" w14:paraId="2144DFE6"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481CB00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0F991F30"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Puente de Vallecas</w:t>
            </w:r>
          </w:p>
        </w:tc>
        <w:tc>
          <w:tcPr>
            <w:tcW w:w="1701" w:type="dxa"/>
            <w:vAlign w:val="bottom"/>
          </w:tcPr>
          <w:p w14:paraId="004E1B7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6,4%</w:t>
            </w:r>
          </w:p>
        </w:tc>
        <w:tc>
          <w:tcPr>
            <w:tcW w:w="2126" w:type="dxa"/>
            <w:vAlign w:val="bottom"/>
          </w:tcPr>
          <w:p w14:paraId="4F80E32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8,3%</w:t>
            </w:r>
          </w:p>
        </w:tc>
        <w:tc>
          <w:tcPr>
            <w:tcW w:w="1473" w:type="dxa"/>
            <w:vAlign w:val="bottom"/>
          </w:tcPr>
          <w:p w14:paraId="1E96FBC1"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2,0</w:t>
            </w:r>
          </w:p>
        </w:tc>
      </w:tr>
      <w:tr w:rsidR="004A2F79" w14:paraId="0B9248AD"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A4E4AA7"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5892C92D"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Retiro</w:t>
            </w:r>
          </w:p>
        </w:tc>
        <w:tc>
          <w:tcPr>
            <w:tcW w:w="1701" w:type="dxa"/>
            <w:vAlign w:val="bottom"/>
          </w:tcPr>
          <w:p w14:paraId="123C9B6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4,5%</w:t>
            </w:r>
          </w:p>
        </w:tc>
        <w:tc>
          <w:tcPr>
            <w:tcW w:w="2126" w:type="dxa"/>
            <w:vAlign w:val="bottom"/>
          </w:tcPr>
          <w:p w14:paraId="3A220F37"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4,6%</w:t>
            </w:r>
          </w:p>
        </w:tc>
        <w:tc>
          <w:tcPr>
            <w:tcW w:w="1473" w:type="dxa"/>
            <w:vAlign w:val="bottom"/>
          </w:tcPr>
          <w:p w14:paraId="47AE7A2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0,1</w:t>
            </w:r>
          </w:p>
        </w:tc>
      </w:tr>
      <w:tr w:rsidR="004A2F79" w14:paraId="79C6D397"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5FAC209"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7FF274AF"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San Blas</w:t>
            </w:r>
          </w:p>
        </w:tc>
        <w:tc>
          <w:tcPr>
            <w:tcW w:w="1701" w:type="dxa"/>
            <w:vAlign w:val="bottom"/>
          </w:tcPr>
          <w:p w14:paraId="13735E3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6,0%</w:t>
            </w:r>
          </w:p>
        </w:tc>
        <w:tc>
          <w:tcPr>
            <w:tcW w:w="2126" w:type="dxa"/>
            <w:vAlign w:val="bottom"/>
          </w:tcPr>
          <w:p w14:paraId="4BF2AC43"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6,5%</w:t>
            </w:r>
          </w:p>
        </w:tc>
        <w:tc>
          <w:tcPr>
            <w:tcW w:w="1473" w:type="dxa"/>
            <w:vAlign w:val="bottom"/>
          </w:tcPr>
          <w:p w14:paraId="37C77456"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0,4</w:t>
            </w:r>
          </w:p>
        </w:tc>
      </w:tr>
      <w:tr w:rsidR="004A2F79" w14:paraId="55B3A63B"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BB04B94"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15505332"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Tetuán</w:t>
            </w:r>
          </w:p>
        </w:tc>
        <w:tc>
          <w:tcPr>
            <w:tcW w:w="1701" w:type="dxa"/>
            <w:vAlign w:val="bottom"/>
          </w:tcPr>
          <w:p w14:paraId="4594644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4,8%</w:t>
            </w:r>
          </w:p>
        </w:tc>
        <w:tc>
          <w:tcPr>
            <w:tcW w:w="2126" w:type="dxa"/>
            <w:vAlign w:val="bottom"/>
          </w:tcPr>
          <w:p w14:paraId="68D6E934"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5,5%</w:t>
            </w:r>
          </w:p>
        </w:tc>
        <w:tc>
          <w:tcPr>
            <w:tcW w:w="1473" w:type="dxa"/>
            <w:vAlign w:val="bottom"/>
          </w:tcPr>
          <w:p w14:paraId="17BD56B2"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0,7</w:t>
            </w:r>
          </w:p>
        </w:tc>
      </w:tr>
      <w:tr w:rsidR="004A2F79" w14:paraId="404FCA71"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67FD0EC8"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722CF754"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Usera</w:t>
            </w:r>
          </w:p>
        </w:tc>
        <w:tc>
          <w:tcPr>
            <w:tcW w:w="1701" w:type="dxa"/>
            <w:vAlign w:val="bottom"/>
          </w:tcPr>
          <w:p w14:paraId="42194834"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6,6%</w:t>
            </w:r>
          </w:p>
        </w:tc>
        <w:tc>
          <w:tcPr>
            <w:tcW w:w="2126" w:type="dxa"/>
            <w:vAlign w:val="bottom"/>
          </w:tcPr>
          <w:p w14:paraId="5EF3C1F0"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7,7%</w:t>
            </w:r>
          </w:p>
        </w:tc>
        <w:tc>
          <w:tcPr>
            <w:tcW w:w="1473" w:type="dxa"/>
            <w:vAlign w:val="bottom"/>
          </w:tcPr>
          <w:p w14:paraId="4864063A"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1,1</w:t>
            </w:r>
          </w:p>
        </w:tc>
      </w:tr>
      <w:tr w:rsidR="004A2F79" w14:paraId="546ADEEC"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5016360E"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7F248B3A"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Villa de Vallecas</w:t>
            </w:r>
          </w:p>
        </w:tc>
        <w:tc>
          <w:tcPr>
            <w:tcW w:w="1701" w:type="dxa"/>
            <w:vAlign w:val="bottom"/>
          </w:tcPr>
          <w:p w14:paraId="37FE2F99"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6,0%</w:t>
            </w:r>
          </w:p>
        </w:tc>
        <w:tc>
          <w:tcPr>
            <w:tcW w:w="2126" w:type="dxa"/>
            <w:vAlign w:val="bottom"/>
          </w:tcPr>
          <w:p w14:paraId="2D74E06B"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7,2%</w:t>
            </w:r>
          </w:p>
        </w:tc>
        <w:tc>
          <w:tcPr>
            <w:tcW w:w="1473" w:type="dxa"/>
            <w:vAlign w:val="bottom"/>
          </w:tcPr>
          <w:p w14:paraId="77D2288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1,2</w:t>
            </w:r>
          </w:p>
        </w:tc>
      </w:tr>
      <w:tr w:rsidR="004A2F79" w14:paraId="7413BEF7"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22F6F002"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Madrid capital</w:t>
            </w:r>
          </w:p>
        </w:tc>
        <w:tc>
          <w:tcPr>
            <w:tcW w:w="1985" w:type="dxa"/>
            <w:vAlign w:val="bottom"/>
          </w:tcPr>
          <w:p w14:paraId="76624242"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Villaverde</w:t>
            </w:r>
          </w:p>
        </w:tc>
        <w:tc>
          <w:tcPr>
            <w:tcW w:w="1701" w:type="dxa"/>
            <w:vAlign w:val="bottom"/>
          </w:tcPr>
          <w:p w14:paraId="3294CD65"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8,1%</w:t>
            </w:r>
          </w:p>
        </w:tc>
        <w:tc>
          <w:tcPr>
            <w:tcW w:w="2126" w:type="dxa"/>
            <w:vAlign w:val="bottom"/>
          </w:tcPr>
          <w:p w14:paraId="1198796E"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8,1%</w:t>
            </w:r>
          </w:p>
        </w:tc>
        <w:tc>
          <w:tcPr>
            <w:tcW w:w="1473" w:type="dxa"/>
            <w:vAlign w:val="bottom"/>
          </w:tcPr>
          <w:p w14:paraId="21772D5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                             0,0</w:t>
            </w:r>
          </w:p>
        </w:tc>
      </w:tr>
      <w:tr w:rsidR="004A2F79" w14:paraId="693E1C71" w14:textId="77777777" w:rsidTr="004A2F7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349211CD"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Bilbao</w:t>
            </w:r>
          </w:p>
        </w:tc>
        <w:tc>
          <w:tcPr>
            <w:tcW w:w="1985" w:type="dxa"/>
            <w:vAlign w:val="bottom"/>
          </w:tcPr>
          <w:p w14:paraId="62C1B9EA" w14:textId="77777777" w:rsidR="004A2F79" w:rsidRDefault="0000000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Abando - Albia</w:t>
            </w:r>
          </w:p>
        </w:tc>
        <w:tc>
          <w:tcPr>
            <w:tcW w:w="1701" w:type="dxa"/>
            <w:vAlign w:val="bottom"/>
          </w:tcPr>
          <w:p w14:paraId="3D063B0C"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4,1%</w:t>
            </w:r>
          </w:p>
        </w:tc>
        <w:tc>
          <w:tcPr>
            <w:tcW w:w="2126" w:type="dxa"/>
            <w:vAlign w:val="bottom"/>
          </w:tcPr>
          <w:p w14:paraId="33140A8F"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6,2%</w:t>
            </w:r>
          </w:p>
        </w:tc>
        <w:tc>
          <w:tcPr>
            <w:tcW w:w="1473" w:type="dxa"/>
            <w:vAlign w:val="bottom"/>
          </w:tcPr>
          <w:p w14:paraId="22E5E991" w14:textId="77777777" w:rsidR="004A2F79" w:rsidRDefault="000000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2,1</w:t>
            </w:r>
          </w:p>
        </w:tc>
      </w:tr>
      <w:tr w:rsidR="004A2F79" w14:paraId="07C2AA36" w14:textId="77777777" w:rsidTr="004A2F79">
        <w:trPr>
          <w:trHeight w:val="279"/>
        </w:trPr>
        <w:tc>
          <w:tcPr>
            <w:cnfStyle w:val="001000000000" w:firstRow="0" w:lastRow="0" w:firstColumn="1" w:lastColumn="0" w:oddVBand="0" w:evenVBand="0" w:oddHBand="0" w:evenHBand="0" w:firstRowFirstColumn="0" w:firstRowLastColumn="0" w:lastRowFirstColumn="0" w:lastRowLastColumn="0"/>
            <w:tcW w:w="1838" w:type="dxa"/>
            <w:vAlign w:val="bottom"/>
          </w:tcPr>
          <w:p w14:paraId="0ED600CF" w14:textId="77777777" w:rsidR="004A2F79" w:rsidRDefault="00000000">
            <w:pPr>
              <w:rPr>
                <w:rFonts w:ascii="Open Sans" w:eastAsia="Open Sans" w:hAnsi="Open Sans" w:cs="Open Sans"/>
                <w:sz w:val="20"/>
                <w:szCs w:val="20"/>
              </w:rPr>
            </w:pPr>
            <w:r>
              <w:rPr>
                <w:rFonts w:ascii="Open Sans" w:eastAsia="Open Sans" w:hAnsi="Open Sans" w:cs="Open Sans"/>
                <w:b w:val="0"/>
                <w:sz w:val="20"/>
                <w:szCs w:val="20"/>
              </w:rPr>
              <w:t>Cartagena</w:t>
            </w:r>
          </w:p>
        </w:tc>
        <w:tc>
          <w:tcPr>
            <w:tcW w:w="1985" w:type="dxa"/>
            <w:vAlign w:val="bottom"/>
          </w:tcPr>
          <w:p w14:paraId="42E9ABF0" w14:textId="77777777" w:rsidR="004A2F79" w:rsidRDefault="0000000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Cartagena ciudad</w:t>
            </w:r>
          </w:p>
        </w:tc>
        <w:tc>
          <w:tcPr>
            <w:tcW w:w="1701" w:type="dxa"/>
            <w:vAlign w:val="bottom"/>
          </w:tcPr>
          <w:p w14:paraId="1975EC8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Pr>
                <w:rFonts w:ascii="Open Sans" w:eastAsia="Open Sans" w:hAnsi="Open Sans" w:cs="Open Sans"/>
                <w:color w:val="000000"/>
                <w:sz w:val="20"/>
                <w:szCs w:val="20"/>
              </w:rPr>
              <w:t>7,2%</w:t>
            </w:r>
          </w:p>
        </w:tc>
        <w:tc>
          <w:tcPr>
            <w:tcW w:w="2126" w:type="dxa"/>
            <w:vAlign w:val="bottom"/>
          </w:tcPr>
          <w:p w14:paraId="5BFEF44B"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20"/>
                <w:szCs w:val="20"/>
              </w:rPr>
            </w:pPr>
            <w:r>
              <w:rPr>
                <w:rFonts w:ascii="Open Sans" w:eastAsia="Open Sans" w:hAnsi="Open Sans" w:cs="Open Sans"/>
                <w:color w:val="000000"/>
                <w:sz w:val="20"/>
                <w:szCs w:val="20"/>
              </w:rPr>
              <w:t>10,6%</w:t>
            </w:r>
          </w:p>
        </w:tc>
        <w:tc>
          <w:tcPr>
            <w:tcW w:w="1473" w:type="dxa"/>
            <w:vAlign w:val="bottom"/>
          </w:tcPr>
          <w:p w14:paraId="5EEEBC82" w14:textId="77777777" w:rsidR="004A2F79" w:rsidRDefault="00000000">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sz w:val="20"/>
                <w:szCs w:val="20"/>
              </w:rPr>
            </w:pPr>
            <w:r>
              <w:rPr>
                <w:rFonts w:ascii="Open Sans" w:eastAsia="Open Sans" w:hAnsi="Open Sans" w:cs="Open Sans"/>
                <w:color w:val="000000"/>
                <w:sz w:val="20"/>
                <w:szCs w:val="20"/>
              </w:rPr>
              <w:t>3,4</w:t>
            </w:r>
          </w:p>
        </w:tc>
      </w:tr>
    </w:tbl>
    <w:p w14:paraId="2A30E1AC" w14:textId="77777777" w:rsidR="004A2F79"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304E4798" w14:textId="77777777" w:rsidR="004A2F79"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5">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6">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3" w:name="_heading=h.2s8eyo1" w:colFirst="0" w:colLast="0"/>
    <w:bookmarkEnd w:id="3"/>
    <w:p w14:paraId="461D7054" w14:textId="77777777" w:rsidR="004A2F79" w:rsidRDefault="00000000">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hyperlink r:id="rId17">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xml:space="preserve">, una empresa 100% especializada en Marketplaces digitales y el único “pure player” del sector a nivel mundial. </w:t>
      </w:r>
    </w:p>
    <w:p w14:paraId="726B25BF" w14:textId="77777777" w:rsidR="004A2F79" w:rsidRDefault="00000000">
      <w:pPr>
        <w:shd w:val="clear" w:color="auto" w:fill="FFFFFF"/>
        <w:spacing w:before="280" w:after="280" w:line="276" w:lineRule="auto"/>
        <w:ind w:right="-716"/>
        <w:jc w:val="both"/>
        <w:rPr>
          <w:rFonts w:ascii="Open Sans" w:eastAsia="Open Sans" w:hAnsi="Open Sans" w:cs="Open Sans"/>
          <w:color w:val="000000"/>
          <w:sz w:val="22"/>
          <w:szCs w:val="22"/>
        </w:rPr>
      </w:pPr>
      <w:hyperlink r:id="rId18">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13940B6C" w14:textId="77777777" w:rsidR="004A2F79"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Adevinta Spain</w:t>
      </w:r>
    </w:p>
    <w:p w14:paraId="3186EB9A" w14:textId="77777777" w:rsidR="004A2F79" w:rsidRDefault="00000000">
      <w:pPr>
        <w:spacing w:before="143" w:after="200"/>
        <w:ind w:right="-716"/>
        <w:jc w:val="both"/>
        <w:rPr>
          <w:rFonts w:ascii="Open Sans" w:eastAsia="Open Sans" w:hAnsi="Open Sans" w:cs="Open Sans"/>
        </w:rPr>
      </w:pPr>
      <w:r>
        <w:rPr>
          <w:rFonts w:ascii="Open Sans" w:eastAsia="Open Sans" w:hAnsi="Open Sans" w:cs="Open Sans"/>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19">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0">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21">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2">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3">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4">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200943B8" w14:textId="77777777" w:rsidR="004A2F79"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1E77BC58" w14:textId="77777777" w:rsidR="004A2F79" w:rsidRDefault="00000000">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Adevinta tiene presencia mundial en 10 países. El conjunto de sus plataformas locales recibe un promedio de 3.000 millones de visitas cada mes. </w:t>
      </w:r>
    </w:p>
    <w:p w14:paraId="72812EEB" w14:textId="77777777" w:rsidR="004A2F79" w:rsidRDefault="00000000">
      <w:pPr>
        <w:spacing w:after="160"/>
        <w:ind w:right="-716"/>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5">
        <w:r>
          <w:rPr>
            <w:rFonts w:ascii="Open Sans" w:eastAsia="Open Sans" w:hAnsi="Open Sans" w:cs="Open Sans"/>
            <w:color w:val="1155CC"/>
            <w:sz w:val="22"/>
            <w:szCs w:val="22"/>
            <w:u w:val="single"/>
          </w:rPr>
          <w:t>adevinta.es</w:t>
        </w:r>
      </w:hyperlink>
    </w:p>
    <w:p w14:paraId="60F1DAFD" w14:textId="77777777" w:rsidR="004A2F79" w:rsidRDefault="004A2F79">
      <w:pPr>
        <w:spacing w:after="160"/>
        <w:ind w:right="-716"/>
        <w:jc w:val="both"/>
        <w:rPr>
          <w:rFonts w:ascii="Open Sans" w:eastAsia="Open Sans" w:hAnsi="Open Sans" w:cs="Open Sans"/>
        </w:rPr>
      </w:pPr>
    </w:p>
    <w:p w14:paraId="396B1239" w14:textId="77777777" w:rsidR="004A2F79"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5BA6E747" w14:textId="77777777" w:rsidR="004A2F79"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2D036F14" w14:textId="77777777" w:rsidR="004A2F79" w:rsidRDefault="00000000">
      <w:pPr>
        <w:shd w:val="clear" w:color="auto" w:fill="FFFFFF"/>
        <w:spacing w:line="276" w:lineRule="auto"/>
        <w:ind w:right="-716"/>
        <w:rPr>
          <w:rFonts w:ascii="Open Sans" w:eastAsia="Open Sans" w:hAnsi="Open Sans" w:cs="Open Sans"/>
          <w:color w:val="0000FF"/>
          <w:sz w:val="22"/>
          <w:szCs w:val="22"/>
          <w:u w:val="single"/>
        </w:rPr>
      </w:pPr>
      <w:hyperlink r:id="rId26">
        <w:r>
          <w:rPr>
            <w:rFonts w:ascii="Open Sans" w:eastAsia="Open Sans" w:hAnsi="Open Sans" w:cs="Open Sans"/>
            <w:color w:val="0000FF"/>
            <w:sz w:val="22"/>
            <w:szCs w:val="22"/>
            <w:u w:val="single"/>
          </w:rPr>
          <w:t>comunicacion@fotocasa.es</w:t>
        </w:r>
      </w:hyperlink>
    </w:p>
    <w:p w14:paraId="77C91566" w14:textId="77777777" w:rsidR="004A2F79" w:rsidRDefault="00000000">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7846E0AA" w14:textId="77777777" w:rsidR="004A2F79" w:rsidRDefault="004A2F79">
      <w:pPr>
        <w:spacing w:line="276" w:lineRule="auto"/>
        <w:ind w:right="-716"/>
        <w:rPr>
          <w:rFonts w:ascii="Open Sans Light" w:eastAsia="Open Sans Light" w:hAnsi="Open Sans Light" w:cs="Open Sans Light"/>
          <w:b/>
          <w:color w:val="303AB2"/>
          <w:sz w:val="22"/>
          <w:szCs w:val="22"/>
        </w:rPr>
      </w:pPr>
    </w:p>
    <w:p w14:paraId="5225C847" w14:textId="77777777" w:rsidR="004A2F79" w:rsidRDefault="004A2F79">
      <w:pPr>
        <w:spacing w:line="276" w:lineRule="auto"/>
        <w:ind w:right="-716"/>
        <w:rPr>
          <w:rFonts w:ascii="Open Sans Light" w:eastAsia="Open Sans Light" w:hAnsi="Open Sans Light" w:cs="Open Sans Light"/>
          <w:b/>
          <w:color w:val="303AB2"/>
          <w:sz w:val="22"/>
          <w:szCs w:val="22"/>
        </w:rPr>
      </w:pPr>
    </w:p>
    <w:p w14:paraId="0E8122A3" w14:textId="77777777" w:rsidR="004A2F79" w:rsidRDefault="00000000">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0B1A8EB3" w14:textId="77777777" w:rsidR="004A2F79" w:rsidRDefault="00000000">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14E12772" w14:textId="77777777" w:rsidR="004A2F79" w:rsidRPr="009F3B3D" w:rsidRDefault="00000000">
      <w:pPr>
        <w:shd w:val="clear" w:color="auto" w:fill="FFFFFF"/>
        <w:spacing w:line="276" w:lineRule="auto"/>
        <w:ind w:right="-716"/>
        <w:rPr>
          <w:rFonts w:ascii="Open Sans" w:eastAsia="Open Sans" w:hAnsi="Open Sans" w:cs="Open Sans"/>
          <w:color w:val="0000FF"/>
          <w:sz w:val="22"/>
          <w:szCs w:val="22"/>
          <w:u w:val="single"/>
          <w:lang w:val="en-US"/>
        </w:rPr>
      </w:pPr>
      <w:hyperlink r:id="rId27">
        <w:r w:rsidRPr="009F3B3D">
          <w:rPr>
            <w:rFonts w:ascii="Open Sans" w:eastAsia="Open Sans" w:hAnsi="Open Sans" w:cs="Open Sans"/>
            <w:color w:val="0000FF"/>
            <w:sz w:val="22"/>
            <w:szCs w:val="22"/>
            <w:u w:val="single"/>
            <w:lang w:val="en-US"/>
          </w:rPr>
          <w:t>rtorne@llorenteycuenca.com</w:t>
        </w:r>
      </w:hyperlink>
      <w:r w:rsidRPr="009F3B3D">
        <w:rPr>
          <w:rFonts w:ascii="Open Sans" w:eastAsia="Open Sans" w:hAnsi="Open Sans" w:cs="Open Sans"/>
          <w:color w:val="0000FF"/>
          <w:sz w:val="22"/>
          <w:szCs w:val="22"/>
          <w:lang w:val="en-US"/>
        </w:rPr>
        <w:tab/>
      </w:r>
      <w:r w:rsidRPr="009F3B3D">
        <w:rPr>
          <w:rFonts w:ascii="Open Sans" w:eastAsia="Open Sans" w:hAnsi="Open Sans" w:cs="Open Sans"/>
          <w:color w:val="0000FF"/>
          <w:sz w:val="22"/>
          <w:szCs w:val="22"/>
          <w:lang w:val="en-US"/>
        </w:rPr>
        <w:tab/>
      </w:r>
      <w:r w:rsidRPr="009F3B3D">
        <w:rPr>
          <w:rFonts w:ascii="Open Sans" w:eastAsia="Open Sans" w:hAnsi="Open Sans" w:cs="Open Sans"/>
          <w:color w:val="0000FF"/>
          <w:sz w:val="22"/>
          <w:szCs w:val="22"/>
          <w:lang w:val="en-US"/>
        </w:rPr>
        <w:tab/>
      </w:r>
    </w:p>
    <w:p w14:paraId="1CB2FFA8" w14:textId="77777777" w:rsidR="004A2F79" w:rsidRPr="009F3B3D" w:rsidRDefault="00000000">
      <w:pPr>
        <w:shd w:val="clear" w:color="auto" w:fill="FFFFFF"/>
        <w:spacing w:line="276" w:lineRule="auto"/>
        <w:ind w:right="-716"/>
        <w:rPr>
          <w:rFonts w:ascii="Open Sans" w:eastAsia="Open Sans" w:hAnsi="Open Sans" w:cs="Open Sans"/>
          <w:color w:val="000000"/>
          <w:sz w:val="22"/>
          <w:szCs w:val="22"/>
          <w:lang w:val="en-US"/>
        </w:rPr>
      </w:pPr>
      <w:r w:rsidRPr="009F3B3D">
        <w:rPr>
          <w:rFonts w:ascii="Open Sans" w:eastAsia="Open Sans" w:hAnsi="Open Sans" w:cs="Open Sans"/>
          <w:color w:val="000000"/>
          <w:sz w:val="22"/>
          <w:szCs w:val="22"/>
          <w:lang w:val="en-US"/>
        </w:rPr>
        <w:t xml:space="preserve">638 68 19 85      </w:t>
      </w:r>
      <w:r w:rsidRPr="009F3B3D">
        <w:rPr>
          <w:rFonts w:ascii="Open Sans" w:eastAsia="Open Sans" w:hAnsi="Open Sans" w:cs="Open Sans"/>
          <w:color w:val="000000"/>
          <w:sz w:val="22"/>
          <w:szCs w:val="22"/>
          <w:lang w:val="en-US"/>
        </w:rPr>
        <w:tab/>
      </w:r>
      <w:r w:rsidRPr="009F3B3D">
        <w:rPr>
          <w:rFonts w:ascii="Open Sans" w:eastAsia="Open Sans" w:hAnsi="Open Sans" w:cs="Open Sans"/>
          <w:color w:val="000000"/>
          <w:sz w:val="22"/>
          <w:szCs w:val="22"/>
          <w:lang w:val="en-US"/>
        </w:rPr>
        <w:tab/>
      </w:r>
      <w:r w:rsidRPr="009F3B3D">
        <w:rPr>
          <w:rFonts w:ascii="Open Sans" w:eastAsia="Open Sans" w:hAnsi="Open Sans" w:cs="Open Sans"/>
          <w:color w:val="000000"/>
          <w:sz w:val="22"/>
          <w:szCs w:val="22"/>
          <w:lang w:val="en-US"/>
        </w:rPr>
        <w:tab/>
      </w:r>
      <w:r w:rsidRPr="009F3B3D">
        <w:rPr>
          <w:rFonts w:ascii="Open Sans" w:eastAsia="Open Sans" w:hAnsi="Open Sans" w:cs="Open Sans"/>
          <w:color w:val="000000"/>
          <w:sz w:val="22"/>
          <w:szCs w:val="22"/>
          <w:lang w:val="en-US"/>
        </w:rPr>
        <w:tab/>
      </w:r>
      <w:r w:rsidRPr="009F3B3D">
        <w:rPr>
          <w:rFonts w:ascii="Open Sans" w:eastAsia="Open Sans" w:hAnsi="Open Sans" w:cs="Open Sans"/>
          <w:color w:val="000000"/>
          <w:sz w:val="22"/>
          <w:szCs w:val="22"/>
          <w:lang w:val="en-US"/>
        </w:rPr>
        <w:tab/>
      </w:r>
      <w:r w:rsidRPr="009F3B3D">
        <w:rPr>
          <w:rFonts w:ascii="Open Sans" w:eastAsia="Open Sans" w:hAnsi="Open Sans" w:cs="Open Sans"/>
          <w:color w:val="000000"/>
          <w:sz w:val="22"/>
          <w:szCs w:val="22"/>
          <w:lang w:val="en-US"/>
        </w:rPr>
        <w:tab/>
      </w:r>
      <w:r w:rsidRPr="009F3B3D">
        <w:rPr>
          <w:rFonts w:ascii="Open Sans" w:eastAsia="Open Sans" w:hAnsi="Open Sans" w:cs="Open Sans"/>
          <w:color w:val="000000"/>
          <w:sz w:val="22"/>
          <w:szCs w:val="22"/>
          <w:lang w:val="en-US"/>
        </w:rPr>
        <w:tab/>
      </w:r>
      <w:r w:rsidRPr="009F3B3D">
        <w:rPr>
          <w:rFonts w:ascii="Open Sans" w:eastAsia="Open Sans" w:hAnsi="Open Sans" w:cs="Open Sans"/>
          <w:color w:val="000000"/>
          <w:sz w:val="22"/>
          <w:szCs w:val="22"/>
          <w:lang w:val="en-US"/>
        </w:rPr>
        <w:tab/>
      </w:r>
    </w:p>
    <w:p w14:paraId="1A068F33" w14:textId="77777777" w:rsidR="004A2F79" w:rsidRPr="009F3B3D" w:rsidRDefault="00000000">
      <w:pPr>
        <w:shd w:val="clear" w:color="auto" w:fill="FFFFFF"/>
        <w:ind w:right="-716"/>
        <w:rPr>
          <w:rFonts w:ascii="Arial" w:eastAsia="Arial" w:hAnsi="Arial" w:cs="Arial"/>
          <w:color w:val="222222"/>
          <w:sz w:val="22"/>
          <w:szCs w:val="22"/>
          <w:lang w:val="en-US"/>
        </w:rPr>
      </w:pPr>
      <w:r w:rsidRPr="009F3B3D">
        <w:rPr>
          <w:rFonts w:ascii="Arial" w:eastAsia="Arial" w:hAnsi="Arial" w:cs="Arial"/>
          <w:color w:val="222222"/>
          <w:sz w:val="22"/>
          <w:szCs w:val="22"/>
          <w:lang w:val="en-US"/>
        </w:rPr>
        <w:tab/>
      </w:r>
      <w:r w:rsidRPr="009F3B3D">
        <w:rPr>
          <w:rFonts w:ascii="Arial" w:eastAsia="Arial" w:hAnsi="Arial" w:cs="Arial"/>
          <w:color w:val="222222"/>
          <w:sz w:val="22"/>
          <w:szCs w:val="22"/>
          <w:lang w:val="en-US"/>
        </w:rPr>
        <w:tab/>
      </w:r>
      <w:r w:rsidRPr="009F3B3D">
        <w:rPr>
          <w:rFonts w:ascii="Arial" w:eastAsia="Arial" w:hAnsi="Arial" w:cs="Arial"/>
          <w:color w:val="222222"/>
          <w:sz w:val="22"/>
          <w:szCs w:val="22"/>
          <w:lang w:val="en-US"/>
        </w:rPr>
        <w:tab/>
      </w:r>
      <w:r w:rsidRPr="009F3B3D">
        <w:rPr>
          <w:rFonts w:ascii="Arial" w:eastAsia="Arial" w:hAnsi="Arial" w:cs="Arial"/>
          <w:color w:val="222222"/>
          <w:sz w:val="22"/>
          <w:szCs w:val="22"/>
          <w:lang w:val="en-US"/>
        </w:rPr>
        <w:tab/>
        <w:t xml:space="preserve">     </w:t>
      </w:r>
    </w:p>
    <w:p w14:paraId="08B04FBA" w14:textId="77777777" w:rsidR="004A2F79" w:rsidRPr="009F3B3D" w:rsidRDefault="00000000">
      <w:pPr>
        <w:shd w:val="clear" w:color="auto" w:fill="FFFFFF"/>
        <w:ind w:right="-716"/>
        <w:rPr>
          <w:rFonts w:ascii="Open Sans" w:eastAsia="Open Sans" w:hAnsi="Open Sans" w:cs="Open Sans"/>
          <w:b/>
          <w:color w:val="000000"/>
          <w:sz w:val="22"/>
          <w:szCs w:val="22"/>
          <w:lang w:val="en-US"/>
        </w:rPr>
      </w:pPr>
      <w:r w:rsidRPr="009F3B3D">
        <w:rPr>
          <w:rFonts w:ascii="Open Sans" w:eastAsia="Open Sans" w:hAnsi="Open Sans" w:cs="Open Sans"/>
          <w:b/>
          <w:color w:val="000000"/>
          <w:sz w:val="22"/>
          <w:szCs w:val="22"/>
          <w:lang w:val="en-US"/>
        </w:rPr>
        <w:lastRenderedPageBreak/>
        <w:t>Fanny Merino</w:t>
      </w:r>
    </w:p>
    <w:p w14:paraId="6EEF4EE3" w14:textId="77777777" w:rsidR="004A2F79" w:rsidRPr="009F3B3D" w:rsidRDefault="00000000">
      <w:pPr>
        <w:shd w:val="clear" w:color="auto" w:fill="FFFFFF"/>
        <w:ind w:right="-716"/>
        <w:rPr>
          <w:rFonts w:ascii="Open Sans" w:eastAsia="Open Sans" w:hAnsi="Open Sans" w:cs="Open Sans"/>
          <w:b/>
          <w:color w:val="000000"/>
          <w:sz w:val="22"/>
          <w:szCs w:val="22"/>
          <w:lang w:val="en-US"/>
        </w:rPr>
      </w:pPr>
      <w:hyperlink r:id="rId28">
        <w:r w:rsidRPr="009F3B3D">
          <w:rPr>
            <w:rFonts w:ascii="Open Sans" w:eastAsia="Open Sans" w:hAnsi="Open Sans" w:cs="Open Sans"/>
            <w:color w:val="0000FF"/>
            <w:sz w:val="22"/>
            <w:szCs w:val="22"/>
            <w:u w:val="single"/>
            <w:lang w:val="en-US"/>
          </w:rPr>
          <w:t>emerino@llorenteycuenca.com</w:t>
        </w:r>
      </w:hyperlink>
      <w:r w:rsidRPr="009F3B3D">
        <w:rPr>
          <w:rFonts w:ascii="Open Sans" w:eastAsia="Open Sans" w:hAnsi="Open Sans" w:cs="Open Sans"/>
          <w:color w:val="0000FF"/>
          <w:sz w:val="22"/>
          <w:szCs w:val="22"/>
          <w:lang w:val="en-US"/>
        </w:rPr>
        <w:tab/>
      </w:r>
      <w:r w:rsidRPr="009F3B3D">
        <w:rPr>
          <w:rFonts w:ascii="Open Sans" w:eastAsia="Open Sans" w:hAnsi="Open Sans" w:cs="Open Sans"/>
          <w:color w:val="0000FF"/>
          <w:sz w:val="22"/>
          <w:szCs w:val="22"/>
          <w:lang w:val="en-US"/>
        </w:rPr>
        <w:tab/>
      </w:r>
    </w:p>
    <w:p w14:paraId="6DB23CC5" w14:textId="77777777" w:rsidR="004A2F79" w:rsidRPr="009F3B3D" w:rsidRDefault="00000000">
      <w:pPr>
        <w:shd w:val="clear" w:color="auto" w:fill="FFFFFF"/>
        <w:ind w:right="-716"/>
        <w:rPr>
          <w:rFonts w:ascii="Open Sans" w:eastAsia="Open Sans" w:hAnsi="Open Sans" w:cs="Open Sans"/>
          <w:color w:val="000000"/>
          <w:sz w:val="22"/>
          <w:szCs w:val="22"/>
          <w:lang w:val="en-US"/>
        </w:rPr>
      </w:pPr>
      <w:r w:rsidRPr="009F3B3D">
        <w:rPr>
          <w:rFonts w:ascii="Open Sans" w:eastAsia="Open Sans" w:hAnsi="Open Sans" w:cs="Open Sans"/>
          <w:color w:val="000000"/>
          <w:sz w:val="22"/>
          <w:szCs w:val="22"/>
          <w:lang w:val="en-US"/>
        </w:rPr>
        <w:t>663 35 69 75 </w:t>
      </w:r>
    </w:p>
    <w:p w14:paraId="69D23764" w14:textId="77777777" w:rsidR="004A2F79" w:rsidRPr="009F3B3D" w:rsidRDefault="004A2F79">
      <w:pPr>
        <w:shd w:val="clear" w:color="auto" w:fill="FFFFFF"/>
        <w:ind w:right="-716"/>
        <w:rPr>
          <w:rFonts w:ascii="Open Sans" w:eastAsia="Open Sans" w:hAnsi="Open Sans" w:cs="Open Sans"/>
          <w:color w:val="000000"/>
          <w:sz w:val="22"/>
          <w:szCs w:val="22"/>
          <w:lang w:val="en-US"/>
        </w:rPr>
      </w:pPr>
    </w:p>
    <w:p w14:paraId="40A3F1D6" w14:textId="77777777" w:rsidR="004A2F79" w:rsidRPr="009F3B3D" w:rsidRDefault="00000000">
      <w:pPr>
        <w:shd w:val="clear" w:color="auto" w:fill="FFFFFF"/>
        <w:ind w:right="-716"/>
        <w:rPr>
          <w:rFonts w:ascii="Open Sans" w:eastAsia="Open Sans" w:hAnsi="Open Sans" w:cs="Open Sans"/>
          <w:b/>
          <w:color w:val="000000"/>
          <w:sz w:val="22"/>
          <w:szCs w:val="22"/>
          <w:lang w:val="en-US"/>
        </w:rPr>
      </w:pPr>
      <w:r w:rsidRPr="009F3B3D">
        <w:rPr>
          <w:rFonts w:ascii="Open Sans" w:eastAsia="Open Sans" w:hAnsi="Open Sans" w:cs="Open Sans"/>
          <w:b/>
          <w:color w:val="000000"/>
          <w:sz w:val="22"/>
          <w:szCs w:val="22"/>
          <w:lang w:val="en-US"/>
        </w:rPr>
        <w:t>Paula Iglesias</w:t>
      </w:r>
    </w:p>
    <w:p w14:paraId="6C8177E8" w14:textId="77777777" w:rsidR="004A2F79" w:rsidRPr="009F3B3D" w:rsidRDefault="00000000">
      <w:pPr>
        <w:shd w:val="clear" w:color="auto" w:fill="FFFFFF"/>
        <w:ind w:right="-716"/>
        <w:rPr>
          <w:rFonts w:ascii="Open Sans" w:eastAsia="Open Sans" w:hAnsi="Open Sans" w:cs="Open Sans"/>
          <w:b/>
          <w:color w:val="000000"/>
          <w:sz w:val="22"/>
          <w:szCs w:val="22"/>
          <w:lang w:val="en-US"/>
        </w:rPr>
      </w:pPr>
      <w:hyperlink r:id="rId29">
        <w:r w:rsidRPr="009F3B3D">
          <w:rPr>
            <w:rFonts w:ascii="Open Sans" w:eastAsia="Open Sans" w:hAnsi="Open Sans" w:cs="Open Sans"/>
            <w:color w:val="0000FF"/>
            <w:sz w:val="22"/>
            <w:szCs w:val="22"/>
            <w:u w:val="single"/>
            <w:lang w:val="en-US"/>
          </w:rPr>
          <w:t>piglesias@llorenteycuenca.com</w:t>
        </w:r>
      </w:hyperlink>
      <w:r w:rsidRPr="009F3B3D">
        <w:rPr>
          <w:rFonts w:ascii="Open Sans" w:eastAsia="Open Sans" w:hAnsi="Open Sans" w:cs="Open Sans"/>
          <w:color w:val="0000FF"/>
          <w:sz w:val="22"/>
          <w:szCs w:val="22"/>
          <w:lang w:val="en-US"/>
        </w:rPr>
        <w:tab/>
      </w:r>
      <w:r w:rsidRPr="009F3B3D">
        <w:rPr>
          <w:rFonts w:ascii="Open Sans" w:eastAsia="Open Sans" w:hAnsi="Open Sans" w:cs="Open Sans"/>
          <w:color w:val="0000FF"/>
          <w:sz w:val="22"/>
          <w:szCs w:val="22"/>
          <w:lang w:val="en-US"/>
        </w:rPr>
        <w:tab/>
      </w:r>
    </w:p>
    <w:p w14:paraId="3DE1DEF7" w14:textId="77777777" w:rsidR="004A2F79" w:rsidRDefault="00000000">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22"/>
          <w:szCs w:val="22"/>
        </w:rPr>
        <w:t>662 450 236</w:t>
      </w:r>
    </w:p>
    <w:p w14:paraId="1D3381EC" w14:textId="77777777" w:rsidR="004A2F79" w:rsidRDefault="004A2F79">
      <w:pPr>
        <w:spacing w:line="276" w:lineRule="auto"/>
        <w:ind w:right="-574"/>
        <w:jc w:val="right"/>
        <w:rPr>
          <w:rFonts w:ascii="Open Sans" w:eastAsia="Open Sans" w:hAnsi="Open Sans" w:cs="Open Sans"/>
          <w:color w:val="000000"/>
          <w:sz w:val="21"/>
          <w:szCs w:val="21"/>
        </w:rPr>
      </w:pPr>
    </w:p>
    <w:sectPr w:rsidR="004A2F79">
      <w:footerReference w:type="default" r:id="rId30"/>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8071" w14:textId="77777777" w:rsidR="00831ACB" w:rsidRDefault="00831ACB">
      <w:r>
        <w:separator/>
      </w:r>
    </w:p>
  </w:endnote>
  <w:endnote w:type="continuationSeparator" w:id="0">
    <w:p w14:paraId="184DF817" w14:textId="77777777" w:rsidR="00831ACB" w:rsidRDefault="0083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BDFD" w14:textId="77777777" w:rsidR="004A2F79" w:rsidRDefault="00000000">
    <w:pPr>
      <w:pBdr>
        <w:top w:val="nil"/>
        <w:left w:val="nil"/>
        <w:bottom w:val="nil"/>
        <w:right w:val="nil"/>
        <w:between w:val="nil"/>
      </w:pBdr>
      <w:tabs>
        <w:tab w:val="center" w:pos="4252"/>
        <w:tab w:val="right" w:pos="8504"/>
      </w:tabs>
      <w:jc w:val="right"/>
      <w:rPr>
        <w:color w:val="000000"/>
      </w:rPr>
    </w:pPr>
    <w:r>
      <w:rPr>
        <w:color w:val="4472C4"/>
        <w:sz w:val="20"/>
        <w:szCs w:val="20"/>
      </w:rPr>
      <w:t xml:space="preserve">pág. </w:t>
    </w:r>
    <w:r>
      <w:rPr>
        <w:color w:val="4472C4"/>
        <w:sz w:val="20"/>
        <w:szCs w:val="20"/>
      </w:rPr>
      <w:fldChar w:fldCharType="begin"/>
    </w:r>
    <w:r>
      <w:rPr>
        <w:color w:val="4472C4"/>
        <w:sz w:val="20"/>
        <w:szCs w:val="20"/>
      </w:rPr>
      <w:instrText>PAGE</w:instrText>
    </w:r>
    <w:r>
      <w:rPr>
        <w:color w:val="4472C4"/>
        <w:sz w:val="20"/>
        <w:szCs w:val="20"/>
      </w:rPr>
      <w:fldChar w:fldCharType="separate"/>
    </w:r>
    <w:r w:rsidR="009F3B3D">
      <w:rPr>
        <w:noProof/>
        <w:color w:val="4472C4"/>
        <w:sz w:val="20"/>
        <w:szCs w:val="20"/>
      </w:rPr>
      <w:t>1</w:t>
    </w:r>
    <w:r>
      <w:rPr>
        <w:color w:val="4472C4"/>
        <w:sz w:val="20"/>
        <w:szCs w:val="20"/>
      </w:rPr>
      <w:fldChar w:fldCharType="end"/>
    </w:r>
  </w:p>
  <w:p w14:paraId="2B6C65B5" w14:textId="77777777" w:rsidR="004A2F79" w:rsidRDefault="004A2F7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034B" w14:textId="77777777" w:rsidR="00831ACB" w:rsidRDefault="00831ACB">
      <w:r>
        <w:separator/>
      </w:r>
    </w:p>
  </w:footnote>
  <w:footnote w:type="continuationSeparator" w:id="0">
    <w:p w14:paraId="4B328901" w14:textId="77777777" w:rsidR="00831ACB" w:rsidRDefault="0083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212"/>
    <w:multiLevelType w:val="multilevel"/>
    <w:tmpl w:val="DC5EA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5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79"/>
    <w:rsid w:val="004A2F79"/>
    <w:rsid w:val="0065097B"/>
    <w:rsid w:val="006619D1"/>
    <w:rsid w:val="00831ACB"/>
    <w:rsid w:val="009F3B3D"/>
    <w:rsid w:val="00CA6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3F83"/>
  <w15:docId w15:val="{3AE3E8B7-F298-46D9-9E35-59E31EDB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65"/>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Refdecomentario">
    <w:name w:val="annotation reference"/>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link w:val="Textocomentario"/>
    <w:uiPriority w:val="99"/>
    <w:semiHidden/>
    <w:rsid w:val="00964BED"/>
    <w:rPr>
      <w:sz w:val="20"/>
      <w:szCs w:val="20"/>
    </w:rPr>
  </w:style>
  <w:style w:type="character" w:styleId="Mencinsinresolver">
    <w:name w:val="Unresolved Mention"/>
    <w:uiPriority w:val="99"/>
    <w:semiHidden/>
    <w:unhideWhenUsed/>
    <w:rsid w:val="00E84EE3"/>
    <w:rPr>
      <w:color w:val="605E5C"/>
      <w:shd w:val="clear" w:color="auto" w:fill="E1DFDD"/>
    </w:rPr>
  </w:style>
  <w:style w:type="paragraph" w:customStyle="1" w:styleId="Cuerpo">
    <w:name w:val="Cuerpo"/>
    <w:rsid w:val="0014415E"/>
    <w:rPr>
      <w:rFonts w:ascii="Times New Roman" w:eastAsia="Arial Unicode MS" w:hAnsi="Times New Roman" w:cs="Arial Unicode MS"/>
      <w:color w:val="000000"/>
      <w:u w:color="000000"/>
      <w:lang w:val="en-US" w:eastAsia="en-US"/>
    </w:rPr>
  </w:style>
  <w:style w:type="character" w:customStyle="1" w:styleId="Ninguno">
    <w:name w:val="Ninguno"/>
    <w:rsid w:val="0014415E"/>
    <w:rPr>
      <w:lang w:val="es-ES_tradnl"/>
    </w:rPr>
  </w:style>
  <w:style w:type="table" w:styleId="Tablaconcuadrcula5oscura-nfasis1">
    <w:name w:val="Grid Table 5 Dark Accent 1"/>
    <w:basedOn w:val="Tablanormal"/>
    <w:uiPriority w:val="50"/>
    <w:rsid w:val="001441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Texto">
    <w:name w:val="Texto"/>
    <w:basedOn w:val="Normal"/>
    <w:uiPriority w:val="99"/>
    <w:rsid w:val="0014415E"/>
    <w:rPr>
      <w:rFonts w:ascii="Gill Sans MT" w:eastAsia="Times New Roman" w:hAnsi="Gill Sans MT" w:cs="Arial"/>
      <w:sz w:val="22"/>
      <w:szCs w:val="22"/>
      <w:lang w:val="pt-BR" w:eastAsia="es-ES"/>
    </w:rPr>
  </w:style>
  <w:style w:type="paragraph" w:customStyle="1" w:styleId="Listavistosa-nfasis11">
    <w:name w:val="Lista vistosa - Énfasis 11"/>
    <w:basedOn w:val="Normal"/>
    <w:qFormat/>
    <w:rsid w:val="0014415E"/>
    <w:pPr>
      <w:ind w:left="708"/>
    </w:pPr>
    <w:rPr>
      <w:rFonts w:ascii="Times New Roman" w:eastAsia="Times New Roman" w:hAnsi="Times New Roman" w:cs="Times New Roman"/>
      <w:lang w:val="es-ES" w:eastAsia="es-ES"/>
    </w:rPr>
  </w:style>
  <w:style w:type="character" w:styleId="nfasis">
    <w:name w:val="Emphasis"/>
    <w:qFormat/>
    <w:rsid w:val="0014415E"/>
    <w:rPr>
      <w:i/>
      <w:iCs/>
    </w:rPr>
  </w:style>
  <w:style w:type="character" w:styleId="Hipervnculovisitado">
    <w:name w:val="FollowedHyperlink"/>
    <w:basedOn w:val="Fuentedeprrafopredeter"/>
    <w:uiPriority w:val="99"/>
    <w:semiHidden/>
    <w:unhideWhenUsed/>
    <w:rsid w:val="00E34DF1"/>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0">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1">
    <w:basedOn w:val="TableNormal"/>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fotocasa.es/es/quienes-somos/" TargetMode="External"/><Relationship Id="rId26" Type="http://schemas.openxmlformats.org/officeDocument/2006/relationships/hyperlink" Target="mailto:comunicacion@fotocasa.es" TargetMode="External"/><Relationship Id="rId3" Type="http://schemas.openxmlformats.org/officeDocument/2006/relationships/styles" Target="styles.xml"/><Relationship Id="rId21" Type="http://schemas.openxmlformats.org/officeDocument/2006/relationships/hyperlink" Target="https://www.infojobs.net/" TargetMode="External"/><Relationship Id="rId7" Type="http://schemas.openxmlformats.org/officeDocument/2006/relationships/endnotes" Target="endnotes.xml"/><Relationship Id="rId12" Type="http://schemas.openxmlformats.org/officeDocument/2006/relationships/hyperlink" Target="https://www.fotocasa.es" TargetMode="External"/><Relationship Id="rId17" Type="http://schemas.openxmlformats.org/officeDocument/2006/relationships/hyperlink" Target="https://www.adevinta.com/" TargetMode="External"/><Relationship Id="rId25" Type="http://schemas.openxmlformats.org/officeDocument/2006/relationships/hyperlink" Target="http://adevinta.es" TargetMode="External"/><Relationship Id="rId2" Type="http://schemas.openxmlformats.org/officeDocument/2006/relationships/numbering" Target="numbering.xml"/><Relationship Id="rId16" Type="http://schemas.openxmlformats.org/officeDocument/2006/relationships/hyperlink" Target="http://prensa.fotocasa.es" TargetMode="External"/><Relationship Id="rId20" Type="http://schemas.openxmlformats.org/officeDocument/2006/relationships/hyperlink" Target="https://www.habitaclia.com/" TargetMode="External"/><Relationship Id="rId29" Type="http://schemas.openxmlformats.org/officeDocument/2006/relationships/hyperlink" Target="mailto:piglesias@llorenteycuenc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milanuncio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tocasa.es/indice/" TargetMode="External"/><Relationship Id="rId23" Type="http://schemas.openxmlformats.org/officeDocument/2006/relationships/hyperlink" Target="https://motos.coches.net/" TargetMode="External"/><Relationship Id="rId28" Type="http://schemas.openxmlformats.org/officeDocument/2006/relationships/hyperlink" Target="mailto:emerino@llorenteycuenca.com" TargetMode="External"/><Relationship Id="rId10" Type="http://schemas.openxmlformats.org/officeDocument/2006/relationships/hyperlink" Target="http://www.fotocasa.es" TargetMode="External"/><Relationship Id="rId19" Type="http://schemas.openxmlformats.org/officeDocument/2006/relationships/hyperlink" Target="https://www.fotocasa.es/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wiwY1G__Ye8" TargetMode="External"/><Relationship Id="rId14" Type="http://schemas.openxmlformats.org/officeDocument/2006/relationships/hyperlink" Target="http://www.fotocasa.es" TargetMode="External"/><Relationship Id="rId22" Type="http://schemas.openxmlformats.org/officeDocument/2006/relationships/hyperlink" Target="https://www.coches.net/" TargetMode="External"/><Relationship Id="rId27" Type="http://schemas.openxmlformats.org/officeDocument/2006/relationships/hyperlink" Target="mailto:rtorne@llorenteycuenca.com"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11/relationships/chartColorStyle" Target="colors1.xml"/><Relationship Id="rId1" Type="http://schemas.microsoft.com/office/2011/relationships/chartStyle" Target="style1.xml"/><Relationship Id="rId6" Type="http://schemas.openxmlformats.org/officeDocument/2006/relationships/oleObject" Target="file:///H:\Mi%20unidad\01-SCHIBSTED\04-ESTUDIO%20NdP\COMPARTIR\2023\SEPTIEMBRE\PRENSA%20RENTABILIDAD%20COMPARTIR%20sep%202023.xlsx" TargetMode="External"/><Relationship Id="rId5" Type="http://schemas.openxmlformats.org/officeDocument/2006/relationships/image" Target="../media/image4.png"/><Relationship Id="rId4" Type="http://schemas.openxmlformats.org/officeDocument/2006/relationships/image" Target="../media/image3.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blipFill>
            <a:blip xmlns:r="http://schemas.openxmlformats.org/officeDocument/2006/relationships" r:embed="rId4"/>
            <a:stretch>
              <a:fillRect/>
            </a:stretch>
          </a:blipFill>
          <a:ln w="9525" cap="flat" cmpd="sng" algn="ctr">
            <a:noFill/>
            <a:round/>
          </a:ln>
          <a:effectLst/>
        </c:spPr>
      </c:pivotFmt>
      <c:pivotFmt>
        <c:idx val="2"/>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spPr>
          <a:blipFill>
            <a:blip xmlns:r="http://schemas.openxmlformats.org/officeDocument/2006/relationships" r:embed="rId4"/>
            <a:stretch>
              <a:fillRect/>
            </a:stretch>
          </a:blipFill>
          <a:ln w="9525" cap="flat" cmpd="sng" algn="ctr">
            <a:noFill/>
            <a:round/>
          </a:ln>
          <a:effectLst/>
        </c:spPr>
      </c:pivotFmt>
      <c:pivotFmt>
        <c:idx val="4"/>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
        <c:spPr>
          <a:blipFill>
            <a:blip xmlns:r="http://schemas.openxmlformats.org/officeDocument/2006/relationships" r:embed="rId4"/>
            <a:stretch>
              <a:fillRect/>
            </a:stretch>
          </a:blipFill>
          <a:ln w="9525" cap="flat" cmpd="sng" algn="ctr">
            <a:noFill/>
            <a:round/>
          </a:ln>
          <a:effectLst/>
        </c:spPr>
      </c:pivotFmt>
      <c:pivotFmt>
        <c:idx val="6"/>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solidFill>
          <a:ln w="9525" cap="flat" cmpd="sng" algn="ctr">
            <a:noFill/>
            <a:round/>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7"/>
        <c:spPr>
          <a:blipFill>
            <a:blip xmlns:r="http://schemas.openxmlformats.org/officeDocument/2006/relationships" r:embed="rId4"/>
            <a:stretch>
              <a:fillRect/>
            </a:stretch>
          </a:blipFill>
          <a:ln w="9525" cap="flat" cmpd="sng" algn="ctr">
            <a:noFill/>
            <a:round/>
          </a:ln>
          <a:effectLst/>
        </c:spPr>
      </c:pivotFmt>
      <c:pivotFmt>
        <c:idx val="28"/>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29"/>
        <c:spPr>
          <a:blipFill>
            <a:blip xmlns:r="http://schemas.openxmlformats.org/officeDocument/2006/relationships" r:embed="rId4"/>
            <a:stretch>
              <a:fillRect/>
            </a:stretch>
          </a:blipFill>
          <a:ln w="9525" cap="flat" cmpd="sng" algn="ctr">
            <a:noFill/>
            <a:round/>
          </a:ln>
          <a:effectLst/>
        </c:spPr>
      </c:pivotFmt>
      <c:pivotFmt>
        <c:idx val="30"/>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1"/>
        <c:spPr>
          <a:blipFill>
            <a:blip xmlns:r="http://schemas.openxmlformats.org/officeDocument/2006/relationships" r:embed="rId4"/>
            <a:stretch>
              <a:fillRect/>
            </a:stretch>
          </a:blipFill>
          <a:ln w="9525" cap="flat" cmpd="sng" algn="ctr">
            <a:noFill/>
            <a:round/>
          </a:ln>
          <a:effectLst/>
        </c:spPr>
      </c:pivotFmt>
      <c:pivotFmt>
        <c:idx val="32"/>
        <c:spPr>
          <a:solidFill>
            <a:schemeClr val="accent1"/>
          </a:solidFill>
          <a:ln w="9525" cap="flat" cmpd="sng" algn="ctr">
            <a:no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4"/>
        <c:spPr>
          <a:blipFill>
            <a:blip xmlns:r="http://schemas.openxmlformats.org/officeDocument/2006/relationships" r:embed="rId4"/>
            <a:stretch>
              <a:fillRect/>
            </a:stretch>
          </a:blipFill>
          <a:ln w="9525" cap="flat" cmpd="sng" algn="ctr">
            <a:noFill/>
            <a:round/>
          </a:ln>
          <a:effectLst/>
        </c:spPr>
      </c:pivotFmt>
      <c:pivotFmt>
        <c:idx val="35"/>
        <c:spPr>
          <a:solidFill>
            <a:schemeClr val="accent1"/>
          </a:solidFill>
          <a:ln w="9525" cap="flat" cmpd="sng" algn="ctr">
            <a:no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7"/>
        <c:spPr>
          <a:blipFill>
            <a:blip xmlns:r="http://schemas.openxmlformats.org/officeDocument/2006/relationships" r:embed="rId4"/>
            <a:stretch>
              <a:fillRect/>
            </a:stretch>
          </a:blipFill>
          <a:ln w="9525" cap="flat" cmpd="sng" algn="ctr">
            <a:noFill/>
            <a:round/>
          </a:ln>
          <a:effectLst/>
        </c:spPr>
      </c:pivotFmt>
      <c:pivotFmt>
        <c:idx val="38"/>
        <c:spPr>
          <a:solidFill>
            <a:schemeClr val="accent1"/>
          </a:solidFill>
          <a:ln w="9525" cap="flat" cmpd="sng" algn="ctr">
            <a:no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0"/>
        <c:spPr>
          <a:blipFill>
            <a:blip xmlns:r="http://schemas.openxmlformats.org/officeDocument/2006/relationships" r:embed="rId4"/>
            <a:stretch>
              <a:fillRect/>
            </a:stretch>
          </a:blipFill>
          <a:ln w="9525" cap="flat" cmpd="sng" algn="ctr">
            <a:noFill/>
            <a:round/>
          </a:ln>
          <a:effectLst/>
        </c:spPr>
      </c:pivotFmt>
      <c:pivotFmt>
        <c:idx val="41"/>
        <c:spPr>
          <a:blipFill>
            <a:blip xmlns:r="http://schemas.openxmlformats.org/officeDocument/2006/relationships" r:embed="rId5"/>
            <a:stretch>
              <a:fillRect/>
            </a:stretch>
          </a:blipFill>
          <a:ln w="9525" cap="flat" cmpd="sng" algn="ctr">
            <a:no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3"/>
        <c:spPr>
          <a:blipFill>
            <a:blip xmlns:r="http://schemas.openxmlformats.org/officeDocument/2006/relationships" r:embed="rId4"/>
            <a:stretch>
              <a:fillRect/>
            </a:stretch>
          </a:blipFill>
          <a:ln w="9525" cap="flat" cmpd="sng" algn="ctr">
            <a:noFill/>
            <a:round/>
          </a:ln>
          <a:effectLst/>
        </c:spPr>
      </c:pivotFmt>
      <c:pivotFmt>
        <c:idx val="44"/>
        <c:spPr>
          <a:blipFill>
            <a:blip xmlns:r="http://schemas.openxmlformats.org/officeDocument/2006/relationships" r:embed="rId5"/>
            <a:stretch>
              <a:fillRect/>
            </a:stretch>
          </a:blipFill>
          <a:ln w="9525" cap="flat" cmpd="sng" algn="ctr">
            <a:no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6"/>
        <c:spPr>
          <a:blipFill>
            <a:blip xmlns:r="http://schemas.openxmlformats.org/officeDocument/2006/relationships" r:embed="rId4"/>
            <a:stretch>
              <a:fillRect/>
            </a:stretch>
          </a:blipFill>
          <a:ln w="9525" cap="flat" cmpd="sng" algn="ctr">
            <a:noFill/>
            <a:round/>
          </a:ln>
          <a:effectLst/>
        </c:spPr>
      </c:pivotFmt>
      <c:pivotFmt>
        <c:idx val="47"/>
        <c:spPr>
          <a:blipFill>
            <a:blip xmlns:r="http://schemas.openxmlformats.org/officeDocument/2006/relationships" r:embed="rId5"/>
            <a:stretch>
              <a:fillRect/>
            </a:stretch>
          </a:blipFill>
          <a:ln w="9525" cap="flat" cmpd="sng" algn="ctr">
            <a:no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9"/>
        <c:spPr>
          <a:blipFill>
            <a:blip xmlns:r="http://schemas.openxmlformats.org/officeDocument/2006/relationships" r:embed="rId4"/>
            <a:stretch>
              <a:fillRect/>
            </a:stretch>
          </a:blipFill>
          <a:ln w="9525" cap="flat" cmpd="sng" algn="ctr">
            <a:noFill/>
            <a:round/>
          </a:ln>
          <a:effectLst/>
        </c:spPr>
      </c:pivotFmt>
      <c:pivotFmt>
        <c:idx val="50"/>
        <c:spPr>
          <a:blipFill>
            <a:blip xmlns:r="http://schemas.openxmlformats.org/officeDocument/2006/relationships" r:embed="rId5"/>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anchor="ctr" anchorCtr="1"/>
            <a:lstStyle/>
            <a:p>
              <a:pPr algn="ctr">
                <a:defRPr sz="1400" b="1"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1"/>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2"/>
        <c:spPr>
          <a:blipFill>
            <a:blip xmlns:r="http://schemas.openxmlformats.org/officeDocument/2006/relationships" r:embed="rId5"/>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anchor="ctr" anchorCtr="1"/>
            <a:lstStyle/>
            <a:p>
              <a:pPr algn="ctr">
                <a:defRPr sz="1400" b="1"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3"/>
        <c:spPr>
          <a:blipFill>
            <a:blip xmlns:r="http://schemas.openxmlformats.org/officeDocument/2006/relationships" r:embed="rId3"/>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54"/>
        <c:spPr>
          <a:blipFill>
            <a:blip xmlns:r="http://schemas.openxmlformats.org/officeDocument/2006/relationships" r:embed="rId5"/>
            <a:stretch>
              <a:fillRect/>
            </a:stretch>
          </a:blipFill>
          <a:ln w="9525" cap="flat" cmpd="sng" algn="ctr">
            <a:noFill/>
            <a:round/>
          </a:ln>
          <a:effectLst/>
        </c:spPr>
        <c:marker>
          <c:symbol val="none"/>
        </c:marker>
        <c:dLbl>
          <c:idx val="0"/>
          <c:spPr>
            <a:noFill/>
            <a:ln>
              <a:noFill/>
            </a:ln>
            <a:effectLst/>
          </c:spPr>
          <c:txPr>
            <a:bodyPr rot="0" spcFirstLastPara="1" vertOverflow="ellipsis" vert="horz" wrap="square" anchor="ctr" anchorCtr="1"/>
            <a:lstStyle/>
            <a:p>
              <a:pPr algn="ctr">
                <a:defRPr sz="1400" b="1"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2.6317724248620653E-2"/>
          <c:y val="2.2882075202556203E-2"/>
          <c:w val="0.92182460678244271"/>
          <c:h val="0.60946486648408082"/>
        </c:manualLayout>
      </c:layout>
      <c:lineChart>
        <c:grouping val="standard"/>
        <c:varyColors val="0"/>
        <c:ser>
          <c:idx val="0"/>
          <c:order val="0"/>
          <c:tx>
            <c:strRef>
              <c:f>CCAA!$B$50</c:f>
              <c:strCache>
                <c:ptCount val="1"/>
                <c:pt idx="0">
                  <c:v> Rentabilidad vivienda 80 m2  (sept-23) </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Pt>
            <c:idx val="2"/>
            <c:marker>
              <c:symbol val="circle"/>
              <c:size val="4"/>
              <c:spPr>
                <a:solidFill>
                  <a:schemeClr val="accent1"/>
                </a:solidFill>
                <a:ln w="9525" cap="flat" cmpd="sng" algn="ctr">
                  <a:solidFill>
                    <a:schemeClr val="accent1"/>
                  </a:solidFill>
                  <a:round/>
                </a:ln>
                <a:effectLst/>
              </c:spPr>
            </c:marker>
            <c:bubble3D val="0"/>
            <c:extLst>
              <c:ext xmlns:c16="http://schemas.microsoft.com/office/drawing/2014/chart" uri="{C3380CC4-5D6E-409C-BE32-E72D297353CC}">
                <c16:uniqueId val="{00000000-59B5-433D-848F-0446C82A7C74}"/>
              </c:ext>
            </c:extLst>
          </c:dPt>
          <c:dPt>
            <c:idx val="3"/>
            <c:marker>
              <c:symbol val="circle"/>
              <c:size val="4"/>
              <c:spPr>
                <a:solidFill>
                  <a:schemeClr val="accent1"/>
                </a:solidFill>
                <a:ln w="9525" cap="flat" cmpd="sng" algn="ctr">
                  <a:solidFill>
                    <a:schemeClr val="accent1"/>
                  </a:solidFill>
                  <a:round/>
                </a:ln>
                <a:effectLst/>
              </c:spPr>
            </c:marker>
            <c:bubble3D val="0"/>
            <c:extLst>
              <c:ext xmlns:c16="http://schemas.microsoft.com/office/drawing/2014/chart" uri="{C3380CC4-5D6E-409C-BE32-E72D297353CC}">
                <c16:uniqueId val="{00000001-59B5-433D-848F-0446C82A7C74}"/>
              </c:ext>
            </c:extLst>
          </c:dPt>
          <c:dLbls>
            <c:dLbl>
              <c:idx val="0"/>
              <c:layout>
                <c:manualLayout>
                  <c:x val="-2.2110552763819097E-2"/>
                  <c:y val="3.6231884057970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9B5-433D-848F-0446C82A7C74}"/>
                </c:ext>
              </c:extLst>
            </c:dLbl>
            <c:dLbl>
              <c:idx val="1"/>
              <c:layout>
                <c:manualLayout>
                  <c:x val="-2.8299924820955169E-2"/>
                  <c:y val="4.98188405797101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9B5-433D-848F-0446C82A7C74}"/>
                </c:ext>
              </c:extLst>
            </c:dLbl>
            <c:dLbl>
              <c:idx val="2"/>
              <c:layout>
                <c:manualLayout>
                  <c:x val="-2.660815890476002E-2"/>
                  <c:y val="6.3405797101449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B5-433D-848F-0446C82A7C74}"/>
                </c:ext>
              </c:extLst>
            </c:dLbl>
            <c:dLbl>
              <c:idx val="3"/>
              <c:layout>
                <c:manualLayout>
                  <c:x val="-3.4489138606417918E-2"/>
                  <c:y val="3.170289855072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B5-433D-848F-0446C82A7C74}"/>
                </c:ext>
              </c:extLst>
            </c:dLbl>
            <c:dLbl>
              <c:idx val="4"/>
              <c:layout>
                <c:manualLayout>
                  <c:x val="-2.4279824318442608E-2"/>
                  <c:y val="4.07608695652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9B5-433D-848F-0446C82A7C74}"/>
                </c:ext>
              </c:extLst>
            </c:dLbl>
            <c:dLbl>
              <c:idx val="5"/>
              <c:layout>
                <c:manualLayout>
                  <c:x val="-3.0150753768844258E-2"/>
                  <c:y val="4.0760869565217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9B5-433D-848F-0446C82A7C74}"/>
                </c:ext>
              </c:extLst>
            </c:dLbl>
            <c:dLbl>
              <c:idx val="6"/>
              <c:layout>
                <c:manualLayout>
                  <c:x val="-3.2160804020100506E-2"/>
                  <c:y val="4.076086956521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9B5-433D-848F-0446C82A7C74}"/>
                </c:ext>
              </c:extLst>
            </c:dLbl>
            <c:dLbl>
              <c:idx val="7"/>
              <c:layout>
                <c:manualLayout>
                  <c:x val="-2.4279824318442608E-2"/>
                  <c:y val="3.170289855072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9B5-433D-848F-0446C82A7C74}"/>
                </c:ext>
              </c:extLst>
            </c:dLbl>
            <c:dLbl>
              <c:idx val="8"/>
              <c:layout>
                <c:manualLayout>
                  <c:x val="-3.0628259407272582E-2"/>
                  <c:y val="4.528985507246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9B5-433D-848F-0446C82A7C74}"/>
                </c:ext>
              </c:extLst>
            </c:dLbl>
            <c:dLbl>
              <c:idx val="9"/>
              <c:layout>
                <c:manualLayout>
                  <c:x val="-2.6767142800617261E-2"/>
                  <c:y val="4.5289855072463768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layout>
                    <c:manualLayout>
                      <c:w val="4.7342697740671853E-2"/>
                      <c:h val="6.6870649321008793E-2"/>
                    </c:manualLayout>
                  </c15:layout>
                </c:ext>
                <c:ext xmlns:c16="http://schemas.microsoft.com/office/drawing/2014/chart" uri="{C3380CC4-5D6E-409C-BE32-E72D297353CC}">
                  <c16:uniqueId val="{0000001B-59B5-433D-848F-0446C82A7C74}"/>
                </c:ext>
              </c:extLst>
            </c:dLbl>
            <c:dLbl>
              <c:idx val="10"/>
              <c:layout>
                <c:manualLayout>
                  <c:x val="-3.2160804020100506E-2"/>
                  <c:y val="4.07608695652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9B5-433D-848F-0446C82A7C74}"/>
                </c:ext>
              </c:extLst>
            </c:dLbl>
            <c:dLbl>
              <c:idx val="11"/>
              <c:layout>
                <c:manualLayout>
                  <c:x val="-2.8299924820955096E-2"/>
                  <c:y val="4.5289855072463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9B5-433D-848F-0446C82A7C74}"/>
                </c:ext>
              </c:extLst>
            </c:dLbl>
            <c:dLbl>
              <c:idx val="12"/>
              <c:layout>
                <c:manualLayout>
                  <c:x val="-3.6499188857674274E-2"/>
                  <c:y val="4.5289855072463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9B5-433D-848F-0446C82A7C74}"/>
                </c:ext>
              </c:extLst>
            </c:dLbl>
            <c:dLbl>
              <c:idx val="13"/>
              <c:layout>
                <c:manualLayout>
                  <c:x val="-3.2160804020100506E-2"/>
                  <c:y val="4.5289855072463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9B5-433D-848F-0446C82A7C74}"/>
                </c:ext>
              </c:extLst>
            </c:dLbl>
            <c:dLbl>
              <c:idx val="14"/>
              <c:layout>
                <c:manualLayout>
                  <c:x val="-3.2160804020100651E-2"/>
                  <c:y val="3.170289855072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9B5-433D-848F-0446C82A7C74}"/>
                </c:ext>
              </c:extLst>
            </c:dLbl>
            <c:dLbl>
              <c:idx val="15"/>
              <c:layout>
                <c:manualLayout>
                  <c:x val="-3.0469038103905503E-2"/>
                  <c:y val="4.5289855072463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9B5-433D-848F-0446C82A7C74}"/>
                </c:ext>
              </c:extLst>
            </c:dLbl>
            <c:dLbl>
              <c:idx val="16"/>
              <c:layout>
                <c:manualLayout>
                  <c:x val="-3.0469038103905353E-2"/>
                  <c:y val="4.5289855072463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9B5-433D-848F-0446C82A7C74}"/>
                </c:ext>
              </c:extLst>
            </c:dLbl>
            <c:dLbl>
              <c:idx val="17"/>
              <c:layout>
                <c:manualLayout>
                  <c:x val="-7.8610124638236328E-3"/>
                  <c:y val="4.5289855072463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9B5-433D-848F-0446C82A7C7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CCAA!$A$51:$A$68</c:f>
              <c:strCache>
                <c:ptCount val="18"/>
                <c:pt idx="0">
                  <c:v>Navarra</c:v>
                </c:pt>
                <c:pt idx="1">
                  <c:v>Región de Murcia</c:v>
                </c:pt>
                <c:pt idx="2">
                  <c:v>Comunitat Valenciana</c:v>
                </c:pt>
                <c:pt idx="3">
                  <c:v>Castilla-La Mancha</c:v>
                </c:pt>
                <c:pt idx="4">
                  <c:v>España</c:v>
                </c:pt>
                <c:pt idx="5">
                  <c:v>Cataluña</c:v>
                </c:pt>
                <c:pt idx="6">
                  <c:v>Aragón</c:v>
                </c:pt>
                <c:pt idx="7">
                  <c:v>Extremadura</c:v>
                </c:pt>
                <c:pt idx="8">
                  <c:v>Castilla y León</c:v>
                </c:pt>
                <c:pt idx="9">
                  <c:v>La Rioja</c:v>
                </c:pt>
                <c:pt idx="10">
                  <c:v>Galicia</c:v>
                </c:pt>
                <c:pt idx="11">
                  <c:v>Cantabria</c:v>
                </c:pt>
                <c:pt idx="12">
                  <c:v>Asturias</c:v>
                </c:pt>
                <c:pt idx="13">
                  <c:v>Canarias</c:v>
                </c:pt>
                <c:pt idx="14">
                  <c:v>Andalucía</c:v>
                </c:pt>
                <c:pt idx="15">
                  <c:v>País Vasco</c:v>
                </c:pt>
                <c:pt idx="16">
                  <c:v>Madrid</c:v>
                </c:pt>
                <c:pt idx="17">
                  <c:v>Baleares</c:v>
                </c:pt>
              </c:strCache>
            </c:strRef>
          </c:cat>
          <c:val>
            <c:numRef>
              <c:f>CCAA!$B$51:$B$68</c:f>
              <c:numCache>
                <c:formatCode>0.0%</c:formatCode>
                <c:ptCount val="18"/>
                <c:pt idx="0">
                  <c:v>6.4860721428115151E-2</c:v>
                </c:pt>
                <c:pt idx="1">
                  <c:v>7.6039194492092954E-2</c:v>
                </c:pt>
                <c:pt idx="2">
                  <c:v>7.9666992912986567E-2</c:v>
                </c:pt>
                <c:pt idx="3">
                  <c:v>6.5493496557000777E-2</c:v>
                </c:pt>
                <c:pt idx="4">
                  <c:v>6.2196397443346894E-2</c:v>
                </c:pt>
                <c:pt idx="5">
                  <c:v>6.7766040617443318E-2</c:v>
                </c:pt>
                <c:pt idx="6">
                  <c:v>6.3265937633190675E-2</c:v>
                </c:pt>
                <c:pt idx="7">
                  <c:v>6.1379540153282237E-2</c:v>
                </c:pt>
                <c:pt idx="8">
                  <c:v>6.7738764811882263E-2</c:v>
                </c:pt>
                <c:pt idx="9">
                  <c:v>6.1398438878377301E-2</c:v>
                </c:pt>
                <c:pt idx="10">
                  <c:v>5.8428582375930627E-2</c:v>
                </c:pt>
                <c:pt idx="11">
                  <c:v>7.1906087067779817E-2</c:v>
                </c:pt>
                <c:pt idx="12">
                  <c:v>6.7826852100799251E-2</c:v>
                </c:pt>
                <c:pt idx="13">
                  <c:v>6.5839585755045976E-2</c:v>
                </c:pt>
                <c:pt idx="14">
                  <c:v>5.8481526845377441E-2</c:v>
                </c:pt>
                <c:pt idx="15">
                  <c:v>5.9905652569726069E-2</c:v>
                </c:pt>
                <c:pt idx="16">
                  <c:v>5.7209666617478457E-2</c:v>
                </c:pt>
                <c:pt idx="17">
                  <c:v>5.3122213372636083E-2</c:v>
                </c:pt>
              </c:numCache>
            </c:numRef>
          </c:val>
          <c:smooth val="0"/>
          <c:extLst>
            <c:ext xmlns:c16="http://schemas.microsoft.com/office/drawing/2014/chart" uri="{C3380CC4-5D6E-409C-BE32-E72D297353CC}">
              <c16:uniqueId val="{00000002-59B5-433D-848F-0446C82A7C74}"/>
            </c:ext>
          </c:extLst>
        </c:ser>
        <c:ser>
          <c:idx val="1"/>
          <c:order val="1"/>
          <c:tx>
            <c:strRef>
              <c:f>CCAA!$C$50</c:f>
              <c:strCache>
                <c:ptCount val="1"/>
                <c:pt idx="0">
                  <c:v> Rentabilidad vivienda compartida de 3 habitaciones (sept-23) </c:v>
                </c:pt>
              </c:strCache>
            </c:strRef>
          </c:tx>
          <c:spPr>
            <a:ln w="22225" cap="rnd" cmpd="sng" algn="ctr">
              <a:solidFill>
                <a:schemeClr val="bg1">
                  <a:lumMod val="50000"/>
                </a:schemeClr>
              </a:solidFill>
              <a:round/>
            </a:ln>
            <a:effectLst/>
          </c:spPr>
          <c:marker>
            <c:symbol val="circle"/>
            <c:size val="4"/>
            <c:spPr>
              <a:solidFill>
                <a:schemeClr val="bg1">
                  <a:lumMod val="50000"/>
                </a:schemeClr>
              </a:solidFill>
              <a:ln w="9525" cap="flat" cmpd="sng" algn="ctr">
                <a:solidFill>
                  <a:schemeClr val="bg1">
                    <a:lumMod val="50000"/>
                  </a:schemeClr>
                </a:solidFill>
                <a:round/>
              </a:ln>
              <a:effectLst/>
            </c:spPr>
          </c:marker>
          <c:dLbls>
            <c:dLbl>
              <c:idx val="0"/>
              <c:layout>
                <c:manualLayout>
                  <c:x val="-2.6130653266331662E-2"/>
                  <c:y val="-3.6231884057971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9B5-433D-848F-0446C82A7C74}"/>
                </c:ext>
              </c:extLst>
            </c:dLbl>
            <c:dLbl>
              <c:idx val="1"/>
              <c:layout>
                <c:manualLayout>
                  <c:x val="-2.6130653266331669E-2"/>
                  <c:y val="-4.07608695652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B5-433D-848F-0446C82A7C74}"/>
                </c:ext>
              </c:extLst>
            </c:dLbl>
            <c:dLbl>
              <c:idx val="2"/>
              <c:layout>
                <c:manualLayout>
                  <c:x val="-2.0100502512562814E-2"/>
                  <c:y val="-3.170289855072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B5-433D-848F-0446C82A7C74}"/>
                </c:ext>
              </c:extLst>
            </c:dLbl>
            <c:dLbl>
              <c:idx val="3"/>
              <c:layout>
                <c:manualLayout>
                  <c:x val="-2.6448937601392792E-2"/>
                  <c:y val="-4.076086956521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B5-433D-848F-0446C82A7C74}"/>
                </c:ext>
              </c:extLst>
            </c:dLbl>
            <c:dLbl>
              <c:idx val="4"/>
              <c:layout>
                <c:manualLayout>
                  <c:x val="-2.2110552763819132E-2"/>
                  <c:y val="-3.6231884057971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B5-433D-848F-0446C82A7C74}"/>
                </c:ext>
              </c:extLst>
            </c:dLbl>
            <c:dLbl>
              <c:idx val="5"/>
              <c:layout>
                <c:manualLayout>
                  <c:x val="-2.6130653266331658E-2"/>
                  <c:y val="-3.170289855072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B5-433D-848F-0446C82A7C74}"/>
                </c:ext>
              </c:extLst>
            </c:dLbl>
            <c:dLbl>
              <c:idx val="6"/>
              <c:layout>
                <c:manualLayout>
                  <c:x val="-2.6130653266331658E-2"/>
                  <c:y val="-4.076086956521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B5-433D-848F-0446C82A7C74}"/>
                </c:ext>
              </c:extLst>
            </c:dLbl>
            <c:dLbl>
              <c:idx val="7"/>
              <c:layout>
                <c:manualLayout>
                  <c:x val="-2.4120603015075376E-2"/>
                  <c:y val="-2.71739130434782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B5-433D-848F-0446C82A7C74}"/>
                </c:ext>
              </c:extLst>
            </c:dLbl>
            <c:dLbl>
              <c:idx val="8"/>
              <c:layout>
                <c:manualLayout>
                  <c:x val="-2.8140703517587941E-2"/>
                  <c:y val="-4.0760869565217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B5-433D-848F-0446C82A7C74}"/>
                </c:ext>
              </c:extLst>
            </c:dLbl>
            <c:dLbl>
              <c:idx val="9"/>
              <c:layout>
                <c:manualLayout>
                  <c:x val="-3.2160804020100506E-2"/>
                  <c:y val="-4.07608695652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9B5-433D-848F-0446C82A7C74}"/>
                </c:ext>
              </c:extLst>
            </c:dLbl>
            <c:dLbl>
              <c:idx val="10"/>
              <c:layout>
                <c:manualLayout>
                  <c:x val="-3.4330075574724013E-2"/>
                  <c:y val="-4.07608695652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9B5-433D-848F-0446C82A7C74}"/>
                </c:ext>
              </c:extLst>
            </c:dLbl>
            <c:dLbl>
              <c:idx val="11"/>
              <c:layout>
                <c:manualLayout>
                  <c:x val="-2.8299924820955096E-2"/>
                  <c:y val="-4.07608695652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9B5-433D-848F-0446C82A7C74}"/>
                </c:ext>
              </c:extLst>
            </c:dLbl>
            <c:dLbl>
              <c:idx val="12"/>
              <c:layout>
                <c:manualLayout>
                  <c:x val="-2.6130653266331658E-2"/>
                  <c:y val="-4.076086956521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9B5-433D-848F-0446C82A7C74}"/>
                </c:ext>
              </c:extLst>
            </c:dLbl>
            <c:dLbl>
              <c:idx val="13"/>
              <c:layout>
                <c:manualLayout>
                  <c:x val="-2.4279824318442608E-2"/>
                  <c:y val="-3.6231884057971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9B5-433D-848F-0446C82A7C74}"/>
                </c:ext>
              </c:extLst>
            </c:dLbl>
            <c:dLbl>
              <c:idx val="14"/>
              <c:layout>
                <c:manualLayout>
                  <c:x val="-2.4279824318442608E-2"/>
                  <c:y val="-3.6231884057971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9B5-433D-848F-0446C82A7C74}"/>
                </c:ext>
              </c:extLst>
            </c:dLbl>
            <c:dLbl>
              <c:idx val="15"/>
              <c:layout>
                <c:manualLayout>
                  <c:x val="-3.015075376884422E-2"/>
                  <c:y val="-3.6231884057971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9B5-433D-848F-0446C82A7C74}"/>
                </c:ext>
              </c:extLst>
            </c:dLbl>
            <c:dLbl>
              <c:idx val="16"/>
              <c:layout>
                <c:manualLayout>
                  <c:x val="-2.6130653266331658E-2"/>
                  <c:y val="-3.6231884057971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9B5-433D-848F-0446C82A7C74}"/>
                </c:ext>
              </c:extLst>
            </c:dLbl>
            <c:dLbl>
              <c:idx val="17"/>
              <c:layout>
                <c:manualLayout>
                  <c:x val="-6.2674072681329924E-3"/>
                  <c:y val="-4.0760691258701361E-2"/>
                </c:manualLayout>
              </c:layout>
              <c:showLegendKey val="0"/>
              <c:showVal val="1"/>
              <c:showCatName val="0"/>
              <c:showSerName val="0"/>
              <c:showPercent val="0"/>
              <c:showBubbleSize val="0"/>
              <c:extLst>
                <c:ext xmlns:c15="http://schemas.microsoft.com/office/drawing/2012/chart" uri="{CE6537A1-D6FC-4f65-9D91-7224C49458BB}">
                  <c15:layout>
                    <c:manualLayout>
                      <c:w val="5.7632137089759561E-2"/>
                      <c:h val="5.781267830651602E-2"/>
                    </c:manualLayout>
                  </c15:layout>
                </c:ext>
                <c:ext xmlns:c16="http://schemas.microsoft.com/office/drawing/2014/chart" uri="{C3380CC4-5D6E-409C-BE32-E72D297353CC}">
                  <c16:uniqueId val="{00000014-59B5-433D-848F-0446C82A7C7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CCAA!$A$51:$A$68</c:f>
              <c:strCache>
                <c:ptCount val="18"/>
                <c:pt idx="0">
                  <c:v>Navarra</c:v>
                </c:pt>
                <c:pt idx="1">
                  <c:v>Región de Murcia</c:v>
                </c:pt>
                <c:pt idx="2">
                  <c:v>Comunitat Valenciana</c:v>
                </c:pt>
                <c:pt idx="3">
                  <c:v>Castilla-La Mancha</c:v>
                </c:pt>
                <c:pt idx="4">
                  <c:v>España</c:v>
                </c:pt>
                <c:pt idx="5">
                  <c:v>Cataluña</c:v>
                </c:pt>
                <c:pt idx="6">
                  <c:v>Aragón</c:v>
                </c:pt>
                <c:pt idx="7">
                  <c:v>Extremadura</c:v>
                </c:pt>
                <c:pt idx="8">
                  <c:v>Castilla y León</c:v>
                </c:pt>
                <c:pt idx="9">
                  <c:v>La Rioja</c:v>
                </c:pt>
                <c:pt idx="10">
                  <c:v>Galicia</c:v>
                </c:pt>
                <c:pt idx="11">
                  <c:v>Cantabria</c:v>
                </c:pt>
                <c:pt idx="12">
                  <c:v>Asturias</c:v>
                </c:pt>
                <c:pt idx="13">
                  <c:v>Canarias</c:v>
                </c:pt>
                <c:pt idx="14">
                  <c:v>Andalucía</c:v>
                </c:pt>
                <c:pt idx="15">
                  <c:v>País Vasco</c:v>
                </c:pt>
                <c:pt idx="16">
                  <c:v>Madrid</c:v>
                </c:pt>
                <c:pt idx="17">
                  <c:v>Baleares</c:v>
                </c:pt>
              </c:strCache>
            </c:strRef>
          </c:cat>
          <c:val>
            <c:numRef>
              <c:f>CCAA!$C$51:$C$68</c:f>
              <c:numCache>
                <c:formatCode>0.0%</c:formatCode>
                <c:ptCount val="18"/>
                <c:pt idx="0">
                  <c:v>0.12221749961918892</c:v>
                </c:pt>
                <c:pt idx="1">
                  <c:v>0.10247667833728881</c:v>
                </c:pt>
                <c:pt idx="2">
                  <c:v>9.8595863353890784E-2</c:v>
                </c:pt>
                <c:pt idx="3">
                  <c:v>9.4923488905891362E-2</c:v>
                </c:pt>
                <c:pt idx="4">
                  <c:v>9.4867635095874495E-2</c:v>
                </c:pt>
                <c:pt idx="5">
                  <c:v>9.4501554517190597E-2</c:v>
                </c:pt>
                <c:pt idx="6">
                  <c:v>9.326996619511084E-2</c:v>
                </c:pt>
                <c:pt idx="7">
                  <c:v>9.039361879373542E-2</c:v>
                </c:pt>
                <c:pt idx="8">
                  <c:v>8.0914855567083485E-2</c:v>
                </c:pt>
                <c:pt idx="9">
                  <c:v>8.0037902524198595E-2</c:v>
                </c:pt>
                <c:pt idx="10">
                  <c:v>7.9560311949210996E-2</c:v>
                </c:pt>
                <c:pt idx="11">
                  <c:v>7.954610881873142E-2</c:v>
                </c:pt>
                <c:pt idx="12">
                  <c:v>7.9349167746193147E-2</c:v>
                </c:pt>
                <c:pt idx="13">
                  <c:v>7.8366479974638067E-2</c:v>
                </c:pt>
                <c:pt idx="14">
                  <c:v>7.6073272453836494E-2</c:v>
                </c:pt>
                <c:pt idx="15">
                  <c:v>7.1299842754282874E-2</c:v>
                </c:pt>
                <c:pt idx="16">
                  <c:v>6.661350556772648E-2</c:v>
                </c:pt>
                <c:pt idx="17">
                  <c:v>5.8140722531957734E-2</c:v>
                </c:pt>
              </c:numCache>
            </c:numRef>
          </c:val>
          <c:smooth val="0"/>
          <c:extLst>
            <c:ext xmlns:c16="http://schemas.microsoft.com/office/drawing/2014/chart" uri="{C3380CC4-5D6E-409C-BE32-E72D297353CC}">
              <c16:uniqueId val="{00000003-59B5-433D-848F-0446C82A7C74}"/>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87936352"/>
        <c:axId val="663677872"/>
      </c:lineChart>
      <c:catAx>
        <c:axId val="1587936352"/>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es-ES"/>
          </a:p>
        </c:txPr>
        <c:crossAx val="663677872"/>
        <c:crosses val="autoZero"/>
        <c:auto val="1"/>
        <c:lblAlgn val="ctr"/>
        <c:lblOffset val="100"/>
        <c:tickLblSkip val="1"/>
        <c:noMultiLvlLbl val="0"/>
      </c:catAx>
      <c:valAx>
        <c:axId val="663677872"/>
        <c:scaling>
          <c:orientation val="minMax"/>
        </c:scaling>
        <c:delete val="1"/>
        <c:axPos val="r"/>
        <c:numFmt formatCode="0.0%" sourceLinked="1"/>
        <c:majorTickMark val="none"/>
        <c:minorTickMark val="none"/>
        <c:tickLblPos val="nextTo"/>
        <c:crossAx val="1587936352"/>
        <c:crosses val="max"/>
        <c:crossBetween val="midCat"/>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4.9999920864163348E-2"/>
          <c:y val="0.91545596542280039"/>
          <c:w val="0.9"/>
          <c:h val="7.095707805546046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s-ES"/>
        </a:p>
      </c:txPr>
    </c:legend>
    <c:plotVisOnly val="1"/>
    <c:dispBlanksAs val="gap"/>
    <c:showDLblsOverMax val="0"/>
    <c:extLst/>
  </c:chart>
  <c:spPr>
    <a:solidFill>
      <a:schemeClr val="lt1"/>
    </a:solidFill>
    <a:ln w="9525" cap="flat" cmpd="sng" algn="ctr">
      <a:noFill/>
      <a:round/>
    </a:ln>
    <a:effectLst/>
  </c:spPr>
  <c:txPr>
    <a:bodyPr/>
    <a:lstStyle/>
    <a:p>
      <a:pPr>
        <a:defRPr/>
      </a:pPr>
      <a:endParaRPr lang="es-ES"/>
    </a:p>
  </c:txPr>
  <c:externalData r:id="rId6">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kQTqVAp17jS796ECWMeUNhX5Q==">CgMxLjAyCGguZ2pkZ3hzMgloLjMwajB6bGwyCWguMWZvYjl0ZTIJaC4yczhleW8xOAByITEwWDR0dGloZjFIRFl5Tmp4T0NsVmE1RUtQNWJhNFRlRQ==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1980</Words>
  <Characters>10894</Characters>
  <Application>Microsoft Office Word</Application>
  <DocSecurity>0</DocSecurity>
  <Lines>90</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4</cp:revision>
  <dcterms:created xsi:type="dcterms:W3CDTF">2023-09-20T20:18:00Z</dcterms:created>
  <dcterms:modified xsi:type="dcterms:W3CDTF">2023-09-25T19:45:00Z</dcterms:modified>
</cp:coreProperties>
</file>