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4D87" w14:textId="77777777" w:rsidR="004A2F79" w:rsidRDefault="00000000">
      <w:pPr>
        <w:ind w:right="-574"/>
      </w:pPr>
      <w:bookmarkStart w:id="0" w:name="_heading=h.gjdgxs" w:colFirst="0" w:colLast="0"/>
      <w:bookmarkEnd w:id="0"/>
      <w:r>
        <w:rPr>
          <w:noProof/>
        </w:rPr>
        <w:drawing>
          <wp:anchor distT="0" distB="0" distL="114300" distR="114300" simplePos="0" relativeHeight="251658240" behindDoc="0" locked="0" layoutInCell="1" hidden="0" allowOverlap="1" wp14:anchorId="5C0C0C8E" wp14:editId="554A8AE9">
            <wp:simplePos x="0" y="0"/>
            <wp:positionH relativeFrom="column">
              <wp:posOffset>-1078864</wp:posOffset>
            </wp:positionH>
            <wp:positionV relativeFrom="paragraph">
              <wp:posOffset>-350452</wp:posOffset>
            </wp:positionV>
            <wp:extent cx="7581265" cy="1019175"/>
            <wp:effectExtent l="0" t="0" r="0" b="0"/>
            <wp:wrapNone/>
            <wp:docPr id="20577019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8FAEF3D" w14:textId="77777777" w:rsidR="004A2F79" w:rsidRDefault="004A2F79">
      <w:pPr>
        <w:ind w:right="-574"/>
        <w:jc w:val="right"/>
        <w:rPr>
          <w:rFonts w:ascii="National" w:eastAsia="National" w:hAnsi="National" w:cs="National"/>
          <w:color w:val="303AB2"/>
          <w:sz w:val="36"/>
          <w:szCs w:val="36"/>
        </w:rPr>
      </w:pPr>
    </w:p>
    <w:p w14:paraId="1DB8BDAC" w14:textId="77777777" w:rsidR="004A2F79" w:rsidRDefault="004A2F79">
      <w:pPr>
        <w:ind w:right="-574"/>
        <w:jc w:val="right"/>
        <w:rPr>
          <w:rFonts w:ascii="National" w:eastAsia="National" w:hAnsi="National" w:cs="National"/>
          <w:color w:val="303AB2"/>
          <w:sz w:val="36"/>
          <w:szCs w:val="36"/>
        </w:rPr>
      </w:pPr>
    </w:p>
    <w:p w14:paraId="53512009" w14:textId="77777777" w:rsidR="004A2F79" w:rsidRDefault="004A2F79">
      <w:pPr>
        <w:ind w:right="-574"/>
        <w:rPr>
          <w:rFonts w:ascii="National" w:eastAsia="National" w:hAnsi="National" w:cs="National"/>
          <w:color w:val="303AB2"/>
          <w:sz w:val="16"/>
          <w:szCs w:val="16"/>
        </w:rPr>
      </w:pPr>
    </w:p>
    <w:p w14:paraId="6A46EE15" w14:textId="77777777" w:rsidR="004A2F79" w:rsidRDefault="00000000">
      <w:pPr>
        <w:spacing w:line="276" w:lineRule="auto"/>
        <w:ind w:right="-574"/>
        <w:jc w:val="center"/>
        <w:rPr>
          <w:rFonts w:ascii="National" w:eastAsia="National" w:hAnsi="National" w:cs="National"/>
          <w:b/>
          <w:color w:val="1DBDC5"/>
          <w:sz w:val="38"/>
          <w:szCs w:val="38"/>
        </w:rPr>
      </w:pPr>
      <w:bookmarkStart w:id="1" w:name="_heading=h.30j0zll" w:colFirst="0" w:colLast="0"/>
      <w:bookmarkEnd w:id="1"/>
      <w:r>
        <w:rPr>
          <w:rFonts w:ascii="National" w:eastAsia="National" w:hAnsi="National" w:cs="National"/>
          <w:b/>
          <w:color w:val="1DBDC5"/>
          <w:sz w:val="38"/>
          <w:szCs w:val="38"/>
        </w:rPr>
        <w:t xml:space="preserve">ANÁLISIS RENTABILIDAD VIVIENDA </w:t>
      </w:r>
    </w:p>
    <w:p w14:paraId="3E287C49" w14:textId="77777777" w:rsidR="004A2F79" w:rsidRDefault="00000000">
      <w:pPr>
        <w:ind w:right="-574"/>
        <w:jc w:val="center"/>
        <w:rPr>
          <w:rFonts w:ascii="National" w:eastAsia="National" w:hAnsi="National" w:cs="National"/>
          <w:b/>
          <w:color w:val="303AB2"/>
          <w:sz w:val="42"/>
          <w:szCs w:val="42"/>
        </w:rPr>
      </w:pPr>
      <w:r>
        <w:rPr>
          <w:rFonts w:ascii="National" w:eastAsia="National" w:hAnsi="National" w:cs="National"/>
          <w:b/>
          <w:color w:val="303AB2"/>
          <w:sz w:val="42"/>
          <w:szCs w:val="42"/>
        </w:rPr>
        <w:t xml:space="preserve">La rentabilidad de una vivienda compartida es de un 9,5% frente al 6,2% del alquiler tradicional </w:t>
      </w:r>
    </w:p>
    <w:p w14:paraId="3234E280" w14:textId="77777777" w:rsidR="004A2F79" w:rsidRDefault="004A2F79">
      <w:pPr>
        <w:ind w:right="-574"/>
        <w:jc w:val="center"/>
        <w:rPr>
          <w:rFonts w:ascii="National" w:eastAsia="National" w:hAnsi="National" w:cs="National"/>
          <w:b/>
          <w:color w:val="303AB2"/>
          <w:sz w:val="16"/>
          <w:szCs w:val="16"/>
        </w:rPr>
      </w:pPr>
    </w:p>
    <w:p w14:paraId="31E20425" w14:textId="77777777" w:rsidR="004A2F79"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Alquilar una vivienda compartida en España es un 3,3% más rentable que alquilarla a un único inquilino</w:t>
      </w:r>
    </w:p>
    <w:p w14:paraId="46C5C965" w14:textId="77777777" w:rsidR="004A2F79"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todas las comunidades autónomas la rentabilidad de una vivienda es superior si se alquila por habitaciones </w:t>
      </w:r>
    </w:p>
    <w:p w14:paraId="2CCC0C3F" w14:textId="77777777" w:rsidR="004A2F79"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Navarra es la comunidad con la brecha más ancha entre rentabilidades, 6,5% versus el 12,2% de la vivienda alquilada por habitaciones</w:t>
      </w:r>
    </w:p>
    <w:p w14:paraId="2AFE9D96" w14:textId="77777777" w:rsidR="004A2F79"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b/>
          <w:color w:val="000000"/>
        </w:rPr>
      </w:pPr>
      <w:hyperlink r:id="rId9">
        <w:r>
          <w:rPr>
            <w:rFonts w:ascii="Open Sans" w:eastAsia="Open Sans" w:hAnsi="Open Sans" w:cs="Open Sans"/>
            <w:b/>
            <w:color w:val="0000FF"/>
            <w:u w:val="single"/>
          </w:rPr>
          <w:t>Aquí se puede ver una valoración en vídeo de la directora de Estudios</w:t>
        </w:r>
      </w:hyperlink>
    </w:p>
    <w:p w14:paraId="04F04F06" w14:textId="77777777" w:rsidR="004A2F79" w:rsidRDefault="004A2F79">
      <w:pPr>
        <w:spacing w:line="276" w:lineRule="auto"/>
        <w:ind w:right="-574"/>
        <w:rPr>
          <w:rFonts w:ascii="Open Sans Light" w:eastAsia="Open Sans Light" w:hAnsi="Open Sans Light" w:cs="Open Sans Light"/>
          <w:color w:val="303AB2"/>
        </w:rPr>
      </w:pPr>
    </w:p>
    <w:p w14:paraId="12145041" w14:textId="77777777" w:rsidR="004A2F79" w:rsidRDefault="00000000">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26 de septiembre de 2023</w:t>
      </w:r>
    </w:p>
    <w:p w14:paraId="3057947F" w14:textId="77777777" w:rsidR="004A2F79"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rentabilidad en España de una vivienda de 80 metros cuadrados en septiembre se sitúa en un 6,2% y la de una vivienda compartida de tres habitaciones en un 9,5%, es decir, una diferencia del 3,3% según el estudio de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La rentabilidad de la vivienda en España en 2023”,</w:t>
      </w:r>
      <w:r>
        <w:rPr>
          <w:rFonts w:ascii="Open Sans" w:eastAsia="Open Sans" w:hAnsi="Open Sans" w:cs="Open Sans"/>
          <w:color w:val="000000"/>
          <w:sz w:val="22"/>
          <w:szCs w:val="22"/>
        </w:rPr>
        <w:t xml:space="preserve"> basado en el análisis de los precios de la vivienda en venta y alquiler de septiembre de 2023 por el portal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w:t>
      </w:r>
    </w:p>
    <w:p w14:paraId="393D049D" w14:textId="77777777" w:rsidR="004A2F79"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Rentabilidad CC.AA. de vivienda de 80 m</w:t>
      </w:r>
      <w:r>
        <w:rPr>
          <w:rFonts w:ascii="Open Sans Light" w:eastAsia="Open Sans Light" w:hAnsi="Open Sans Light" w:cs="Open Sans Light"/>
          <w:b/>
          <w:color w:val="303AB2"/>
          <w:vertAlign w:val="superscript"/>
        </w:rPr>
        <w:t>2</w:t>
      </w:r>
      <w:r>
        <w:rPr>
          <w:rFonts w:ascii="Open Sans Light" w:eastAsia="Open Sans Light" w:hAnsi="Open Sans Light" w:cs="Open Sans Light"/>
          <w:b/>
          <w:color w:val="303AB2"/>
        </w:rPr>
        <w:t xml:space="preserve"> completa vs alquiler de 3 habitaciones </w:t>
      </w:r>
      <w:r>
        <w:rPr>
          <w:rFonts w:ascii="Times New Roman" w:eastAsia="Times New Roman" w:hAnsi="Times New Roman" w:cs="Times New Roman"/>
          <w:noProof/>
          <w:color w:val="000000"/>
        </w:rPr>
        <w:drawing>
          <wp:inline distT="0" distB="0" distL="0" distR="0" wp14:anchorId="27BFF8FE" wp14:editId="0ABFF4C7">
            <wp:extent cx="5806440" cy="2948940"/>
            <wp:effectExtent l="0" t="0" r="0" b="0"/>
            <wp:docPr id="2057701971" name="Gráfico 20577019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1DE40F" w14:textId="77304EDB" w:rsidR="009F3B3D" w:rsidRDefault="009F3B3D" w:rsidP="009F3B3D">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“Los datos indican que la rentabilidad de alquilar una vivienda por habitaciones es casi un 50% superior a alquilar una vivienda entera. Es por ello, que a raíz de la aprobación de la ley de vivienda, se observa cómo cada vez más propietarios buscan escapar de la limitación de los precios y exploran opciones para seguir obteniendo altos rendimientos. En estos momentos el precio de una habitación en alquiler ronda los 445€ de media, mientras que una vivienda entera de unos 80 m2, se encuentra alrededor de los 900 euros. Si el inmueble cuenta con tres habitaciones, la rentabilidad bruta superaría a la del alquiler convencional. Es una de las prácticas que más están aumentando, debido a que la demanda de habitaciones es cada vez mayor, ya que los inquilinos no pueden acceder a los precios de una vivienda entera y los propietarios están cambiando a esta modalidad para aumentar la rentabilidad”, comenta María Matos, directora de estudios y portavoz de </w:t>
      </w:r>
      <w:hyperlink r:id="rId12" w:history="1">
        <w:r w:rsidRPr="009F3B3D">
          <w:rPr>
            <w:rStyle w:val="Hipervnculo"/>
            <w:rFonts w:ascii="Open Sans" w:eastAsia="Open Sans" w:hAnsi="Open Sans" w:cs="Open Sans"/>
            <w:sz w:val="22"/>
            <w:szCs w:val="22"/>
          </w:rPr>
          <w:t>Fotocasa</w:t>
        </w:r>
      </w:hyperlink>
      <w:r>
        <w:rPr>
          <w:rFonts w:ascii="Open Sans" w:eastAsia="Open Sans" w:hAnsi="Open Sans" w:cs="Open Sans"/>
          <w:sz w:val="22"/>
          <w:szCs w:val="22"/>
        </w:rPr>
        <w:t>.</w:t>
      </w:r>
    </w:p>
    <w:p w14:paraId="74E6DD90" w14:textId="77777777" w:rsidR="004A2F79" w:rsidRDefault="00000000">
      <w:pPr>
        <w:pBdr>
          <w:top w:val="nil"/>
          <w:left w:val="nil"/>
          <w:bottom w:val="nil"/>
          <w:right w:val="nil"/>
          <w:between w:val="nil"/>
        </w:pBdr>
        <w:shd w:val="clear" w:color="auto" w:fill="FFFFFF"/>
        <w:spacing w:before="280" w:after="280" w:line="276" w:lineRule="auto"/>
        <w:ind w:right="-574"/>
        <w:jc w:val="center"/>
        <w:rPr>
          <w:rFonts w:ascii="Open Sans Light" w:eastAsia="Open Sans Light" w:hAnsi="Open Sans Light" w:cs="Open Sans Light"/>
          <w:b/>
          <w:color w:val="303AB2"/>
          <w:u w:val="single"/>
        </w:rPr>
      </w:pPr>
      <w:r>
        <w:rPr>
          <w:rFonts w:ascii="Open Sans Light" w:eastAsia="Open Sans Light" w:hAnsi="Open Sans Light" w:cs="Open Sans Light"/>
          <w:b/>
          <w:color w:val="303AB2"/>
          <w:u w:val="single"/>
        </w:rPr>
        <w:t>Declaraciones de María Matos, directora de Estudios de Fotocasa</w:t>
      </w:r>
    </w:p>
    <w:p w14:paraId="57CED80B" w14:textId="77777777" w:rsidR="004A2F79"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Times New Roman" w:eastAsia="Times New Roman" w:hAnsi="Times New Roman" w:cs="Times New Roman"/>
          <w:noProof/>
          <w:color w:val="000000"/>
        </w:rPr>
        <w:drawing>
          <wp:inline distT="0" distB="0" distL="0" distR="0" wp14:anchorId="011E3B3B" wp14:editId="7FD2FE1A">
            <wp:extent cx="5682252" cy="3208887"/>
            <wp:effectExtent l="0" t="0" r="0" b="0"/>
            <wp:docPr id="2057701973" name="image2.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nterfaz de usuario gráfica, Aplicación&#10;&#10;Descripción generada automáticamente"/>
                    <pic:cNvPicPr preferRelativeResize="0"/>
                  </pic:nvPicPr>
                  <pic:blipFill>
                    <a:blip r:embed="rId13"/>
                    <a:srcRect/>
                    <a:stretch>
                      <a:fillRect/>
                    </a:stretch>
                  </pic:blipFill>
                  <pic:spPr>
                    <a:xfrm>
                      <a:off x="0" y="0"/>
                      <a:ext cx="5682252" cy="3208887"/>
                    </a:xfrm>
                    <a:prstGeom prst="rect">
                      <a:avLst/>
                    </a:prstGeom>
                    <a:ln/>
                  </pic:spPr>
                </pic:pic>
              </a:graphicData>
            </a:graphic>
          </wp:inline>
        </w:drawing>
      </w:r>
    </w:p>
    <w:p w14:paraId="03F91505" w14:textId="77777777" w:rsidR="0065097B" w:rsidRDefault="0065097B">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p>
    <w:p w14:paraId="35430C37" w14:textId="6A4F6C42" w:rsidR="004A2F79"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Por Comunidad Autónoma</w:t>
      </w:r>
    </w:p>
    <w:p w14:paraId="68387B3C" w14:textId="77777777" w:rsidR="004A2F79"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analizamos ambos modelos de vivienda (una vivienda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y una vivienda de tres habitaciones), vemos que las rentabilidades que da la misma vivienda son totalmente diferentes en ambos casos. Así, vemos que en la comunidad de Navarra la rentabilidad de una vivienda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es 6,5%, frente a los 12,2% de rentabilidad que se obtiene si se alquila la misma vivienda por habitaciones (es decir, 5,7 puntos de diferencia entre ambas).</w:t>
      </w:r>
    </w:p>
    <w:p w14:paraId="59DCA428" w14:textId="77777777" w:rsidR="004A2F79"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De esta manera, el orden de la rentabilidad de una vivienda es:</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Comunitat Valenciana con 8,0% (9,9% vivienda/3 hab.), Región de Murcia con 7,6% (10,2% vivienda/3 hab.), Cantabria con 7,2% (8,0% vivienda/3 hab.), Asturias con 6,8% (7,9% vivienda/3 hab.), Cataluña con 6,8% (9,5% vivienda/3 hab.), Castilla y León con 6,8% (8,1% vivienda/3 hab.), Canarias con 6,6% (7,8% vivienda/3 hab.), Castilla-La Mancha con 6,5% (9,5% vivienda/3 hab.), Navarra con 6,5% (12,2% vivienda/3 hab.), Aragón con 6,3% (9,3% vivienda/3 hab.), España con 6,2% (9,5% vivienda/3 hab.), La Rioja con 6,1% (8,0% vivienda/3 hab.), Extremadura con 6,1% (9,0% vivienda/3 hab.), País Vasco con 6,0% (7,1% vivienda/3 hab.), Andalucía con 5,8% (7,6% vivienda/3 hab.), Galicia 5,8% con (8,0% vivienda/3 hab.), Madrid con 5,7% (6,7% vivienda/3 hab.) y Baleares con 5,3% (5,8% vivienda/3 hab.).</w:t>
      </w:r>
    </w:p>
    <w:p w14:paraId="0E5C92C7" w14:textId="77777777" w:rsidR="004A2F79"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u w:val="single"/>
        </w:rPr>
        <w:t>Tabla por CCAA</w:t>
      </w:r>
      <w:r>
        <w:rPr>
          <w:rFonts w:ascii="Open Sans Light" w:eastAsia="Open Sans Light" w:hAnsi="Open Sans Light" w:cs="Open Sans Light"/>
          <w:b/>
          <w:color w:val="303AB2"/>
        </w:rPr>
        <w:t>: Rentabilidad de vivienda de 80 m</w:t>
      </w:r>
      <w:r>
        <w:rPr>
          <w:rFonts w:ascii="Open Sans Light" w:eastAsia="Open Sans Light" w:hAnsi="Open Sans Light" w:cs="Open Sans Light"/>
          <w:b/>
          <w:color w:val="303AB2"/>
          <w:vertAlign w:val="superscript"/>
        </w:rPr>
        <w:t>2</w:t>
      </w:r>
      <w:r>
        <w:rPr>
          <w:rFonts w:ascii="Open Sans Light" w:eastAsia="Open Sans Light" w:hAnsi="Open Sans Light" w:cs="Open Sans Light"/>
          <w:b/>
          <w:color w:val="303AB2"/>
        </w:rPr>
        <w:t xml:space="preserve"> completa vs alquiler de 3 habitaciones</w:t>
      </w:r>
    </w:p>
    <w:tbl>
      <w:tblPr>
        <w:tblStyle w:val="a"/>
        <w:tblW w:w="906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87"/>
        <w:gridCol w:w="2020"/>
        <w:gridCol w:w="2659"/>
        <w:gridCol w:w="1701"/>
      </w:tblGrid>
      <w:tr w:rsidR="004A2F79" w14:paraId="737450AB" w14:textId="77777777" w:rsidTr="004A2F79">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687" w:type="dxa"/>
            <w:vAlign w:val="center"/>
          </w:tcPr>
          <w:p w14:paraId="1077A4AE" w14:textId="77777777" w:rsidR="004A2F79" w:rsidRDefault="00000000">
            <w:pPr>
              <w:rPr>
                <w:rFonts w:ascii="Open Sans" w:eastAsia="Open Sans" w:hAnsi="Open Sans" w:cs="Open Sans"/>
                <w:sz w:val="22"/>
                <w:szCs w:val="22"/>
              </w:rPr>
            </w:pPr>
            <w:r>
              <w:rPr>
                <w:rFonts w:ascii="Open Sans" w:eastAsia="Open Sans" w:hAnsi="Open Sans" w:cs="Open Sans"/>
                <w:b w:val="0"/>
                <w:sz w:val="22"/>
                <w:szCs w:val="22"/>
              </w:rPr>
              <w:t>CCAA</w:t>
            </w:r>
          </w:p>
        </w:tc>
        <w:tc>
          <w:tcPr>
            <w:tcW w:w="2020" w:type="dxa"/>
            <w:vAlign w:val="center"/>
          </w:tcPr>
          <w:p w14:paraId="58F551A8" w14:textId="77777777" w:rsidR="004A2F79"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Rentabilidad vivienda 80 m</w:t>
            </w:r>
            <w:r>
              <w:rPr>
                <w:rFonts w:ascii="Open Sans" w:eastAsia="Open Sans" w:hAnsi="Open Sans" w:cs="Open Sans"/>
                <w:b w:val="0"/>
                <w:sz w:val="22"/>
                <w:szCs w:val="22"/>
                <w:vertAlign w:val="superscript"/>
              </w:rPr>
              <w:t>2</w:t>
            </w:r>
            <w:r>
              <w:rPr>
                <w:rFonts w:ascii="Open Sans" w:eastAsia="Open Sans" w:hAnsi="Open Sans" w:cs="Open Sans"/>
                <w:b w:val="0"/>
                <w:sz w:val="22"/>
                <w:szCs w:val="22"/>
              </w:rPr>
              <w:t xml:space="preserve"> (sept-23)</w:t>
            </w:r>
          </w:p>
        </w:tc>
        <w:tc>
          <w:tcPr>
            <w:tcW w:w="2659" w:type="dxa"/>
            <w:vAlign w:val="center"/>
          </w:tcPr>
          <w:p w14:paraId="564A8331" w14:textId="77777777" w:rsidR="004A2F79"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Rentabilidad vivienda compartida de 3 habitaciones (sept-23)</w:t>
            </w:r>
          </w:p>
        </w:tc>
        <w:tc>
          <w:tcPr>
            <w:tcW w:w="1701" w:type="dxa"/>
            <w:vAlign w:val="center"/>
          </w:tcPr>
          <w:p w14:paraId="0397D934" w14:textId="77777777" w:rsidR="004A2F79"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i/>
                <w:sz w:val="22"/>
                <w:szCs w:val="22"/>
              </w:rPr>
            </w:pPr>
            <w:r>
              <w:rPr>
                <w:rFonts w:ascii="Open Sans" w:eastAsia="Open Sans" w:hAnsi="Open Sans" w:cs="Open Sans"/>
                <w:b w:val="0"/>
                <w:sz w:val="22"/>
                <w:szCs w:val="22"/>
              </w:rPr>
              <w:t>Diferencia punto porcentual</w:t>
            </w:r>
          </w:p>
        </w:tc>
      </w:tr>
      <w:tr w:rsidR="004A2F79" w14:paraId="0D6162CE" w14:textId="77777777" w:rsidTr="004A2F7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7" w:type="dxa"/>
            <w:vAlign w:val="bottom"/>
          </w:tcPr>
          <w:p w14:paraId="5047937A" w14:textId="77777777" w:rsidR="004A2F79"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020" w:type="dxa"/>
            <w:vAlign w:val="bottom"/>
          </w:tcPr>
          <w:p w14:paraId="64F183C3"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2659" w:type="dxa"/>
            <w:vAlign w:val="bottom"/>
          </w:tcPr>
          <w:p w14:paraId="2058C4E1"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12,2%</w:t>
            </w:r>
          </w:p>
        </w:tc>
        <w:tc>
          <w:tcPr>
            <w:tcW w:w="1701" w:type="dxa"/>
            <w:vAlign w:val="bottom"/>
          </w:tcPr>
          <w:p w14:paraId="0885BAF1"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5,7</w:t>
            </w:r>
          </w:p>
        </w:tc>
      </w:tr>
      <w:tr w:rsidR="004A2F79" w14:paraId="5E5CB16B" w14:textId="77777777" w:rsidTr="004A2F79">
        <w:trPr>
          <w:trHeight w:val="257"/>
        </w:trPr>
        <w:tc>
          <w:tcPr>
            <w:cnfStyle w:val="001000000000" w:firstRow="0" w:lastRow="0" w:firstColumn="1" w:lastColumn="0" w:oddVBand="0" w:evenVBand="0" w:oddHBand="0" w:evenHBand="0" w:firstRowFirstColumn="0" w:firstRowLastColumn="0" w:lastRowFirstColumn="0" w:lastRowLastColumn="0"/>
            <w:tcW w:w="2687" w:type="dxa"/>
            <w:shd w:val="clear" w:color="auto" w:fill="FFC000"/>
            <w:vAlign w:val="bottom"/>
          </w:tcPr>
          <w:p w14:paraId="6C18359A" w14:textId="77777777" w:rsidR="004A2F79" w:rsidRDefault="00000000">
            <w:pPr>
              <w:rPr>
                <w:rFonts w:ascii="Open Sans" w:eastAsia="Open Sans" w:hAnsi="Open Sans" w:cs="Open Sans"/>
                <w:color w:val="000000"/>
                <w:sz w:val="22"/>
                <w:szCs w:val="22"/>
              </w:rPr>
            </w:pPr>
            <w:r>
              <w:rPr>
                <w:rFonts w:ascii="Open Sans" w:eastAsia="Open Sans" w:hAnsi="Open Sans" w:cs="Open Sans"/>
                <w:b w:val="0"/>
                <w:color w:val="000000"/>
                <w:sz w:val="22"/>
                <w:szCs w:val="22"/>
              </w:rPr>
              <w:t>España</w:t>
            </w:r>
          </w:p>
        </w:tc>
        <w:tc>
          <w:tcPr>
            <w:tcW w:w="2020" w:type="dxa"/>
            <w:shd w:val="clear" w:color="auto" w:fill="FFC000"/>
            <w:vAlign w:val="bottom"/>
          </w:tcPr>
          <w:p w14:paraId="77CD3AB2"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6,2%</w:t>
            </w:r>
          </w:p>
        </w:tc>
        <w:tc>
          <w:tcPr>
            <w:tcW w:w="2659" w:type="dxa"/>
            <w:shd w:val="clear" w:color="auto" w:fill="FFC000"/>
            <w:vAlign w:val="bottom"/>
          </w:tcPr>
          <w:p w14:paraId="1751B248"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9,5%</w:t>
            </w:r>
          </w:p>
        </w:tc>
        <w:tc>
          <w:tcPr>
            <w:tcW w:w="1701" w:type="dxa"/>
            <w:shd w:val="clear" w:color="auto" w:fill="FFC000"/>
            <w:vAlign w:val="bottom"/>
          </w:tcPr>
          <w:p w14:paraId="3431321F"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3,3</w:t>
            </w:r>
          </w:p>
        </w:tc>
      </w:tr>
      <w:tr w:rsidR="004A2F79" w14:paraId="33569CB1" w14:textId="77777777" w:rsidTr="004A2F7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7" w:type="dxa"/>
            <w:vAlign w:val="bottom"/>
          </w:tcPr>
          <w:p w14:paraId="250F2DC4" w14:textId="77777777" w:rsidR="004A2F79" w:rsidRDefault="00000000">
            <w:pPr>
              <w:rPr>
                <w:rFonts w:ascii="Open Sans" w:eastAsia="Open Sans" w:hAnsi="Open Sans" w:cs="Open Sans"/>
                <w:sz w:val="22"/>
                <w:szCs w:val="22"/>
              </w:rPr>
            </w:pPr>
            <w:r>
              <w:rPr>
                <w:rFonts w:ascii="Open Sans" w:eastAsia="Open Sans" w:hAnsi="Open Sans" w:cs="Open Sans"/>
                <w:b w:val="0"/>
                <w:sz w:val="22"/>
                <w:szCs w:val="22"/>
              </w:rPr>
              <w:t>Aragón</w:t>
            </w:r>
          </w:p>
        </w:tc>
        <w:tc>
          <w:tcPr>
            <w:tcW w:w="2020" w:type="dxa"/>
            <w:vAlign w:val="bottom"/>
          </w:tcPr>
          <w:p w14:paraId="525B6E27"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2659" w:type="dxa"/>
            <w:vAlign w:val="bottom"/>
          </w:tcPr>
          <w:p w14:paraId="189D9F9E"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w:t>
            </w:r>
          </w:p>
        </w:tc>
        <w:tc>
          <w:tcPr>
            <w:tcW w:w="1701" w:type="dxa"/>
            <w:vAlign w:val="bottom"/>
          </w:tcPr>
          <w:p w14:paraId="720134E1"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3,0</w:t>
            </w:r>
          </w:p>
        </w:tc>
      </w:tr>
      <w:tr w:rsidR="004A2F79" w14:paraId="087FA36D" w14:textId="77777777" w:rsidTr="004A2F79">
        <w:trPr>
          <w:trHeight w:val="257"/>
        </w:trPr>
        <w:tc>
          <w:tcPr>
            <w:cnfStyle w:val="001000000000" w:firstRow="0" w:lastRow="0" w:firstColumn="1" w:lastColumn="0" w:oddVBand="0" w:evenVBand="0" w:oddHBand="0" w:evenHBand="0" w:firstRowFirstColumn="0" w:firstRowLastColumn="0" w:lastRowFirstColumn="0" w:lastRowLastColumn="0"/>
            <w:tcW w:w="2687" w:type="dxa"/>
            <w:vAlign w:val="bottom"/>
          </w:tcPr>
          <w:p w14:paraId="1CC5FD02" w14:textId="77777777" w:rsidR="004A2F79" w:rsidRDefault="00000000">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020" w:type="dxa"/>
            <w:vAlign w:val="bottom"/>
          </w:tcPr>
          <w:p w14:paraId="7287ECDF"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2659" w:type="dxa"/>
            <w:vAlign w:val="bottom"/>
          </w:tcPr>
          <w:p w14:paraId="63971B39"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w:t>
            </w:r>
          </w:p>
        </w:tc>
        <w:tc>
          <w:tcPr>
            <w:tcW w:w="1701" w:type="dxa"/>
            <w:vAlign w:val="bottom"/>
          </w:tcPr>
          <w:p w14:paraId="36FC4F6C"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2,9</w:t>
            </w:r>
          </w:p>
        </w:tc>
      </w:tr>
      <w:tr w:rsidR="004A2F79" w14:paraId="26390A87" w14:textId="77777777" w:rsidTr="004A2F7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7" w:type="dxa"/>
            <w:vAlign w:val="bottom"/>
          </w:tcPr>
          <w:p w14:paraId="23AD4120" w14:textId="77777777" w:rsidR="004A2F79" w:rsidRDefault="00000000">
            <w:pPr>
              <w:rPr>
                <w:rFonts w:ascii="Open Sans" w:eastAsia="Open Sans" w:hAnsi="Open Sans" w:cs="Open Sans"/>
                <w:sz w:val="22"/>
                <w:szCs w:val="22"/>
              </w:rPr>
            </w:pPr>
            <w:r>
              <w:rPr>
                <w:rFonts w:ascii="Open Sans" w:eastAsia="Open Sans" w:hAnsi="Open Sans" w:cs="Open Sans"/>
                <w:b w:val="0"/>
                <w:sz w:val="22"/>
                <w:szCs w:val="22"/>
              </w:rPr>
              <w:t>Extremadura</w:t>
            </w:r>
          </w:p>
        </w:tc>
        <w:tc>
          <w:tcPr>
            <w:tcW w:w="2020" w:type="dxa"/>
            <w:vAlign w:val="bottom"/>
          </w:tcPr>
          <w:p w14:paraId="48A828C3"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2659" w:type="dxa"/>
            <w:vAlign w:val="bottom"/>
          </w:tcPr>
          <w:p w14:paraId="7630AD42"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w:t>
            </w:r>
          </w:p>
        </w:tc>
        <w:tc>
          <w:tcPr>
            <w:tcW w:w="1701" w:type="dxa"/>
            <w:vAlign w:val="bottom"/>
          </w:tcPr>
          <w:p w14:paraId="4473B6CF"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2,9</w:t>
            </w:r>
          </w:p>
        </w:tc>
      </w:tr>
      <w:tr w:rsidR="004A2F79" w14:paraId="76EDE441" w14:textId="77777777" w:rsidTr="004A2F79">
        <w:trPr>
          <w:trHeight w:val="257"/>
        </w:trPr>
        <w:tc>
          <w:tcPr>
            <w:cnfStyle w:val="001000000000" w:firstRow="0" w:lastRow="0" w:firstColumn="1" w:lastColumn="0" w:oddVBand="0" w:evenVBand="0" w:oddHBand="0" w:evenHBand="0" w:firstRowFirstColumn="0" w:firstRowLastColumn="0" w:lastRowFirstColumn="0" w:lastRowLastColumn="0"/>
            <w:tcW w:w="2687" w:type="dxa"/>
            <w:vAlign w:val="bottom"/>
          </w:tcPr>
          <w:p w14:paraId="7555A306" w14:textId="77777777" w:rsidR="004A2F79" w:rsidRDefault="00000000">
            <w:pPr>
              <w:rPr>
                <w:rFonts w:ascii="Open Sans" w:eastAsia="Open Sans" w:hAnsi="Open Sans" w:cs="Open Sans"/>
                <w:sz w:val="22"/>
                <w:szCs w:val="22"/>
              </w:rPr>
            </w:pPr>
            <w:r>
              <w:rPr>
                <w:rFonts w:ascii="Open Sans" w:eastAsia="Open Sans" w:hAnsi="Open Sans" w:cs="Open Sans"/>
                <w:b w:val="0"/>
                <w:sz w:val="22"/>
                <w:szCs w:val="22"/>
              </w:rPr>
              <w:t>Cataluña</w:t>
            </w:r>
          </w:p>
        </w:tc>
        <w:tc>
          <w:tcPr>
            <w:tcW w:w="2020" w:type="dxa"/>
            <w:vAlign w:val="bottom"/>
          </w:tcPr>
          <w:p w14:paraId="715C100B"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2659" w:type="dxa"/>
            <w:vAlign w:val="bottom"/>
          </w:tcPr>
          <w:p w14:paraId="73E0615E"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w:t>
            </w:r>
          </w:p>
        </w:tc>
        <w:tc>
          <w:tcPr>
            <w:tcW w:w="1701" w:type="dxa"/>
            <w:vAlign w:val="bottom"/>
          </w:tcPr>
          <w:p w14:paraId="0204383B"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2,7</w:t>
            </w:r>
          </w:p>
        </w:tc>
      </w:tr>
      <w:tr w:rsidR="004A2F79" w14:paraId="1C9F1539" w14:textId="77777777" w:rsidTr="004A2F7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7" w:type="dxa"/>
            <w:vAlign w:val="bottom"/>
          </w:tcPr>
          <w:p w14:paraId="1F5A93FE" w14:textId="77777777" w:rsidR="004A2F79" w:rsidRDefault="00000000">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020" w:type="dxa"/>
            <w:vAlign w:val="bottom"/>
          </w:tcPr>
          <w:p w14:paraId="70EC43EC"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c>
          <w:tcPr>
            <w:tcW w:w="2659" w:type="dxa"/>
            <w:vAlign w:val="bottom"/>
          </w:tcPr>
          <w:p w14:paraId="32F6ADF8"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w:t>
            </w:r>
          </w:p>
        </w:tc>
        <w:tc>
          <w:tcPr>
            <w:tcW w:w="1701" w:type="dxa"/>
            <w:vAlign w:val="bottom"/>
          </w:tcPr>
          <w:p w14:paraId="3C7CD909"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2,6</w:t>
            </w:r>
          </w:p>
        </w:tc>
      </w:tr>
      <w:tr w:rsidR="004A2F79" w14:paraId="437AC38E" w14:textId="77777777" w:rsidTr="004A2F79">
        <w:trPr>
          <w:trHeight w:val="257"/>
        </w:trPr>
        <w:tc>
          <w:tcPr>
            <w:cnfStyle w:val="001000000000" w:firstRow="0" w:lastRow="0" w:firstColumn="1" w:lastColumn="0" w:oddVBand="0" w:evenVBand="0" w:oddHBand="0" w:evenHBand="0" w:firstRowFirstColumn="0" w:firstRowLastColumn="0" w:lastRowFirstColumn="0" w:lastRowLastColumn="0"/>
            <w:tcW w:w="2687" w:type="dxa"/>
            <w:vAlign w:val="bottom"/>
          </w:tcPr>
          <w:p w14:paraId="1DFDF537" w14:textId="77777777" w:rsidR="004A2F79" w:rsidRDefault="00000000">
            <w:pPr>
              <w:rPr>
                <w:rFonts w:ascii="Open Sans" w:eastAsia="Open Sans" w:hAnsi="Open Sans" w:cs="Open Sans"/>
                <w:sz w:val="22"/>
                <w:szCs w:val="22"/>
              </w:rPr>
            </w:pPr>
            <w:r>
              <w:rPr>
                <w:rFonts w:ascii="Open Sans" w:eastAsia="Open Sans" w:hAnsi="Open Sans" w:cs="Open Sans"/>
                <w:b w:val="0"/>
                <w:sz w:val="22"/>
                <w:szCs w:val="22"/>
              </w:rPr>
              <w:t>Galicia</w:t>
            </w:r>
          </w:p>
        </w:tc>
        <w:tc>
          <w:tcPr>
            <w:tcW w:w="2020" w:type="dxa"/>
            <w:vAlign w:val="bottom"/>
          </w:tcPr>
          <w:p w14:paraId="32B4F9BA"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2659" w:type="dxa"/>
            <w:vAlign w:val="bottom"/>
          </w:tcPr>
          <w:p w14:paraId="63DD17A1"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w:t>
            </w:r>
          </w:p>
        </w:tc>
        <w:tc>
          <w:tcPr>
            <w:tcW w:w="1701" w:type="dxa"/>
            <w:vAlign w:val="bottom"/>
          </w:tcPr>
          <w:p w14:paraId="33E06B22"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2,1</w:t>
            </w:r>
          </w:p>
        </w:tc>
      </w:tr>
      <w:tr w:rsidR="004A2F79" w14:paraId="2F4A0A79" w14:textId="77777777" w:rsidTr="004A2F7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7" w:type="dxa"/>
            <w:vAlign w:val="bottom"/>
          </w:tcPr>
          <w:p w14:paraId="57ACEE02" w14:textId="77777777" w:rsidR="004A2F79" w:rsidRDefault="00000000">
            <w:pPr>
              <w:rPr>
                <w:rFonts w:ascii="Open Sans" w:eastAsia="Open Sans" w:hAnsi="Open Sans" w:cs="Open Sans"/>
                <w:sz w:val="22"/>
                <w:szCs w:val="22"/>
              </w:rPr>
            </w:pPr>
            <w:r>
              <w:rPr>
                <w:rFonts w:ascii="Open Sans" w:eastAsia="Open Sans" w:hAnsi="Open Sans" w:cs="Open Sans"/>
                <w:b w:val="0"/>
                <w:sz w:val="22"/>
                <w:szCs w:val="22"/>
              </w:rPr>
              <w:t>Comunitat Valenciana</w:t>
            </w:r>
          </w:p>
        </w:tc>
        <w:tc>
          <w:tcPr>
            <w:tcW w:w="2020" w:type="dxa"/>
            <w:vAlign w:val="bottom"/>
          </w:tcPr>
          <w:p w14:paraId="2033B140"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w:t>
            </w:r>
          </w:p>
        </w:tc>
        <w:tc>
          <w:tcPr>
            <w:tcW w:w="2659" w:type="dxa"/>
            <w:vAlign w:val="bottom"/>
          </w:tcPr>
          <w:p w14:paraId="7A2394A7"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w:t>
            </w:r>
          </w:p>
        </w:tc>
        <w:tc>
          <w:tcPr>
            <w:tcW w:w="1701" w:type="dxa"/>
            <w:vAlign w:val="bottom"/>
          </w:tcPr>
          <w:p w14:paraId="420AB18B"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1,9</w:t>
            </w:r>
          </w:p>
        </w:tc>
      </w:tr>
      <w:tr w:rsidR="004A2F79" w14:paraId="449196B9" w14:textId="77777777" w:rsidTr="004A2F79">
        <w:trPr>
          <w:trHeight w:val="257"/>
        </w:trPr>
        <w:tc>
          <w:tcPr>
            <w:cnfStyle w:val="001000000000" w:firstRow="0" w:lastRow="0" w:firstColumn="1" w:lastColumn="0" w:oddVBand="0" w:evenVBand="0" w:oddHBand="0" w:evenHBand="0" w:firstRowFirstColumn="0" w:firstRowLastColumn="0" w:lastRowFirstColumn="0" w:lastRowLastColumn="0"/>
            <w:tcW w:w="2687" w:type="dxa"/>
            <w:vAlign w:val="bottom"/>
          </w:tcPr>
          <w:p w14:paraId="468089CA" w14:textId="77777777" w:rsidR="004A2F79"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020" w:type="dxa"/>
            <w:vAlign w:val="bottom"/>
          </w:tcPr>
          <w:p w14:paraId="4C32EF50"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2659" w:type="dxa"/>
            <w:vAlign w:val="bottom"/>
          </w:tcPr>
          <w:p w14:paraId="59139D3D"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w:t>
            </w:r>
          </w:p>
        </w:tc>
        <w:tc>
          <w:tcPr>
            <w:tcW w:w="1701" w:type="dxa"/>
            <w:vAlign w:val="bottom"/>
          </w:tcPr>
          <w:p w14:paraId="60840A72"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1,9</w:t>
            </w:r>
          </w:p>
        </w:tc>
      </w:tr>
      <w:tr w:rsidR="004A2F79" w14:paraId="1F223E5A" w14:textId="77777777" w:rsidTr="004A2F7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7" w:type="dxa"/>
            <w:vAlign w:val="bottom"/>
          </w:tcPr>
          <w:p w14:paraId="205012D9" w14:textId="77777777" w:rsidR="004A2F79" w:rsidRDefault="00000000">
            <w:pPr>
              <w:rPr>
                <w:rFonts w:ascii="Open Sans" w:eastAsia="Open Sans" w:hAnsi="Open Sans" w:cs="Open Sans"/>
                <w:sz w:val="22"/>
                <w:szCs w:val="22"/>
              </w:rPr>
            </w:pPr>
            <w:r>
              <w:rPr>
                <w:rFonts w:ascii="Open Sans" w:eastAsia="Open Sans" w:hAnsi="Open Sans" w:cs="Open Sans"/>
                <w:b w:val="0"/>
                <w:sz w:val="22"/>
                <w:szCs w:val="22"/>
              </w:rPr>
              <w:t>Andalucía</w:t>
            </w:r>
          </w:p>
        </w:tc>
        <w:tc>
          <w:tcPr>
            <w:tcW w:w="2020" w:type="dxa"/>
            <w:vAlign w:val="bottom"/>
          </w:tcPr>
          <w:p w14:paraId="3AEFC7EE"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2659" w:type="dxa"/>
            <w:vAlign w:val="bottom"/>
          </w:tcPr>
          <w:p w14:paraId="1BD5B8AD"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c>
          <w:tcPr>
            <w:tcW w:w="1701" w:type="dxa"/>
            <w:vAlign w:val="bottom"/>
          </w:tcPr>
          <w:p w14:paraId="711A75B3"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1,8</w:t>
            </w:r>
          </w:p>
        </w:tc>
      </w:tr>
      <w:tr w:rsidR="004A2F79" w14:paraId="6FA29E18" w14:textId="77777777" w:rsidTr="004A2F79">
        <w:trPr>
          <w:trHeight w:val="257"/>
        </w:trPr>
        <w:tc>
          <w:tcPr>
            <w:cnfStyle w:val="001000000000" w:firstRow="0" w:lastRow="0" w:firstColumn="1" w:lastColumn="0" w:oddVBand="0" w:evenVBand="0" w:oddHBand="0" w:evenHBand="0" w:firstRowFirstColumn="0" w:firstRowLastColumn="0" w:lastRowFirstColumn="0" w:lastRowLastColumn="0"/>
            <w:tcW w:w="2687" w:type="dxa"/>
            <w:vAlign w:val="bottom"/>
          </w:tcPr>
          <w:p w14:paraId="7FBED2F1" w14:textId="77777777" w:rsidR="004A2F79" w:rsidRDefault="00000000">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020" w:type="dxa"/>
            <w:vAlign w:val="bottom"/>
          </w:tcPr>
          <w:p w14:paraId="56AF55FE"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2659" w:type="dxa"/>
            <w:vAlign w:val="bottom"/>
          </w:tcPr>
          <w:p w14:paraId="1F82E796"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w:t>
            </w:r>
          </w:p>
        </w:tc>
        <w:tc>
          <w:tcPr>
            <w:tcW w:w="1701" w:type="dxa"/>
            <w:vAlign w:val="bottom"/>
          </w:tcPr>
          <w:p w14:paraId="7BFB380F"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w:t>
            </w:r>
          </w:p>
        </w:tc>
      </w:tr>
      <w:tr w:rsidR="004A2F79" w14:paraId="750AA022" w14:textId="77777777" w:rsidTr="004A2F7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7" w:type="dxa"/>
            <w:vAlign w:val="bottom"/>
          </w:tcPr>
          <w:p w14:paraId="4C97E84B" w14:textId="77777777" w:rsidR="004A2F79" w:rsidRDefault="00000000">
            <w:pPr>
              <w:rPr>
                <w:rFonts w:ascii="Open Sans" w:eastAsia="Open Sans" w:hAnsi="Open Sans" w:cs="Open Sans"/>
                <w:sz w:val="22"/>
                <w:szCs w:val="22"/>
              </w:rPr>
            </w:pPr>
            <w:r>
              <w:rPr>
                <w:rFonts w:ascii="Open Sans" w:eastAsia="Open Sans" w:hAnsi="Open Sans" w:cs="Open Sans"/>
                <w:b w:val="0"/>
                <w:sz w:val="22"/>
                <w:szCs w:val="22"/>
              </w:rPr>
              <w:t>Canarias</w:t>
            </w:r>
          </w:p>
        </w:tc>
        <w:tc>
          <w:tcPr>
            <w:tcW w:w="2020" w:type="dxa"/>
            <w:vAlign w:val="bottom"/>
          </w:tcPr>
          <w:p w14:paraId="7AB75C89"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2659" w:type="dxa"/>
            <w:vAlign w:val="bottom"/>
          </w:tcPr>
          <w:p w14:paraId="6765E50F"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w:t>
            </w:r>
          </w:p>
        </w:tc>
        <w:tc>
          <w:tcPr>
            <w:tcW w:w="1701" w:type="dxa"/>
            <w:vAlign w:val="bottom"/>
          </w:tcPr>
          <w:p w14:paraId="4B1162DD"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1,3</w:t>
            </w:r>
          </w:p>
        </w:tc>
      </w:tr>
      <w:tr w:rsidR="004A2F79" w14:paraId="5333EC56" w14:textId="77777777" w:rsidTr="004A2F79">
        <w:trPr>
          <w:trHeight w:val="257"/>
        </w:trPr>
        <w:tc>
          <w:tcPr>
            <w:cnfStyle w:val="001000000000" w:firstRow="0" w:lastRow="0" w:firstColumn="1" w:lastColumn="0" w:oddVBand="0" w:evenVBand="0" w:oddHBand="0" w:evenHBand="0" w:firstRowFirstColumn="0" w:firstRowLastColumn="0" w:lastRowFirstColumn="0" w:lastRowLastColumn="0"/>
            <w:tcW w:w="2687" w:type="dxa"/>
            <w:vAlign w:val="bottom"/>
          </w:tcPr>
          <w:p w14:paraId="33AE2F1D" w14:textId="77777777" w:rsidR="004A2F79"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020" w:type="dxa"/>
            <w:vAlign w:val="bottom"/>
          </w:tcPr>
          <w:p w14:paraId="3C5241A1"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2659" w:type="dxa"/>
            <w:vAlign w:val="bottom"/>
          </w:tcPr>
          <w:p w14:paraId="3AAC8C04"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w:t>
            </w:r>
          </w:p>
        </w:tc>
        <w:tc>
          <w:tcPr>
            <w:tcW w:w="1701" w:type="dxa"/>
            <w:vAlign w:val="bottom"/>
          </w:tcPr>
          <w:p w14:paraId="088436B8"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w:t>
            </w:r>
          </w:p>
        </w:tc>
      </w:tr>
      <w:tr w:rsidR="004A2F79" w14:paraId="448C83E8" w14:textId="77777777" w:rsidTr="004A2F7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7" w:type="dxa"/>
            <w:vAlign w:val="bottom"/>
          </w:tcPr>
          <w:p w14:paraId="09FE81A0" w14:textId="77777777" w:rsidR="004A2F79" w:rsidRDefault="00000000">
            <w:pPr>
              <w:rPr>
                <w:rFonts w:ascii="Open Sans" w:eastAsia="Open Sans" w:hAnsi="Open Sans" w:cs="Open Sans"/>
                <w:sz w:val="22"/>
                <w:szCs w:val="22"/>
              </w:rPr>
            </w:pPr>
            <w:r>
              <w:rPr>
                <w:rFonts w:ascii="Open Sans" w:eastAsia="Open Sans" w:hAnsi="Open Sans" w:cs="Open Sans"/>
                <w:b w:val="0"/>
                <w:sz w:val="22"/>
                <w:szCs w:val="22"/>
              </w:rPr>
              <w:t>País Vasco</w:t>
            </w:r>
          </w:p>
        </w:tc>
        <w:tc>
          <w:tcPr>
            <w:tcW w:w="2020" w:type="dxa"/>
            <w:vAlign w:val="bottom"/>
          </w:tcPr>
          <w:p w14:paraId="03BF9D90"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2659" w:type="dxa"/>
            <w:vAlign w:val="bottom"/>
          </w:tcPr>
          <w:p w14:paraId="690C46E5"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w:t>
            </w:r>
          </w:p>
        </w:tc>
        <w:tc>
          <w:tcPr>
            <w:tcW w:w="1701" w:type="dxa"/>
            <w:vAlign w:val="bottom"/>
          </w:tcPr>
          <w:p w14:paraId="1708B821"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w:t>
            </w:r>
          </w:p>
        </w:tc>
      </w:tr>
      <w:tr w:rsidR="004A2F79" w14:paraId="4FCBFA20" w14:textId="77777777" w:rsidTr="004A2F79">
        <w:trPr>
          <w:trHeight w:val="257"/>
        </w:trPr>
        <w:tc>
          <w:tcPr>
            <w:cnfStyle w:val="001000000000" w:firstRow="0" w:lastRow="0" w:firstColumn="1" w:lastColumn="0" w:oddVBand="0" w:evenVBand="0" w:oddHBand="0" w:evenHBand="0" w:firstRowFirstColumn="0" w:firstRowLastColumn="0" w:lastRowFirstColumn="0" w:lastRowLastColumn="0"/>
            <w:tcW w:w="2687" w:type="dxa"/>
            <w:vAlign w:val="bottom"/>
          </w:tcPr>
          <w:p w14:paraId="5DAD44C7" w14:textId="77777777" w:rsidR="004A2F79"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020" w:type="dxa"/>
            <w:vAlign w:val="bottom"/>
          </w:tcPr>
          <w:p w14:paraId="5B347CE7"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2659" w:type="dxa"/>
            <w:vAlign w:val="bottom"/>
          </w:tcPr>
          <w:p w14:paraId="07A8985E"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c>
          <w:tcPr>
            <w:tcW w:w="1701" w:type="dxa"/>
            <w:vAlign w:val="bottom"/>
          </w:tcPr>
          <w:p w14:paraId="69E9F795"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0,9</w:t>
            </w:r>
          </w:p>
        </w:tc>
      </w:tr>
      <w:tr w:rsidR="004A2F79" w14:paraId="10429C2D" w14:textId="77777777" w:rsidTr="004A2F7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7" w:type="dxa"/>
            <w:vAlign w:val="bottom"/>
          </w:tcPr>
          <w:p w14:paraId="5F478626" w14:textId="77777777" w:rsidR="004A2F79"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020" w:type="dxa"/>
            <w:vAlign w:val="bottom"/>
          </w:tcPr>
          <w:p w14:paraId="55F2488E"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c>
          <w:tcPr>
            <w:tcW w:w="2659" w:type="dxa"/>
            <w:vAlign w:val="bottom"/>
          </w:tcPr>
          <w:p w14:paraId="4AD646E1"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w:t>
            </w:r>
          </w:p>
        </w:tc>
        <w:tc>
          <w:tcPr>
            <w:tcW w:w="1701" w:type="dxa"/>
            <w:vAlign w:val="bottom"/>
          </w:tcPr>
          <w:p w14:paraId="1969F0AB"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0,8</w:t>
            </w:r>
          </w:p>
        </w:tc>
      </w:tr>
      <w:tr w:rsidR="004A2F79" w14:paraId="5197DF09" w14:textId="77777777" w:rsidTr="004A2F79">
        <w:trPr>
          <w:trHeight w:val="257"/>
        </w:trPr>
        <w:tc>
          <w:tcPr>
            <w:cnfStyle w:val="001000000000" w:firstRow="0" w:lastRow="0" w:firstColumn="1" w:lastColumn="0" w:oddVBand="0" w:evenVBand="0" w:oddHBand="0" w:evenHBand="0" w:firstRowFirstColumn="0" w:firstRowLastColumn="0" w:lastRowFirstColumn="0" w:lastRowLastColumn="0"/>
            <w:tcW w:w="2687" w:type="dxa"/>
            <w:vAlign w:val="bottom"/>
          </w:tcPr>
          <w:p w14:paraId="666E2BD5" w14:textId="77777777" w:rsidR="004A2F79" w:rsidRDefault="00000000">
            <w:pPr>
              <w:rPr>
                <w:rFonts w:ascii="Open Sans" w:eastAsia="Open Sans" w:hAnsi="Open Sans" w:cs="Open Sans"/>
                <w:sz w:val="22"/>
                <w:szCs w:val="22"/>
              </w:rPr>
            </w:pPr>
            <w:r>
              <w:rPr>
                <w:rFonts w:ascii="Open Sans" w:eastAsia="Open Sans" w:hAnsi="Open Sans" w:cs="Open Sans"/>
                <w:b w:val="0"/>
                <w:sz w:val="22"/>
                <w:szCs w:val="22"/>
              </w:rPr>
              <w:t>Baleares</w:t>
            </w:r>
          </w:p>
        </w:tc>
        <w:tc>
          <w:tcPr>
            <w:tcW w:w="2020" w:type="dxa"/>
            <w:vAlign w:val="bottom"/>
          </w:tcPr>
          <w:p w14:paraId="2B948124"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2659" w:type="dxa"/>
            <w:vAlign w:val="bottom"/>
          </w:tcPr>
          <w:p w14:paraId="7B2B1818"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701" w:type="dxa"/>
            <w:vAlign w:val="bottom"/>
          </w:tcPr>
          <w:p w14:paraId="3F483EA4"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0,5</w:t>
            </w:r>
          </w:p>
        </w:tc>
      </w:tr>
    </w:tbl>
    <w:p w14:paraId="4A5444B8" w14:textId="77777777" w:rsidR="004A2F79"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Por municipios</w:t>
      </w:r>
    </w:p>
    <w:p w14:paraId="1DDD28A1" w14:textId="77777777" w:rsidR="004A2F79"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el análisis de </w:t>
      </w:r>
      <w:hyperlink r:id="rId14">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también vemos que, al igual que las comunidades autónomas, en los municipios de España también la rentabilidad de la vivienda alquilada por habitaciones es muy superior a la rentabilidad de un alquiler convencional. En el caso de Pamplona / Iruña la diferencia entre una rentabilidad y otra alcanza los 4 puntos </w:t>
      </w:r>
      <w:r>
        <w:rPr>
          <w:rFonts w:ascii="Open Sans" w:eastAsia="Open Sans" w:hAnsi="Open Sans" w:cs="Open Sans"/>
          <w:color w:val="000000"/>
          <w:sz w:val="22"/>
          <w:szCs w:val="22"/>
        </w:rPr>
        <w:lastRenderedPageBreak/>
        <w:t>porcentuales, es decir, por el alquiler de una vivienda se saca 4,5% frente a la rentabilidad del 8,5% que se saca por el alquiler de las habitaciones de esa misma vivienda.</w:t>
      </w:r>
    </w:p>
    <w:p w14:paraId="486C5D8A" w14:textId="77777777" w:rsidR="004A2F79"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De esta manera, el orden de los cinco municipios con mayor rentabilidad es: L'Hospitalet de Llobregat con 8,9% (9,1% vivienda/3 hab.), Alcoy / Alcoi con 7,2% (9,0% vivienda/3 hab.), Elche / Elx con 7,1% (8,0% vivienda/3 hab.), Murcia capital con 6,9% (9,2% vivienda/3 hab.) y Cartagena con 6,9% (10,0% vivienda/3 hab.).</w:t>
      </w:r>
    </w:p>
    <w:p w14:paraId="004D41B1" w14:textId="77777777" w:rsidR="004A2F79"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el orden de las cinco ciudades con las máximas rentabilidades de las viviendas de alquiler por habitaciones es: Cartagena con 10,0% (6,9% vivienda/80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Murcia capital</w:t>
      </w:r>
      <w:r>
        <w:rPr>
          <w:rFonts w:ascii="Open Sans" w:eastAsia="Open Sans" w:hAnsi="Open Sans" w:cs="Open Sans"/>
          <w:color w:val="000000"/>
          <w:sz w:val="22"/>
          <w:szCs w:val="22"/>
        </w:rPr>
        <w:tab/>
        <w:t>9,2% con (6,9% vivienda/80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Almería capital con 9,2% (6,8% vivienda/80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L'Hospitalet de Llobregat con 9,1% (8,9% vivienda/80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y Alcoy / Alcoi con 9,0% (7,2% vivienda/80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w:t>
      </w:r>
    </w:p>
    <w:p w14:paraId="2EDDCC83" w14:textId="77777777" w:rsidR="004A2F79"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0"/>
          <w:szCs w:val="20"/>
        </w:rPr>
      </w:pPr>
      <w:r>
        <w:rPr>
          <w:rFonts w:ascii="Open Sans Light" w:eastAsia="Open Sans Light" w:hAnsi="Open Sans Light" w:cs="Open Sans Light"/>
          <w:b/>
          <w:color w:val="303AB2"/>
          <w:u w:val="single"/>
        </w:rPr>
        <w:t>Tabla por municipios</w:t>
      </w:r>
      <w:r>
        <w:rPr>
          <w:rFonts w:ascii="Open Sans Light" w:eastAsia="Open Sans Light" w:hAnsi="Open Sans Light" w:cs="Open Sans Light"/>
          <w:b/>
          <w:color w:val="303AB2"/>
        </w:rPr>
        <w:t>: Rentabilidad de vivienda de 80 m</w:t>
      </w:r>
      <w:r>
        <w:rPr>
          <w:rFonts w:ascii="Open Sans Light" w:eastAsia="Open Sans Light" w:hAnsi="Open Sans Light" w:cs="Open Sans Light"/>
          <w:b/>
          <w:color w:val="303AB2"/>
          <w:vertAlign w:val="superscript"/>
        </w:rPr>
        <w:t>2</w:t>
      </w:r>
      <w:r>
        <w:rPr>
          <w:rFonts w:ascii="Open Sans Light" w:eastAsia="Open Sans Light" w:hAnsi="Open Sans Light" w:cs="Open Sans Light"/>
          <w:b/>
          <w:color w:val="303AB2"/>
        </w:rPr>
        <w:t xml:space="preserve"> completa vs alquiler de 3 habitaciones </w:t>
      </w:r>
    </w:p>
    <w:tbl>
      <w:tblPr>
        <w:tblStyle w:val="a0"/>
        <w:tblW w:w="912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38"/>
        <w:gridCol w:w="1985"/>
        <w:gridCol w:w="1701"/>
        <w:gridCol w:w="2126"/>
        <w:gridCol w:w="1473"/>
      </w:tblGrid>
      <w:tr w:rsidR="004A2F79" w14:paraId="41E8635E" w14:textId="77777777" w:rsidTr="004A2F79">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DFB93B0"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Provincia</w:t>
            </w:r>
          </w:p>
        </w:tc>
        <w:tc>
          <w:tcPr>
            <w:tcW w:w="1985" w:type="dxa"/>
            <w:vAlign w:val="center"/>
          </w:tcPr>
          <w:p w14:paraId="075D7D7D" w14:textId="77777777" w:rsidR="004A2F79" w:rsidRDefault="00000000">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Municipio</w:t>
            </w:r>
          </w:p>
        </w:tc>
        <w:tc>
          <w:tcPr>
            <w:tcW w:w="1701" w:type="dxa"/>
            <w:vAlign w:val="center"/>
          </w:tcPr>
          <w:p w14:paraId="28A3E0E1" w14:textId="77777777" w:rsidR="004A2F79"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 xml:space="preserve"> Rentabilidad vivienda 80 m</w:t>
            </w:r>
            <w:r>
              <w:rPr>
                <w:rFonts w:ascii="Open Sans" w:eastAsia="Open Sans" w:hAnsi="Open Sans" w:cs="Open Sans"/>
                <w:b w:val="0"/>
                <w:sz w:val="20"/>
                <w:szCs w:val="20"/>
                <w:vertAlign w:val="superscript"/>
              </w:rPr>
              <w:t xml:space="preserve">2 </w:t>
            </w:r>
            <w:r>
              <w:rPr>
                <w:rFonts w:ascii="Open Sans" w:eastAsia="Open Sans" w:hAnsi="Open Sans" w:cs="Open Sans"/>
                <w:b w:val="0"/>
                <w:sz w:val="20"/>
                <w:szCs w:val="20"/>
              </w:rPr>
              <w:t xml:space="preserve">(sept-23) </w:t>
            </w:r>
          </w:p>
        </w:tc>
        <w:tc>
          <w:tcPr>
            <w:tcW w:w="2126" w:type="dxa"/>
            <w:vAlign w:val="center"/>
          </w:tcPr>
          <w:p w14:paraId="31F6E19E" w14:textId="77777777" w:rsidR="004A2F79"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i/>
                <w:sz w:val="20"/>
                <w:szCs w:val="20"/>
              </w:rPr>
            </w:pPr>
            <w:r>
              <w:rPr>
                <w:rFonts w:ascii="Open Sans" w:eastAsia="Open Sans" w:hAnsi="Open Sans" w:cs="Open Sans"/>
                <w:b w:val="0"/>
                <w:sz w:val="20"/>
                <w:szCs w:val="20"/>
              </w:rPr>
              <w:t xml:space="preserve"> Rentabilidad de una vivenda compartida de 3 hab. (sept-23) </w:t>
            </w:r>
          </w:p>
        </w:tc>
        <w:tc>
          <w:tcPr>
            <w:tcW w:w="1473" w:type="dxa"/>
            <w:vAlign w:val="center"/>
          </w:tcPr>
          <w:p w14:paraId="673A47FB" w14:textId="77777777" w:rsidR="004A2F79"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 xml:space="preserve"> Diferencia punto porcentual </w:t>
            </w:r>
          </w:p>
        </w:tc>
      </w:tr>
      <w:tr w:rsidR="004A2F79" w14:paraId="59567691"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B38D84E"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Almería</w:t>
            </w:r>
          </w:p>
        </w:tc>
        <w:tc>
          <w:tcPr>
            <w:tcW w:w="1985" w:type="dxa"/>
            <w:vAlign w:val="bottom"/>
          </w:tcPr>
          <w:p w14:paraId="1ECEE2EF"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Almería capital</w:t>
            </w:r>
          </w:p>
        </w:tc>
        <w:tc>
          <w:tcPr>
            <w:tcW w:w="1701" w:type="dxa"/>
            <w:vAlign w:val="bottom"/>
          </w:tcPr>
          <w:p w14:paraId="01E49FF4"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6,8%</w:t>
            </w:r>
          </w:p>
        </w:tc>
        <w:tc>
          <w:tcPr>
            <w:tcW w:w="2126" w:type="dxa"/>
            <w:vAlign w:val="bottom"/>
          </w:tcPr>
          <w:p w14:paraId="3AD8FECD"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9,2%</w:t>
            </w:r>
          </w:p>
        </w:tc>
        <w:tc>
          <w:tcPr>
            <w:tcW w:w="1473" w:type="dxa"/>
            <w:vAlign w:val="bottom"/>
          </w:tcPr>
          <w:p w14:paraId="31B3C9EE"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2,4</w:t>
            </w:r>
          </w:p>
        </w:tc>
      </w:tr>
      <w:tr w:rsidR="004A2F79" w14:paraId="33925A27"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650F80F9"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Córdoba</w:t>
            </w:r>
          </w:p>
        </w:tc>
        <w:tc>
          <w:tcPr>
            <w:tcW w:w="1985" w:type="dxa"/>
            <w:vAlign w:val="bottom"/>
          </w:tcPr>
          <w:p w14:paraId="1ED3CAAB"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Córdoba capital</w:t>
            </w:r>
          </w:p>
        </w:tc>
        <w:tc>
          <w:tcPr>
            <w:tcW w:w="1701" w:type="dxa"/>
            <w:vAlign w:val="bottom"/>
          </w:tcPr>
          <w:p w14:paraId="3E12BF6A"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6,0%</w:t>
            </w:r>
          </w:p>
        </w:tc>
        <w:tc>
          <w:tcPr>
            <w:tcW w:w="2126" w:type="dxa"/>
            <w:vAlign w:val="bottom"/>
          </w:tcPr>
          <w:p w14:paraId="70460F4F"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7,9%</w:t>
            </w:r>
          </w:p>
        </w:tc>
        <w:tc>
          <w:tcPr>
            <w:tcW w:w="1473" w:type="dxa"/>
            <w:vAlign w:val="bottom"/>
          </w:tcPr>
          <w:p w14:paraId="4AC646AE"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1,9</w:t>
            </w:r>
          </w:p>
        </w:tc>
      </w:tr>
      <w:tr w:rsidR="004A2F79" w14:paraId="03E07AD1"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109954F3"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Granada</w:t>
            </w:r>
          </w:p>
        </w:tc>
        <w:tc>
          <w:tcPr>
            <w:tcW w:w="1985" w:type="dxa"/>
            <w:vAlign w:val="bottom"/>
          </w:tcPr>
          <w:p w14:paraId="655CAC64"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Granada capital</w:t>
            </w:r>
          </w:p>
        </w:tc>
        <w:tc>
          <w:tcPr>
            <w:tcW w:w="1701" w:type="dxa"/>
            <w:vAlign w:val="bottom"/>
          </w:tcPr>
          <w:p w14:paraId="2F4E686C"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5,2%</w:t>
            </w:r>
          </w:p>
        </w:tc>
        <w:tc>
          <w:tcPr>
            <w:tcW w:w="2126" w:type="dxa"/>
            <w:vAlign w:val="bottom"/>
          </w:tcPr>
          <w:p w14:paraId="6E08C6E1"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6,6%</w:t>
            </w:r>
          </w:p>
        </w:tc>
        <w:tc>
          <w:tcPr>
            <w:tcW w:w="1473" w:type="dxa"/>
            <w:vAlign w:val="bottom"/>
          </w:tcPr>
          <w:p w14:paraId="61C2A929"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1,4</w:t>
            </w:r>
          </w:p>
        </w:tc>
      </w:tr>
      <w:tr w:rsidR="004A2F79" w14:paraId="1368B52F"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55D44D23"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Jaén</w:t>
            </w:r>
          </w:p>
        </w:tc>
        <w:tc>
          <w:tcPr>
            <w:tcW w:w="1985" w:type="dxa"/>
            <w:vAlign w:val="bottom"/>
          </w:tcPr>
          <w:p w14:paraId="4CA00DCF"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Jaén capital</w:t>
            </w:r>
          </w:p>
        </w:tc>
        <w:tc>
          <w:tcPr>
            <w:tcW w:w="1701" w:type="dxa"/>
            <w:vAlign w:val="bottom"/>
          </w:tcPr>
          <w:p w14:paraId="333E8CBA"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6,0%</w:t>
            </w:r>
          </w:p>
        </w:tc>
        <w:tc>
          <w:tcPr>
            <w:tcW w:w="2126" w:type="dxa"/>
            <w:vAlign w:val="bottom"/>
          </w:tcPr>
          <w:p w14:paraId="01A97CD6"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7,8%</w:t>
            </w:r>
          </w:p>
        </w:tc>
        <w:tc>
          <w:tcPr>
            <w:tcW w:w="1473" w:type="dxa"/>
            <w:vAlign w:val="bottom"/>
          </w:tcPr>
          <w:p w14:paraId="5E26D93C"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1,8</w:t>
            </w:r>
          </w:p>
        </w:tc>
      </w:tr>
      <w:tr w:rsidR="004A2F79" w14:paraId="34A14C59"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2FB779C"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Málaga</w:t>
            </w:r>
          </w:p>
        </w:tc>
        <w:tc>
          <w:tcPr>
            <w:tcW w:w="1985" w:type="dxa"/>
            <w:vAlign w:val="bottom"/>
          </w:tcPr>
          <w:p w14:paraId="7428639A"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Málaga capital</w:t>
            </w:r>
          </w:p>
        </w:tc>
        <w:tc>
          <w:tcPr>
            <w:tcW w:w="1701" w:type="dxa"/>
            <w:vAlign w:val="bottom"/>
          </w:tcPr>
          <w:p w14:paraId="4C81F32C"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5,2%</w:t>
            </w:r>
          </w:p>
        </w:tc>
        <w:tc>
          <w:tcPr>
            <w:tcW w:w="2126" w:type="dxa"/>
            <w:vAlign w:val="bottom"/>
          </w:tcPr>
          <w:p w14:paraId="305AABF0"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6,7%</w:t>
            </w:r>
          </w:p>
        </w:tc>
        <w:tc>
          <w:tcPr>
            <w:tcW w:w="1473" w:type="dxa"/>
            <w:vAlign w:val="bottom"/>
          </w:tcPr>
          <w:p w14:paraId="2182DE92"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1,5</w:t>
            </w:r>
          </w:p>
        </w:tc>
      </w:tr>
      <w:tr w:rsidR="004A2F79" w14:paraId="2F8877AE"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2AFACCD9"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Sevilla</w:t>
            </w:r>
          </w:p>
        </w:tc>
        <w:tc>
          <w:tcPr>
            <w:tcW w:w="1985" w:type="dxa"/>
            <w:vAlign w:val="bottom"/>
          </w:tcPr>
          <w:p w14:paraId="7291647D"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Sevilla capital</w:t>
            </w:r>
          </w:p>
        </w:tc>
        <w:tc>
          <w:tcPr>
            <w:tcW w:w="1701" w:type="dxa"/>
            <w:vAlign w:val="bottom"/>
          </w:tcPr>
          <w:p w14:paraId="4EC91070"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6,0%</w:t>
            </w:r>
          </w:p>
        </w:tc>
        <w:tc>
          <w:tcPr>
            <w:tcW w:w="2126" w:type="dxa"/>
            <w:vAlign w:val="bottom"/>
          </w:tcPr>
          <w:p w14:paraId="12886A70"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7,8%</w:t>
            </w:r>
          </w:p>
        </w:tc>
        <w:tc>
          <w:tcPr>
            <w:tcW w:w="1473" w:type="dxa"/>
            <w:vAlign w:val="bottom"/>
          </w:tcPr>
          <w:p w14:paraId="166804AF"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1,8</w:t>
            </w:r>
          </w:p>
        </w:tc>
      </w:tr>
      <w:tr w:rsidR="004A2F79" w14:paraId="193AC12A"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21641A57"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Zaragoza</w:t>
            </w:r>
          </w:p>
        </w:tc>
        <w:tc>
          <w:tcPr>
            <w:tcW w:w="1985" w:type="dxa"/>
            <w:vAlign w:val="bottom"/>
          </w:tcPr>
          <w:p w14:paraId="18534410"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Zaragoza capital</w:t>
            </w:r>
          </w:p>
        </w:tc>
        <w:tc>
          <w:tcPr>
            <w:tcW w:w="1701" w:type="dxa"/>
            <w:vAlign w:val="bottom"/>
          </w:tcPr>
          <w:p w14:paraId="4D66E617"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6,0%</w:t>
            </w:r>
          </w:p>
        </w:tc>
        <w:tc>
          <w:tcPr>
            <w:tcW w:w="2126" w:type="dxa"/>
            <w:vAlign w:val="bottom"/>
          </w:tcPr>
          <w:p w14:paraId="7F95D6BF"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8,2%</w:t>
            </w:r>
          </w:p>
        </w:tc>
        <w:tc>
          <w:tcPr>
            <w:tcW w:w="1473" w:type="dxa"/>
            <w:vAlign w:val="bottom"/>
          </w:tcPr>
          <w:p w14:paraId="325C47C9"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2,2</w:t>
            </w:r>
          </w:p>
        </w:tc>
      </w:tr>
      <w:tr w:rsidR="004A2F79" w14:paraId="15A69D44"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7E11253F"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Asturias</w:t>
            </w:r>
          </w:p>
        </w:tc>
        <w:tc>
          <w:tcPr>
            <w:tcW w:w="1985" w:type="dxa"/>
            <w:vAlign w:val="bottom"/>
          </w:tcPr>
          <w:p w14:paraId="72CEDC8B"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Gijón</w:t>
            </w:r>
          </w:p>
        </w:tc>
        <w:tc>
          <w:tcPr>
            <w:tcW w:w="1701" w:type="dxa"/>
            <w:vAlign w:val="bottom"/>
          </w:tcPr>
          <w:p w14:paraId="04EFA7AD"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6,3%</w:t>
            </w:r>
          </w:p>
        </w:tc>
        <w:tc>
          <w:tcPr>
            <w:tcW w:w="2126" w:type="dxa"/>
            <w:vAlign w:val="bottom"/>
          </w:tcPr>
          <w:p w14:paraId="79004FF7"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6,8%</w:t>
            </w:r>
          </w:p>
        </w:tc>
        <w:tc>
          <w:tcPr>
            <w:tcW w:w="1473" w:type="dxa"/>
            <w:vAlign w:val="bottom"/>
          </w:tcPr>
          <w:p w14:paraId="1C08B8CF"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0,5</w:t>
            </w:r>
          </w:p>
        </w:tc>
      </w:tr>
      <w:tr w:rsidR="004A2F79" w14:paraId="6A22D316"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3EBF8CB"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Asturias</w:t>
            </w:r>
          </w:p>
        </w:tc>
        <w:tc>
          <w:tcPr>
            <w:tcW w:w="1985" w:type="dxa"/>
            <w:vAlign w:val="bottom"/>
          </w:tcPr>
          <w:p w14:paraId="7EB45B55"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Oviedo</w:t>
            </w:r>
          </w:p>
        </w:tc>
        <w:tc>
          <w:tcPr>
            <w:tcW w:w="1701" w:type="dxa"/>
            <w:vAlign w:val="bottom"/>
          </w:tcPr>
          <w:p w14:paraId="6820D90B"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6,1%</w:t>
            </w:r>
          </w:p>
        </w:tc>
        <w:tc>
          <w:tcPr>
            <w:tcW w:w="2126" w:type="dxa"/>
            <w:vAlign w:val="bottom"/>
          </w:tcPr>
          <w:p w14:paraId="4F335CED"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7,0%</w:t>
            </w:r>
          </w:p>
        </w:tc>
        <w:tc>
          <w:tcPr>
            <w:tcW w:w="1473" w:type="dxa"/>
            <w:vAlign w:val="bottom"/>
          </w:tcPr>
          <w:p w14:paraId="0080D973"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0,9</w:t>
            </w:r>
          </w:p>
        </w:tc>
      </w:tr>
      <w:tr w:rsidR="004A2F79" w14:paraId="32A51860"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5508E9AE"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Illes Balears</w:t>
            </w:r>
          </w:p>
        </w:tc>
        <w:tc>
          <w:tcPr>
            <w:tcW w:w="1985" w:type="dxa"/>
            <w:vAlign w:val="bottom"/>
          </w:tcPr>
          <w:p w14:paraId="51F992B9"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Palma de Mallorca</w:t>
            </w:r>
          </w:p>
        </w:tc>
        <w:tc>
          <w:tcPr>
            <w:tcW w:w="1701" w:type="dxa"/>
            <w:vAlign w:val="bottom"/>
          </w:tcPr>
          <w:p w14:paraId="6E7EAD3A"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4,8%</w:t>
            </w:r>
          </w:p>
        </w:tc>
        <w:tc>
          <w:tcPr>
            <w:tcW w:w="2126" w:type="dxa"/>
            <w:vAlign w:val="bottom"/>
          </w:tcPr>
          <w:p w14:paraId="0CC88B1A"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5,5%</w:t>
            </w:r>
          </w:p>
        </w:tc>
        <w:tc>
          <w:tcPr>
            <w:tcW w:w="1473" w:type="dxa"/>
            <w:vAlign w:val="bottom"/>
          </w:tcPr>
          <w:p w14:paraId="048D0FD5"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0,7</w:t>
            </w:r>
          </w:p>
        </w:tc>
      </w:tr>
      <w:tr w:rsidR="004A2F79" w14:paraId="0BEF1F52"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2A4E4FC"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Las Palmas</w:t>
            </w:r>
          </w:p>
        </w:tc>
        <w:tc>
          <w:tcPr>
            <w:tcW w:w="1985" w:type="dxa"/>
            <w:vAlign w:val="bottom"/>
          </w:tcPr>
          <w:p w14:paraId="0AF13D50"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Las Palmas de Gran Canaria</w:t>
            </w:r>
          </w:p>
        </w:tc>
        <w:tc>
          <w:tcPr>
            <w:tcW w:w="1701" w:type="dxa"/>
            <w:vAlign w:val="bottom"/>
          </w:tcPr>
          <w:p w14:paraId="63C9EE85"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6,6%</w:t>
            </w:r>
          </w:p>
        </w:tc>
        <w:tc>
          <w:tcPr>
            <w:tcW w:w="2126" w:type="dxa"/>
            <w:vAlign w:val="bottom"/>
          </w:tcPr>
          <w:p w14:paraId="54D04796"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7,7%</w:t>
            </w:r>
          </w:p>
        </w:tc>
        <w:tc>
          <w:tcPr>
            <w:tcW w:w="1473" w:type="dxa"/>
            <w:vAlign w:val="bottom"/>
          </w:tcPr>
          <w:p w14:paraId="555729E5"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1,0</w:t>
            </w:r>
          </w:p>
        </w:tc>
      </w:tr>
      <w:tr w:rsidR="004A2F79" w14:paraId="5F2F88BD"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6F913A31"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Cantabria</w:t>
            </w:r>
          </w:p>
        </w:tc>
        <w:tc>
          <w:tcPr>
            <w:tcW w:w="1985" w:type="dxa"/>
            <w:vAlign w:val="bottom"/>
          </w:tcPr>
          <w:p w14:paraId="31726CDA"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Santander</w:t>
            </w:r>
          </w:p>
        </w:tc>
        <w:tc>
          <w:tcPr>
            <w:tcW w:w="1701" w:type="dxa"/>
            <w:vAlign w:val="bottom"/>
          </w:tcPr>
          <w:p w14:paraId="0DC6B533"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5,2%</w:t>
            </w:r>
          </w:p>
        </w:tc>
        <w:tc>
          <w:tcPr>
            <w:tcW w:w="2126" w:type="dxa"/>
            <w:vAlign w:val="bottom"/>
          </w:tcPr>
          <w:p w14:paraId="1B221C61"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6,2%</w:t>
            </w:r>
          </w:p>
        </w:tc>
        <w:tc>
          <w:tcPr>
            <w:tcW w:w="1473" w:type="dxa"/>
            <w:vAlign w:val="bottom"/>
          </w:tcPr>
          <w:p w14:paraId="06A76738"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0,9</w:t>
            </w:r>
          </w:p>
        </w:tc>
      </w:tr>
      <w:tr w:rsidR="004A2F79" w14:paraId="5C487AC5"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D9D99BF"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Burgos</w:t>
            </w:r>
          </w:p>
        </w:tc>
        <w:tc>
          <w:tcPr>
            <w:tcW w:w="1985" w:type="dxa"/>
            <w:vAlign w:val="bottom"/>
          </w:tcPr>
          <w:p w14:paraId="621FFB1E"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Burgos capital</w:t>
            </w:r>
          </w:p>
        </w:tc>
        <w:tc>
          <w:tcPr>
            <w:tcW w:w="1701" w:type="dxa"/>
            <w:vAlign w:val="bottom"/>
          </w:tcPr>
          <w:p w14:paraId="7FF199B7"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6,2%</w:t>
            </w:r>
          </w:p>
        </w:tc>
        <w:tc>
          <w:tcPr>
            <w:tcW w:w="2126" w:type="dxa"/>
            <w:vAlign w:val="bottom"/>
          </w:tcPr>
          <w:p w14:paraId="72A3104B"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7,0%</w:t>
            </w:r>
          </w:p>
        </w:tc>
        <w:tc>
          <w:tcPr>
            <w:tcW w:w="1473" w:type="dxa"/>
            <w:vAlign w:val="bottom"/>
          </w:tcPr>
          <w:p w14:paraId="74B4EF2D"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0,8</w:t>
            </w:r>
          </w:p>
        </w:tc>
      </w:tr>
      <w:tr w:rsidR="004A2F79" w14:paraId="3F2EE30B"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639AC748"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León</w:t>
            </w:r>
          </w:p>
        </w:tc>
        <w:tc>
          <w:tcPr>
            <w:tcW w:w="1985" w:type="dxa"/>
            <w:vAlign w:val="bottom"/>
          </w:tcPr>
          <w:p w14:paraId="43DC0EB1"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León capital</w:t>
            </w:r>
          </w:p>
        </w:tc>
        <w:tc>
          <w:tcPr>
            <w:tcW w:w="1701" w:type="dxa"/>
            <w:vAlign w:val="bottom"/>
          </w:tcPr>
          <w:p w14:paraId="6C2C679A"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5,9%</w:t>
            </w:r>
          </w:p>
        </w:tc>
        <w:tc>
          <w:tcPr>
            <w:tcW w:w="2126" w:type="dxa"/>
            <w:vAlign w:val="bottom"/>
          </w:tcPr>
          <w:p w14:paraId="7E8F6DD6"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8,8%</w:t>
            </w:r>
          </w:p>
        </w:tc>
        <w:tc>
          <w:tcPr>
            <w:tcW w:w="1473" w:type="dxa"/>
            <w:vAlign w:val="bottom"/>
          </w:tcPr>
          <w:p w14:paraId="5F75A459"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2,9</w:t>
            </w:r>
          </w:p>
        </w:tc>
      </w:tr>
      <w:tr w:rsidR="004A2F79" w14:paraId="67093054"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4C8E861"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Salamanca</w:t>
            </w:r>
          </w:p>
        </w:tc>
        <w:tc>
          <w:tcPr>
            <w:tcW w:w="1985" w:type="dxa"/>
            <w:vAlign w:val="bottom"/>
          </w:tcPr>
          <w:p w14:paraId="2A877A60"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Salamanca capital</w:t>
            </w:r>
          </w:p>
        </w:tc>
        <w:tc>
          <w:tcPr>
            <w:tcW w:w="1701" w:type="dxa"/>
            <w:vAlign w:val="bottom"/>
          </w:tcPr>
          <w:p w14:paraId="2A6E8400"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5,4%</w:t>
            </w:r>
          </w:p>
        </w:tc>
        <w:tc>
          <w:tcPr>
            <w:tcW w:w="2126" w:type="dxa"/>
            <w:vAlign w:val="bottom"/>
          </w:tcPr>
          <w:p w14:paraId="6CCAC6A5"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5,9%</w:t>
            </w:r>
          </w:p>
        </w:tc>
        <w:tc>
          <w:tcPr>
            <w:tcW w:w="1473" w:type="dxa"/>
            <w:vAlign w:val="bottom"/>
          </w:tcPr>
          <w:p w14:paraId="3A338F31"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0,5</w:t>
            </w:r>
          </w:p>
        </w:tc>
      </w:tr>
      <w:tr w:rsidR="004A2F79" w14:paraId="6355F45B"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668FE513"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Valladolid</w:t>
            </w:r>
          </w:p>
        </w:tc>
        <w:tc>
          <w:tcPr>
            <w:tcW w:w="1985" w:type="dxa"/>
            <w:vAlign w:val="bottom"/>
          </w:tcPr>
          <w:p w14:paraId="3953EC95"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Valladolid capital</w:t>
            </w:r>
          </w:p>
        </w:tc>
        <w:tc>
          <w:tcPr>
            <w:tcW w:w="1701" w:type="dxa"/>
            <w:vAlign w:val="bottom"/>
          </w:tcPr>
          <w:p w14:paraId="63A7F26F"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5,6%</w:t>
            </w:r>
          </w:p>
        </w:tc>
        <w:tc>
          <w:tcPr>
            <w:tcW w:w="2126" w:type="dxa"/>
            <w:vAlign w:val="bottom"/>
          </w:tcPr>
          <w:p w14:paraId="3D0C7227"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6,8%</w:t>
            </w:r>
          </w:p>
        </w:tc>
        <w:tc>
          <w:tcPr>
            <w:tcW w:w="1473" w:type="dxa"/>
            <w:vAlign w:val="bottom"/>
          </w:tcPr>
          <w:p w14:paraId="2184163D"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1,2</w:t>
            </w:r>
          </w:p>
        </w:tc>
      </w:tr>
      <w:tr w:rsidR="004A2F79" w14:paraId="210064B2"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738C2ADC"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Albacete</w:t>
            </w:r>
          </w:p>
        </w:tc>
        <w:tc>
          <w:tcPr>
            <w:tcW w:w="1985" w:type="dxa"/>
            <w:vAlign w:val="bottom"/>
          </w:tcPr>
          <w:p w14:paraId="63553806"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Albacete capital</w:t>
            </w:r>
          </w:p>
        </w:tc>
        <w:tc>
          <w:tcPr>
            <w:tcW w:w="1701" w:type="dxa"/>
            <w:vAlign w:val="bottom"/>
          </w:tcPr>
          <w:p w14:paraId="575332FE"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5,7%</w:t>
            </w:r>
          </w:p>
        </w:tc>
        <w:tc>
          <w:tcPr>
            <w:tcW w:w="2126" w:type="dxa"/>
            <w:vAlign w:val="bottom"/>
          </w:tcPr>
          <w:p w14:paraId="2DD81AEF"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7,0%</w:t>
            </w:r>
          </w:p>
        </w:tc>
        <w:tc>
          <w:tcPr>
            <w:tcW w:w="1473" w:type="dxa"/>
            <w:vAlign w:val="bottom"/>
          </w:tcPr>
          <w:p w14:paraId="568E0270"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1,4</w:t>
            </w:r>
          </w:p>
        </w:tc>
      </w:tr>
      <w:tr w:rsidR="004A2F79" w14:paraId="3E029244"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2723CA9F"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Barcelona</w:t>
            </w:r>
          </w:p>
        </w:tc>
        <w:tc>
          <w:tcPr>
            <w:tcW w:w="1985" w:type="dxa"/>
            <w:vAlign w:val="bottom"/>
          </w:tcPr>
          <w:p w14:paraId="2320F3F4"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Barcelona capital</w:t>
            </w:r>
          </w:p>
        </w:tc>
        <w:tc>
          <w:tcPr>
            <w:tcW w:w="1701" w:type="dxa"/>
            <w:vAlign w:val="bottom"/>
          </w:tcPr>
          <w:p w14:paraId="423BA857"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5,6%</w:t>
            </w:r>
          </w:p>
        </w:tc>
        <w:tc>
          <w:tcPr>
            <w:tcW w:w="2126" w:type="dxa"/>
            <w:vAlign w:val="bottom"/>
          </w:tcPr>
          <w:p w14:paraId="05B5DD23"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6,2%</w:t>
            </w:r>
          </w:p>
        </w:tc>
        <w:tc>
          <w:tcPr>
            <w:tcW w:w="1473" w:type="dxa"/>
            <w:vAlign w:val="bottom"/>
          </w:tcPr>
          <w:p w14:paraId="2CF13ECA"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0,6</w:t>
            </w:r>
          </w:p>
        </w:tc>
      </w:tr>
      <w:tr w:rsidR="004A2F79" w14:paraId="7F6E93BB"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3B20E1A"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Barcelona</w:t>
            </w:r>
          </w:p>
        </w:tc>
        <w:tc>
          <w:tcPr>
            <w:tcW w:w="1985" w:type="dxa"/>
            <w:vAlign w:val="bottom"/>
          </w:tcPr>
          <w:p w14:paraId="60D3B54A"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L'Hospitalet de Llobregat</w:t>
            </w:r>
          </w:p>
        </w:tc>
        <w:tc>
          <w:tcPr>
            <w:tcW w:w="1701" w:type="dxa"/>
            <w:vAlign w:val="bottom"/>
          </w:tcPr>
          <w:p w14:paraId="34DEBA6A"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8,9%</w:t>
            </w:r>
          </w:p>
        </w:tc>
        <w:tc>
          <w:tcPr>
            <w:tcW w:w="2126" w:type="dxa"/>
            <w:vAlign w:val="bottom"/>
          </w:tcPr>
          <w:p w14:paraId="5FA248E0"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9,1%</w:t>
            </w:r>
          </w:p>
        </w:tc>
        <w:tc>
          <w:tcPr>
            <w:tcW w:w="1473" w:type="dxa"/>
            <w:vAlign w:val="bottom"/>
          </w:tcPr>
          <w:p w14:paraId="6FD2A771"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0,2</w:t>
            </w:r>
          </w:p>
        </w:tc>
      </w:tr>
      <w:tr w:rsidR="004A2F79" w14:paraId="79DA464D"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50266C89"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Alicante</w:t>
            </w:r>
          </w:p>
        </w:tc>
        <w:tc>
          <w:tcPr>
            <w:tcW w:w="1985" w:type="dxa"/>
            <w:vAlign w:val="bottom"/>
          </w:tcPr>
          <w:p w14:paraId="6D1EAA7E"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Alcoy / Alcoi</w:t>
            </w:r>
          </w:p>
        </w:tc>
        <w:tc>
          <w:tcPr>
            <w:tcW w:w="1701" w:type="dxa"/>
            <w:vAlign w:val="bottom"/>
          </w:tcPr>
          <w:p w14:paraId="4C7FA519"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7,2%</w:t>
            </w:r>
          </w:p>
        </w:tc>
        <w:tc>
          <w:tcPr>
            <w:tcW w:w="2126" w:type="dxa"/>
            <w:vAlign w:val="bottom"/>
          </w:tcPr>
          <w:p w14:paraId="57ED9DB3"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9,0%</w:t>
            </w:r>
          </w:p>
        </w:tc>
        <w:tc>
          <w:tcPr>
            <w:tcW w:w="1473" w:type="dxa"/>
            <w:vAlign w:val="bottom"/>
          </w:tcPr>
          <w:p w14:paraId="51C7D243"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1,8</w:t>
            </w:r>
          </w:p>
        </w:tc>
      </w:tr>
      <w:tr w:rsidR="004A2F79" w14:paraId="4DA69C79"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45C802BD"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Alicante</w:t>
            </w:r>
          </w:p>
        </w:tc>
        <w:tc>
          <w:tcPr>
            <w:tcW w:w="1985" w:type="dxa"/>
            <w:vAlign w:val="bottom"/>
          </w:tcPr>
          <w:p w14:paraId="251DF5C9"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Alicante / Alacant</w:t>
            </w:r>
          </w:p>
        </w:tc>
        <w:tc>
          <w:tcPr>
            <w:tcW w:w="1701" w:type="dxa"/>
            <w:vAlign w:val="bottom"/>
          </w:tcPr>
          <w:p w14:paraId="096AF3CB"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6,8%</w:t>
            </w:r>
          </w:p>
        </w:tc>
        <w:tc>
          <w:tcPr>
            <w:tcW w:w="2126" w:type="dxa"/>
            <w:vAlign w:val="bottom"/>
          </w:tcPr>
          <w:p w14:paraId="67176911"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7,9%</w:t>
            </w:r>
          </w:p>
        </w:tc>
        <w:tc>
          <w:tcPr>
            <w:tcW w:w="1473" w:type="dxa"/>
            <w:vAlign w:val="bottom"/>
          </w:tcPr>
          <w:p w14:paraId="0826A578"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1,1</w:t>
            </w:r>
          </w:p>
        </w:tc>
      </w:tr>
      <w:tr w:rsidR="004A2F79" w14:paraId="109D4298"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BCDAA6C"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Alicante</w:t>
            </w:r>
          </w:p>
        </w:tc>
        <w:tc>
          <w:tcPr>
            <w:tcW w:w="1985" w:type="dxa"/>
            <w:vAlign w:val="bottom"/>
          </w:tcPr>
          <w:p w14:paraId="6C0FAA41"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Elche / Elx</w:t>
            </w:r>
          </w:p>
        </w:tc>
        <w:tc>
          <w:tcPr>
            <w:tcW w:w="1701" w:type="dxa"/>
            <w:vAlign w:val="bottom"/>
          </w:tcPr>
          <w:p w14:paraId="30036238"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7,1%</w:t>
            </w:r>
          </w:p>
        </w:tc>
        <w:tc>
          <w:tcPr>
            <w:tcW w:w="2126" w:type="dxa"/>
            <w:vAlign w:val="bottom"/>
          </w:tcPr>
          <w:p w14:paraId="0CDBD9AF"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8,0%</w:t>
            </w:r>
          </w:p>
        </w:tc>
        <w:tc>
          <w:tcPr>
            <w:tcW w:w="1473" w:type="dxa"/>
            <w:vAlign w:val="bottom"/>
          </w:tcPr>
          <w:p w14:paraId="693AD228"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0,9</w:t>
            </w:r>
          </w:p>
        </w:tc>
      </w:tr>
      <w:tr w:rsidR="004A2F79" w14:paraId="469AA638"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7C107092"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lastRenderedPageBreak/>
              <w:t>Castellón</w:t>
            </w:r>
          </w:p>
        </w:tc>
        <w:tc>
          <w:tcPr>
            <w:tcW w:w="1985" w:type="dxa"/>
            <w:vAlign w:val="bottom"/>
          </w:tcPr>
          <w:p w14:paraId="1DBB8974"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Castellón de la Plana / Castelló de la Plana</w:t>
            </w:r>
          </w:p>
        </w:tc>
        <w:tc>
          <w:tcPr>
            <w:tcW w:w="1701" w:type="dxa"/>
            <w:vAlign w:val="bottom"/>
          </w:tcPr>
          <w:p w14:paraId="3E94D6B8"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6,9%</w:t>
            </w:r>
          </w:p>
        </w:tc>
        <w:tc>
          <w:tcPr>
            <w:tcW w:w="2126" w:type="dxa"/>
            <w:vAlign w:val="bottom"/>
          </w:tcPr>
          <w:p w14:paraId="6EFE37CB"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8,8%</w:t>
            </w:r>
          </w:p>
        </w:tc>
        <w:tc>
          <w:tcPr>
            <w:tcW w:w="1473" w:type="dxa"/>
            <w:vAlign w:val="bottom"/>
          </w:tcPr>
          <w:p w14:paraId="29AF569E"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1,9</w:t>
            </w:r>
          </w:p>
        </w:tc>
      </w:tr>
      <w:tr w:rsidR="004A2F79" w14:paraId="5A541B42"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5E77C60"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Valencia</w:t>
            </w:r>
          </w:p>
        </w:tc>
        <w:tc>
          <w:tcPr>
            <w:tcW w:w="1985" w:type="dxa"/>
            <w:vAlign w:val="bottom"/>
          </w:tcPr>
          <w:p w14:paraId="0C9B340A"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Valencia capital</w:t>
            </w:r>
          </w:p>
        </w:tc>
        <w:tc>
          <w:tcPr>
            <w:tcW w:w="1701" w:type="dxa"/>
            <w:vAlign w:val="bottom"/>
          </w:tcPr>
          <w:p w14:paraId="392809D9"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6,6%</w:t>
            </w:r>
          </w:p>
        </w:tc>
        <w:tc>
          <w:tcPr>
            <w:tcW w:w="2126" w:type="dxa"/>
            <w:vAlign w:val="bottom"/>
          </w:tcPr>
          <w:p w14:paraId="500E95BC"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7,0%</w:t>
            </w:r>
          </w:p>
        </w:tc>
        <w:tc>
          <w:tcPr>
            <w:tcW w:w="1473" w:type="dxa"/>
            <w:vAlign w:val="bottom"/>
          </w:tcPr>
          <w:p w14:paraId="5A932736"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0,4</w:t>
            </w:r>
          </w:p>
        </w:tc>
      </w:tr>
      <w:tr w:rsidR="004A2F79" w14:paraId="28A5DD34"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67A6883E"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Pontevedra</w:t>
            </w:r>
          </w:p>
        </w:tc>
        <w:tc>
          <w:tcPr>
            <w:tcW w:w="1985" w:type="dxa"/>
            <w:vAlign w:val="bottom"/>
          </w:tcPr>
          <w:p w14:paraId="7AC5A77C"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Vigo</w:t>
            </w:r>
          </w:p>
        </w:tc>
        <w:tc>
          <w:tcPr>
            <w:tcW w:w="1701" w:type="dxa"/>
            <w:vAlign w:val="bottom"/>
          </w:tcPr>
          <w:p w14:paraId="0BB72EA5"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4,7%</w:t>
            </w:r>
          </w:p>
        </w:tc>
        <w:tc>
          <w:tcPr>
            <w:tcW w:w="2126" w:type="dxa"/>
            <w:vAlign w:val="bottom"/>
          </w:tcPr>
          <w:p w14:paraId="0D852751"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6,2%</w:t>
            </w:r>
          </w:p>
        </w:tc>
        <w:tc>
          <w:tcPr>
            <w:tcW w:w="1473" w:type="dxa"/>
            <w:vAlign w:val="bottom"/>
          </w:tcPr>
          <w:p w14:paraId="48420AD1"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1,5</w:t>
            </w:r>
          </w:p>
        </w:tc>
      </w:tr>
      <w:tr w:rsidR="004A2F79" w14:paraId="00065069"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7E23CF3B"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La Rioja</w:t>
            </w:r>
          </w:p>
        </w:tc>
        <w:tc>
          <w:tcPr>
            <w:tcW w:w="1985" w:type="dxa"/>
            <w:vAlign w:val="bottom"/>
          </w:tcPr>
          <w:p w14:paraId="3ED2053E"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Logroño</w:t>
            </w:r>
          </w:p>
        </w:tc>
        <w:tc>
          <w:tcPr>
            <w:tcW w:w="1701" w:type="dxa"/>
            <w:vAlign w:val="bottom"/>
          </w:tcPr>
          <w:p w14:paraId="1A1FEA47"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5,3%</w:t>
            </w:r>
          </w:p>
        </w:tc>
        <w:tc>
          <w:tcPr>
            <w:tcW w:w="2126" w:type="dxa"/>
            <w:vAlign w:val="bottom"/>
          </w:tcPr>
          <w:p w14:paraId="556B5599"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6,8%</w:t>
            </w:r>
          </w:p>
        </w:tc>
        <w:tc>
          <w:tcPr>
            <w:tcW w:w="1473" w:type="dxa"/>
            <w:vAlign w:val="bottom"/>
          </w:tcPr>
          <w:p w14:paraId="11BFA414"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1,6</w:t>
            </w:r>
          </w:p>
        </w:tc>
      </w:tr>
      <w:tr w:rsidR="004A2F79" w14:paraId="6D2885B6"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D478804"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w:t>
            </w:r>
          </w:p>
        </w:tc>
        <w:tc>
          <w:tcPr>
            <w:tcW w:w="1985" w:type="dxa"/>
            <w:vAlign w:val="bottom"/>
          </w:tcPr>
          <w:p w14:paraId="0C39B9F4"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Alcalá de Henares</w:t>
            </w:r>
          </w:p>
        </w:tc>
        <w:tc>
          <w:tcPr>
            <w:tcW w:w="1701" w:type="dxa"/>
            <w:vAlign w:val="bottom"/>
          </w:tcPr>
          <w:p w14:paraId="1D9F8520"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6,4%</w:t>
            </w:r>
          </w:p>
        </w:tc>
        <w:tc>
          <w:tcPr>
            <w:tcW w:w="2126" w:type="dxa"/>
            <w:vAlign w:val="bottom"/>
          </w:tcPr>
          <w:p w14:paraId="0BC2E8D9"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7,2%</w:t>
            </w:r>
          </w:p>
        </w:tc>
        <w:tc>
          <w:tcPr>
            <w:tcW w:w="1473" w:type="dxa"/>
            <w:vAlign w:val="bottom"/>
          </w:tcPr>
          <w:p w14:paraId="4F6B9463"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0,8</w:t>
            </w:r>
          </w:p>
        </w:tc>
      </w:tr>
      <w:tr w:rsidR="004A2F79" w14:paraId="73E3F3A5"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469E7899"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w:t>
            </w:r>
          </w:p>
        </w:tc>
        <w:tc>
          <w:tcPr>
            <w:tcW w:w="1985" w:type="dxa"/>
            <w:vAlign w:val="bottom"/>
          </w:tcPr>
          <w:p w14:paraId="48856B8F"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Getafe</w:t>
            </w:r>
          </w:p>
        </w:tc>
        <w:tc>
          <w:tcPr>
            <w:tcW w:w="1701" w:type="dxa"/>
            <w:vAlign w:val="bottom"/>
          </w:tcPr>
          <w:p w14:paraId="417C2EF5"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5,9%</w:t>
            </w:r>
          </w:p>
        </w:tc>
        <w:tc>
          <w:tcPr>
            <w:tcW w:w="2126" w:type="dxa"/>
            <w:vAlign w:val="bottom"/>
          </w:tcPr>
          <w:p w14:paraId="542236F5"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8,1%</w:t>
            </w:r>
          </w:p>
        </w:tc>
        <w:tc>
          <w:tcPr>
            <w:tcW w:w="1473" w:type="dxa"/>
            <w:vAlign w:val="bottom"/>
          </w:tcPr>
          <w:p w14:paraId="3FA3398F"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2,2</w:t>
            </w:r>
          </w:p>
        </w:tc>
      </w:tr>
      <w:tr w:rsidR="004A2F79" w14:paraId="5F8C24FF"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B06F2D6"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w:t>
            </w:r>
          </w:p>
        </w:tc>
        <w:tc>
          <w:tcPr>
            <w:tcW w:w="1985" w:type="dxa"/>
            <w:vAlign w:val="bottom"/>
          </w:tcPr>
          <w:p w14:paraId="249EB2D1"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Leganés</w:t>
            </w:r>
          </w:p>
        </w:tc>
        <w:tc>
          <w:tcPr>
            <w:tcW w:w="1701" w:type="dxa"/>
            <w:vAlign w:val="bottom"/>
          </w:tcPr>
          <w:p w14:paraId="773EC2CE"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6,4%</w:t>
            </w:r>
          </w:p>
        </w:tc>
        <w:tc>
          <w:tcPr>
            <w:tcW w:w="2126" w:type="dxa"/>
            <w:vAlign w:val="bottom"/>
          </w:tcPr>
          <w:p w14:paraId="3DC45298"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7,9%</w:t>
            </w:r>
          </w:p>
        </w:tc>
        <w:tc>
          <w:tcPr>
            <w:tcW w:w="1473" w:type="dxa"/>
            <w:vAlign w:val="bottom"/>
          </w:tcPr>
          <w:p w14:paraId="2FA17181"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1,4</w:t>
            </w:r>
          </w:p>
        </w:tc>
      </w:tr>
      <w:tr w:rsidR="004A2F79" w14:paraId="26422361"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1E744140"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w:t>
            </w:r>
          </w:p>
        </w:tc>
        <w:tc>
          <w:tcPr>
            <w:tcW w:w="1985" w:type="dxa"/>
            <w:vAlign w:val="bottom"/>
          </w:tcPr>
          <w:p w14:paraId="6CF7FC54"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Madrid capital</w:t>
            </w:r>
          </w:p>
        </w:tc>
        <w:tc>
          <w:tcPr>
            <w:tcW w:w="1701" w:type="dxa"/>
            <w:vAlign w:val="bottom"/>
          </w:tcPr>
          <w:p w14:paraId="009818AF"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5,0%</w:t>
            </w:r>
          </w:p>
        </w:tc>
        <w:tc>
          <w:tcPr>
            <w:tcW w:w="2126" w:type="dxa"/>
            <w:vAlign w:val="bottom"/>
          </w:tcPr>
          <w:p w14:paraId="65F78FEB"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5,5%</w:t>
            </w:r>
          </w:p>
        </w:tc>
        <w:tc>
          <w:tcPr>
            <w:tcW w:w="1473" w:type="dxa"/>
            <w:vAlign w:val="bottom"/>
          </w:tcPr>
          <w:p w14:paraId="655919DD"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0,6</w:t>
            </w:r>
          </w:p>
        </w:tc>
      </w:tr>
      <w:tr w:rsidR="004A2F79" w14:paraId="1DE9A823"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52540FE3"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w:t>
            </w:r>
          </w:p>
        </w:tc>
        <w:tc>
          <w:tcPr>
            <w:tcW w:w="1985" w:type="dxa"/>
            <w:vAlign w:val="bottom"/>
          </w:tcPr>
          <w:p w14:paraId="7DF25486"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Móstoles</w:t>
            </w:r>
          </w:p>
        </w:tc>
        <w:tc>
          <w:tcPr>
            <w:tcW w:w="1701" w:type="dxa"/>
            <w:vAlign w:val="bottom"/>
          </w:tcPr>
          <w:p w14:paraId="54A18972"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6,6%</w:t>
            </w:r>
          </w:p>
        </w:tc>
        <w:tc>
          <w:tcPr>
            <w:tcW w:w="2126" w:type="dxa"/>
            <w:vAlign w:val="bottom"/>
          </w:tcPr>
          <w:p w14:paraId="5422C27D"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8,3%</w:t>
            </w:r>
          </w:p>
        </w:tc>
        <w:tc>
          <w:tcPr>
            <w:tcW w:w="1473" w:type="dxa"/>
            <w:vAlign w:val="bottom"/>
          </w:tcPr>
          <w:p w14:paraId="548C1AB6"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1,7</w:t>
            </w:r>
          </w:p>
        </w:tc>
      </w:tr>
      <w:tr w:rsidR="004A2F79" w14:paraId="3E8366C3"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27E40F66"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Navarra</w:t>
            </w:r>
          </w:p>
        </w:tc>
        <w:tc>
          <w:tcPr>
            <w:tcW w:w="1985" w:type="dxa"/>
            <w:vAlign w:val="bottom"/>
          </w:tcPr>
          <w:p w14:paraId="732F76DF"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Pamplona / Iruña</w:t>
            </w:r>
          </w:p>
        </w:tc>
        <w:tc>
          <w:tcPr>
            <w:tcW w:w="1701" w:type="dxa"/>
            <w:vAlign w:val="bottom"/>
          </w:tcPr>
          <w:p w14:paraId="7EF03967"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4,5%</w:t>
            </w:r>
          </w:p>
        </w:tc>
        <w:tc>
          <w:tcPr>
            <w:tcW w:w="2126" w:type="dxa"/>
            <w:vAlign w:val="bottom"/>
          </w:tcPr>
          <w:p w14:paraId="60D70FF0"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8,5%</w:t>
            </w:r>
          </w:p>
        </w:tc>
        <w:tc>
          <w:tcPr>
            <w:tcW w:w="1473" w:type="dxa"/>
            <w:vAlign w:val="bottom"/>
          </w:tcPr>
          <w:p w14:paraId="358B5D34"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4,0</w:t>
            </w:r>
          </w:p>
        </w:tc>
      </w:tr>
      <w:tr w:rsidR="004A2F79" w14:paraId="5F6DE124"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520A1CA2"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Bizkaia</w:t>
            </w:r>
          </w:p>
        </w:tc>
        <w:tc>
          <w:tcPr>
            <w:tcW w:w="1985" w:type="dxa"/>
            <w:vAlign w:val="bottom"/>
          </w:tcPr>
          <w:p w14:paraId="68F94BDD"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Bilbao</w:t>
            </w:r>
          </w:p>
        </w:tc>
        <w:tc>
          <w:tcPr>
            <w:tcW w:w="1701" w:type="dxa"/>
            <w:vAlign w:val="bottom"/>
          </w:tcPr>
          <w:p w14:paraId="3EE05565"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5,3%</w:t>
            </w:r>
          </w:p>
        </w:tc>
        <w:tc>
          <w:tcPr>
            <w:tcW w:w="2126" w:type="dxa"/>
            <w:vAlign w:val="bottom"/>
          </w:tcPr>
          <w:p w14:paraId="3F38E40D"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7,3%</w:t>
            </w:r>
          </w:p>
        </w:tc>
        <w:tc>
          <w:tcPr>
            <w:tcW w:w="1473" w:type="dxa"/>
            <w:vAlign w:val="bottom"/>
          </w:tcPr>
          <w:p w14:paraId="049190D5"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2,0</w:t>
            </w:r>
          </w:p>
        </w:tc>
      </w:tr>
      <w:tr w:rsidR="004A2F79" w14:paraId="6F92EF5D"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156310E6"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Murcia</w:t>
            </w:r>
          </w:p>
        </w:tc>
        <w:tc>
          <w:tcPr>
            <w:tcW w:w="1985" w:type="dxa"/>
            <w:vAlign w:val="bottom"/>
          </w:tcPr>
          <w:p w14:paraId="148C13D6"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Cartagena</w:t>
            </w:r>
          </w:p>
        </w:tc>
        <w:tc>
          <w:tcPr>
            <w:tcW w:w="1701" w:type="dxa"/>
            <w:vAlign w:val="bottom"/>
          </w:tcPr>
          <w:p w14:paraId="5CE1A8C5"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6,9%</w:t>
            </w:r>
          </w:p>
        </w:tc>
        <w:tc>
          <w:tcPr>
            <w:tcW w:w="2126" w:type="dxa"/>
            <w:vAlign w:val="bottom"/>
          </w:tcPr>
          <w:p w14:paraId="581477F7"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10,0%</w:t>
            </w:r>
          </w:p>
        </w:tc>
        <w:tc>
          <w:tcPr>
            <w:tcW w:w="1473" w:type="dxa"/>
            <w:vAlign w:val="bottom"/>
          </w:tcPr>
          <w:p w14:paraId="244B15E0"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3,1</w:t>
            </w:r>
          </w:p>
        </w:tc>
      </w:tr>
      <w:tr w:rsidR="004A2F79" w14:paraId="276715B9"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72F5BD71"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Murcia</w:t>
            </w:r>
          </w:p>
        </w:tc>
        <w:tc>
          <w:tcPr>
            <w:tcW w:w="1985" w:type="dxa"/>
            <w:vAlign w:val="bottom"/>
          </w:tcPr>
          <w:p w14:paraId="58717F3A"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Murcia capital</w:t>
            </w:r>
          </w:p>
        </w:tc>
        <w:tc>
          <w:tcPr>
            <w:tcW w:w="1701" w:type="dxa"/>
            <w:vAlign w:val="bottom"/>
          </w:tcPr>
          <w:p w14:paraId="152AB28F"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6,9%</w:t>
            </w:r>
          </w:p>
        </w:tc>
        <w:tc>
          <w:tcPr>
            <w:tcW w:w="2126" w:type="dxa"/>
            <w:vAlign w:val="bottom"/>
          </w:tcPr>
          <w:p w14:paraId="2210CD4D"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9,2%</w:t>
            </w:r>
          </w:p>
        </w:tc>
        <w:tc>
          <w:tcPr>
            <w:tcW w:w="1473" w:type="dxa"/>
            <w:vAlign w:val="bottom"/>
          </w:tcPr>
          <w:p w14:paraId="79A0C308"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2,3</w:t>
            </w:r>
          </w:p>
        </w:tc>
      </w:tr>
    </w:tbl>
    <w:p w14:paraId="38B931F3" w14:textId="77777777" w:rsidR="004A2F79"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0"/>
          <w:szCs w:val="20"/>
        </w:rPr>
      </w:pPr>
      <w:r>
        <w:rPr>
          <w:rFonts w:ascii="Open Sans Light" w:eastAsia="Open Sans Light" w:hAnsi="Open Sans Light" w:cs="Open Sans Light"/>
          <w:b/>
          <w:color w:val="303AB2"/>
          <w:u w:val="single"/>
        </w:rPr>
        <w:t>Tabla por distritos</w:t>
      </w:r>
      <w:r>
        <w:rPr>
          <w:rFonts w:ascii="Open Sans Light" w:eastAsia="Open Sans Light" w:hAnsi="Open Sans Light" w:cs="Open Sans Light"/>
          <w:b/>
          <w:color w:val="303AB2"/>
        </w:rPr>
        <w:t>: Rentabilidad de vivienda de 80 m</w:t>
      </w:r>
      <w:r>
        <w:rPr>
          <w:rFonts w:ascii="Open Sans Light" w:eastAsia="Open Sans Light" w:hAnsi="Open Sans Light" w:cs="Open Sans Light"/>
          <w:b/>
          <w:color w:val="303AB2"/>
          <w:vertAlign w:val="superscript"/>
        </w:rPr>
        <w:t>2</w:t>
      </w:r>
      <w:r>
        <w:rPr>
          <w:rFonts w:ascii="Open Sans Light" w:eastAsia="Open Sans Light" w:hAnsi="Open Sans Light" w:cs="Open Sans Light"/>
          <w:b/>
          <w:color w:val="303AB2"/>
        </w:rPr>
        <w:t xml:space="preserve"> completa vs alquiler de 3 habitaciones </w:t>
      </w:r>
    </w:p>
    <w:tbl>
      <w:tblPr>
        <w:tblStyle w:val="a1"/>
        <w:tblW w:w="912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38"/>
        <w:gridCol w:w="1985"/>
        <w:gridCol w:w="1701"/>
        <w:gridCol w:w="2126"/>
        <w:gridCol w:w="1473"/>
      </w:tblGrid>
      <w:tr w:rsidR="004A2F79" w14:paraId="5429D917" w14:textId="77777777" w:rsidTr="004A2F79">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3BE05A7" w14:textId="77777777" w:rsidR="004A2F79" w:rsidRDefault="00000000">
            <w:pPr>
              <w:rPr>
                <w:rFonts w:ascii="Open Sans" w:eastAsia="Open Sans" w:hAnsi="Open Sans" w:cs="Open Sans"/>
                <w:sz w:val="20"/>
                <w:szCs w:val="20"/>
              </w:rPr>
            </w:pPr>
            <w:bookmarkStart w:id="2" w:name="_heading=h.1fob9te" w:colFirst="0" w:colLast="0"/>
            <w:bookmarkEnd w:id="2"/>
            <w:r>
              <w:rPr>
                <w:rFonts w:ascii="Open Sans" w:eastAsia="Open Sans" w:hAnsi="Open Sans" w:cs="Open Sans"/>
                <w:b w:val="0"/>
                <w:sz w:val="20"/>
                <w:szCs w:val="20"/>
              </w:rPr>
              <w:t>Municipio</w:t>
            </w:r>
          </w:p>
        </w:tc>
        <w:tc>
          <w:tcPr>
            <w:tcW w:w="1985" w:type="dxa"/>
            <w:vAlign w:val="center"/>
          </w:tcPr>
          <w:p w14:paraId="1BEBB15C" w14:textId="77777777" w:rsidR="004A2F79" w:rsidRDefault="00000000">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Distrito</w:t>
            </w:r>
          </w:p>
        </w:tc>
        <w:tc>
          <w:tcPr>
            <w:tcW w:w="1701" w:type="dxa"/>
            <w:vAlign w:val="center"/>
          </w:tcPr>
          <w:p w14:paraId="3BFFDA28" w14:textId="77777777" w:rsidR="004A2F79"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 xml:space="preserve"> Rentabilidad vivienda 80 m</w:t>
            </w:r>
            <w:r>
              <w:rPr>
                <w:rFonts w:ascii="Open Sans" w:eastAsia="Open Sans" w:hAnsi="Open Sans" w:cs="Open Sans"/>
                <w:b w:val="0"/>
                <w:sz w:val="20"/>
                <w:szCs w:val="20"/>
                <w:vertAlign w:val="superscript"/>
              </w:rPr>
              <w:t xml:space="preserve">2 </w:t>
            </w:r>
            <w:r>
              <w:rPr>
                <w:rFonts w:ascii="Open Sans" w:eastAsia="Open Sans" w:hAnsi="Open Sans" w:cs="Open Sans"/>
                <w:b w:val="0"/>
                <w:sz w:val="20"/>
                <w:szCs w:val="20"/>
              </w:rPr>
              <w:t xml:space="preserve">(sept-23) </w:t>
            </w:r>
          </w:p>
        </w:tc>
        <w:tc>
          <w:tcPr>
            <w:tcW w:w="2126" w:type="dxa"/>
            <w:vAlign w:val="center"/>
          </w:tcPr>
          <w:p w14:paraId="61611229" w14:textId="77777777" w:rsidR="004A2F79"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i/>
                <w:sz w:val="20"/>
                <w:szCs w:val="20"/>
              </w:rPr>
            </w:pPr>
            <w:r>
              <w:rPr>
                <w:rFonts w:ascii="Open Sans" w:eastAsia="Open Sans" w:hAnsi="Open Sans" w:cs="Open Sans"/>
                <w:b w:val="0"/>
                <w:sz w:val="20"/>
                <w:szCs w:val="20"/>
              </w:rPr>
              <w:t xml:space="preserve"> Rentabilidad de una vivenda compartida de 3 hab. (sept-23) </w:t>
            </w:r>
          </w:p>
        </w:tc>
        <w:tc>
          <w:tcPr>
            <w:tcW w:w="1473" w:type="dxa"/>
            <w:vAlign w:val="center"/>
          </w:tcPr>
          <w:p w14:paraId="6402A2BB" w14:textId="77777777" w:rsidR="004A2F79"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 xml:space="preserve"> Diferencia punto porcentual </w:t>
            </w:r>
          </w:p>
        </w:tc>
      </w:tr>
      <w:tr w:rsidR="004A2F79" w14:paraId="0E96CD26"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647A3C8B"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Córdoba capital</w:t>
            </w:r>
          </w:p>
        </w:tc>
        <w:tc>
          <w:tcPr>
            <w:tcW w:w="1985" w:type="dxa"/>
            <w:vAlign w:val="bottom"/>
          </w:tcPr>
          <w:p w14:paraId="40717DA2"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Centro</w:t>
            </w:r>
          </w:p>
        </w:tc>
        <w:tc>
          <w:tcPr>
            <w:tcW w:w="1701" w:type="dxa"/>
            <w:vAlign w:val="bottom"/>
          </w:tcPr>
          <w:p w14:paraId="5CED8139"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5,4%</w:t>
            </w:r>
          </w:p>
        </w:tc>
        <w:tc>
          <w:tcPr>
            <w:tcW w:w="2126" w:type="dxa"/>
            <w:vAlign w:val="bottom"/>
          </w:tcPr>
          <w:p w14:paraId="1E834B97"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7,4%</w:t>
            </w:r>
          </w:p>
        </w:tc>
        <w:tc>
          <w:tcPr>
            <w:tcW w:w="1473" w:type="dxa"/>
            <w:vAlign w:val="bottom"/>
          </w:tcPr>
          <w:p w14:paraId="2DF79834"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1,9</w:t>
            </w:r>
          </w:p>
        </w:tc>
      </w:tr>
      <w:tr w:rsidR="004A2F79" w14:paraId="5C344640"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4A48DE81"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Córdoba capital</w:t>
            </w:r>
          </w:p>
        </w:tc>
        <w:tc>
          <w:tcPr>
            <w:tcW w:w="1985" w:type="dxa"/>
            <w:vAlign w:val="bottom"/>
          </w:tcPr>
          <w:p w14:paraId="688CE170"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Poniente-Sur</w:t>
            </w:r>
          </w:p>
        </w:tc>
        <w:tc>
          <w:tcPr>
            <w:tcW w:w="1701" w:type="dxa"/>
            <w:vAlign w:val="bottom"/>
          </w:tcPr>
          <w:p w14:paraId="7FB17913"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5,5%</w:t>
            </w:r>
          </w:p>
        </w:tc>
        <w:tc>
          <w:tcPr>
            <w:tcW w:w="2126" w:type="dxa"/>
            <w:vAlign w:val="bottom"/>
          </w:tcPr>
          <w:p w14:paraId="567EC39D"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7,4%</w:t>
            </w:r>
          </w:p>
        </w:tc>
        <w:tc>
          <w:tcPr>
            <w:tcW w:w="1473" w:type="dxa"/>
            <w:vAlign w:val="bottom"/>
          </w:tcPr>
          <w:p w14:paraId="582345A9"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1,9</w:t>
            </w:r>
          </w:p>
        </w:tc>
      </w:tr>
      <w:tr w:rsidR="004A2F79" w14:paraId="249F7665"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5C77E7A1"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Granada capital</w:t>
            </w:r>
          </w:p>
        </w:tc>
        <w:tc>
          <w:tcPr>
            <w:tcW w:w="1985" w:type="dxa"/>
            <w:vAlign w:val="bottom"/>
          </w:tcPr>
          <w:p w14:paraId="7EFDF848"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Beiro</w:t>
            </w:r>
          </w:p>
        </w:tc>
        <w:tc>
          <w:tcPr>
            <w:tcW w:w="1701" w:type="dxa"/>
            <w:vAlign w:val="bottom"/>
          </w:tcPr>
          <w:p w14:paraId="702AD877"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5,4%</w:t>
            </w:r>
          </w:p>
        </w:tc>
        <w:tc>
          <w:tcPr>
            <w:tcW w:w="2126" w:type="dxa"/>
            <w:vAlign w:val="bottom"/>
          </w:tcPr>
          <w:p w14:paraId="36BF463E"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6,6%</w:t>
            </w:r>
          </w:p>
        </w:tc>
        <w:tc>
          <w:tcPr>
            <w:tcW w:w="1473" w:type="dxa"/>
            <w:vAlign w:val="bottom"/>
          </w:tcPr>
          <w:p w14:paraId="62F6797C"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1,3</w:t>
            </w:r>
          </w:p>
        </w:tc>
      </w:tr>
      <w:tr w:rsidR="004A2F79" w14:paraId="4A809F90"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148DCD32"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Granada capital</w:t>
            </w:r>
          </w:p>
        </w:tc>
        <w:tc>
          <w:tcPr>
            <w:tcW w:w="1985" w:type="dxa"/>
            <w:vAlign w:val="bottom"/>
          </w:tcPr>
          <w:p w14:paraId="1F05BC1A"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Centro</w:t>
            </w:r>
          </w:p>
        </w:tc>
        <w:tc>
          <w:tcPr>
            <w:tcW w:w="1701" w:type="dxa"/>
            <w:vAlign w:val="bottom"/>
          </w:tcPr>
          <w:p w14:paraId="3A0DE91E"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4,6%</w:t>
            </w:r>
          </w:p>
        </w:tc>
        <w:tc>
          <w:tcPr>
            <w:tcW w:w="2126" w:type="dxa"/>
            <w:vAlign w:val="bottom"/>
          </w:tcPr>
          <w:p w14:paraId="42B4FC2A"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6,1%</w:t>
            </w:r>
          </w:p>
        </w:tc>
        <w:tc>
          <w:tcPr>
            <w:tcW w:w="1473" w:type="dxa"/>
            <w:vAlign w:val="bottom"/>
          </w:tcPr>
          <w:p w14:paraId="343AB00D"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1,4</w:t>
            </w:r>
          </w:p>
        </w:tc>
      </w:tr>
      <w:tr w:rsidR="004A2F79" w14:paraId="320BF689"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43764409"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Granada capital</w:t>
            </w:r>
          </w:p>
        </w:tc>
        <w:tc>
          <w:tcPr>
            <w:tcW w:w="1985" w:type="dxa"/>
            <w:vAlign w:val="bottom"/>
          </w:tcPr>
          <w:p w14:paraId="2B1CD640"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Chana</w:t>
            </w:r>
          </w:p>
        </w:tc>
        <w:tc>
          <w:tcPr>
            <w:tcW w:w="1701" w:type="dxa"/>
            <w:vAlign w:val="bottom"/>
          </w:tcPr>
          <w:p w14:paraId="0C542BF2"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6,0%</w:t>
            </w:r>
          </w:p>
        </w:tc>
        <w:tc>
          <w:tcPr>
            <w:tcW w:w="2126" w:type="dxa"/>
            <w:vAlign w:val="bottom"/>
          </w:tcPr>
          <w:p w14:paraId="14269C76"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11,5%</w:t>
            </w:r>
          </w:p>
        </w:tc>
        <w:tc>
          <w:tcPr>
            <w:tcW w:w="1473" w:type="dxa"/>
            <w:vAlign w:val="bottom"/>
          </w:tcPr>
          <w:p w14:paraId="284D2187"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5,5</w:t>
            </w:r>
          </w:p>
        </w:tc>
      </w:tr>
      <w:tr w:rsidR="004A2F79" w14:paraId="435C6EF0"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FFDABFB"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Granada capital</w:t>
            </w:r>
          </w:p>
        </w:tc>
        <w:tc>
          <w:tcPr>
            <w:tcW w:w="1985" w:type="dxa"/>
            <w:vAlign w:val="bottom"/>
          </w:tcPr>
          <w:p w14:paraId="11BB773B"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Norte</w:t>
            </w:r>
          </w:p>
        </w:tc>
        <w:tc>
          <w:tcPr>
            <w:tcW w:w="1701" w:type="dxa"/>
            <w:vAlign w:val="bottom"/>
          </w:tcPr>
          <w:p w14:paraId="5FD9CB01"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8,7%</w:t>
            </w:r>
          </w:p>
        </w:tc>
        <w:tc>
          <w:tcPr>
            <w:tcW w:w="2126" w:type="dxa"/>
            <w:vAlign w:val="bottom"/>
          </w:tcPr>
          <w:p w14:paraId="414DC486"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10,1%</w:t>
            </w:r>
          </w:p>
        </w:tc>
        <w:tc>
          <w:tcPr>
            <w:tcW w:w="1473" w:type="dxa"/>
            <w:vAlign w:val="bottom"/>
          </w:tcPr>
          <w:p w14:paraId="5F791661"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1,4</w:t>
            </w:r>
          </w:p>
        </w:tc>
      </w:tr>
      <w:tr w:rsidR="004A2F79" w14:paraId="0E6209AB"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4C18D603"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Granada capital</w:t>
            </w:r>
          </w:p>
        </w:tc>
        <w:tc>
          <w:tcPr>
            <w:tcW w:w="1985" w:type="dxa"/>
            <w:vAlign w:val="bottom"/>
          </w:tcPr>
          <w:p w14:paraId="6FD70F59"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Ronda</w:t>
            </w:r>
          </w:p>
        </w:tc>
        <w:tc>
          <w:tcPr>
            <w:tcW w:w="1701" w:type="dxa"/>
            <w:vAlign w:val="bottom"/>
          </w:tcPr>
          <w:p w14:paraId="2874B681"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4,8%</w:t>
            </w:r>
          </w:p>
        </w:tc>
        <w:tc>
          <w:tcPr>
            <w:tcW w:w="2126" w:type="dxa"/>
            <w:vAlign w:val="bottom"/>
          </w:tcPr>
          <w:p w14:paraId="208A3F5E"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5,9%</w:t>
            </w:r>
          </w:p>
        </w:tc>
        <w:tc>
          <w:tcPr>
            <w:tcW w:w="1473" w:type="dxa"/>
            <w:vAlign w:val="bottom"/>
          </w:tcPr>
          <w:p w14:paraId="72ADBE14"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1,1</w:t>
            </w:r>
          </w:p>
        </w:tc>
      </w:tr>
      <w:tr w:rsidR="004A2F79" w14:paraId="641F5C98"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62199719"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Sevilla capital</w:t>
            </w:r>
          </w:p>
        </w:tc>
        <w:tc>
          <w:tcPr>
            <w:tcW w:w="1985" w:type="dxa"/>
            <w:vAlign w:val="bottom"/>
          </w:tcPr>
          <w:p w14:paraId="0AC679D8"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Casco Antiguo</w:t>
            </w:r>
          </w:p>
        </w:tc>
        <w:tc>
          <w:tcPr>
            <w:tcW w:w="1701" w:type="dxa"/>
            <w:vAlign w:val="bottom"/>
          </w:tcPr>
          <w:p w14:paraId="7B3D0C30"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4,5%</w:t>
            </w:r>
          </w:p>
        </w:tc>
        <w:tc>
          <w:tcPr>
            <w:tcW w:w="2126" w:type="dxa"/>
            <w:vAlign w:val="bottom"/>
          </w:tcPr>
          <w:p w14:paraId="70097A88"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6,0%</w:t>
            </w:r>
          </w:p>
        </w:tc>
        <w:tc>
          <w:tcPr>
            <w:tcW w:w="1473" w:type="dxa"/>
            <w:vAlign w:val="bottom"/>
          </w:tcPr>
          <w:p w14:paraId="36AE9F3B"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1,5</w:t>
            </w:r>
          </w:p>
        </w:tc>
      </w:tr>
      <w:tr w:rsidR="004A2F79" w14:paraId="441F1246"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22301BF8"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Sevilla capital</w:t>
            </w:r>
          </w:p>
        </w:tc>
        <w:tc>
          <w:tcPr>
            <w:tcW w:w="1985" w:type="dxa"/>
            <w:vAlign w:val="bottom"/>
          </w:tcPr>
          <w:p w14:paraId="2AADD063"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Macarena</w:t>
            </w:r>
          </w:p>
        </w:tc>
        <w:tc>
          <w:tcPr>
            <w:tcW w:w="1701" w:type="dxa"/>
            <w:vAlign w:val="bottom"/>
          </w:tcPr>
          <w:p w14:paraId="692030E4"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6,2%</w:t>
            </w:r>
          </w:p>
        </w:tc>
        <w:tc>
          <w:tcPr>
            <w:tcW w:w="2126" w:type="dxa"/>
            <w:vAlign w:val="bottom"/>
          </w:tcPr>
          <w:p w14:paraId="13008D3F"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7,3%</w:t>
            </w:r>
          </w:p>
        </w:tc>
        <w:tc>
          <w:tcPr>
            <w:tcW w:w="1473" w:type="dxa"/>
            <w:vAlign w:val="bottom"/>
          </w:tcPr>
          <w:p w14:paraId="17376B60"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1,1</w:t>
            </w:r>
          </w:p>
        </w:tc>
      </w:tr>
      <w:tr w:rsidR="004A2F79" w14:paraId="428A29EF"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770CDD72"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Sevilla capital</w:t>
            </w:r>
          </w:p>
        </w:tc>
        <w:tc>
          <w:tcPr>
            <w:tcW w:w="1985" w:type="dxa"/>
            <w:vAlign w:val="bottom"/>
          </w:tcPr>
          <w:p w14:paraId="43984C55"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Sur</w:t>
            </w:r>
          </w:p>
        </w:tc>
        <w:tc>
          <w:tcPr>
            <w:tcW w:w="1701" w:type="dxa"/>
            <w:vAlign w:val="bottom"/>
          </w:tcPr>
          <w:p w14:paraId="44B544B3"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5,6%</w:t>
            </w:r>
          </w:p>
        </w:tc>
        <w:tc>
          <w:tcPr>
            <w:tcW w:w="2126" w:type="dxa"/>
            <w:vAlign w:val="bottom"/>
          </w:tcPr>
          <w:p w14:paraId="79196F79"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7,9%</w:t>
            </w:r>
          </w:p>
        </w:tc>
        <w:tc>
          <w:tcPr>
            <w:tcW w:w="1473" w:type="dxa"/>
            <w:vAlign w:val="bottom"/>
          </w:tcPr>
          <w:p w14:paraId="5FD67D1A"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2,3</w:t>
            </w:r>
          </w:p>
        </w:tc>
      </w:tr>
      <w:tr w:rsidR="004A2F79" w14:paraId="19C4AAA5"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49778759"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Sevilla capital</w:t>
            </w:r>
          </w:p>
        </w:tc>
        <w:tc>
          <w:tcPr>
            <w:tcW w:w="1985" w:type="dxa"/>
            <w:vAlign w:val="bottom"/>
          </w:tcPr>
          <w:p w14:paraId="09902CCA"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Triana</w:t>
            </w:r>
          </w:p>
        </w:tc>
        <w:tc>
          <w:tcPr>
            <w:tcW w:w="1701" w:type="dxa"/>
            <w:vAlign w:val="bottom"/>
          </w:tcPr>
          <w:p w14:paraId="7B12F17C"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5,4%</w:t>
            </w:r>
          </w:p>
        </w:tc>
        <w:tc>
          <w:tcPr>
            <w:tcW w:w="2126" w:type="dxa"/>
            <w:vAlign w:val="bottom"/>
          </w:tcPr>
          <w:p w14:paraId="20C7136A"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6,7%</w:t>
            </w:r>
          </w:p>
        </w:tc>
        <w:tc>
          <w:tcPr>
            <w:tcW w:w="1473" w:type="dxa"/>
            <w:vAlign w:val="bottom"/>
          </w:tcPr>
          <w:p w14:paraId="10409C9B"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1,3</w:t>
            </w:r>
          </w:p>
        </w:tc>
      </w:tr>
      <w:tr w:rsidR="004A2F79" w14:paraId="2BA3569F"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28D34898"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Zaragoza capital</w:t>
            </w:r>
          </w:p>
        </w:tc>
        <w:tc>
          <w:tcPr>
            <w:tcW w:w="1985" w:type="dxa"/>
            <w:vAlign w:val="bottom"/>
          </w:tcPr>
          <w:p w14:paraId="4C94C217"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Centro</w:t>
            </w:r>
          </w:p>
        </w:tc>
        <w:tc>
          <w:tcPr>
            <w:tcW w:w="1701" w:type="dxa"/>
            <w:vAlign w:val="bottom"/>
          </w:tcPr>
          <w:p w14:paraId="01E6C227"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4,8%</w:t>
            </w:r>
          </w:p>
        </w:tc>
        <w:tc>
          <w:tcPr>
            <w:tcW w:w="2126" w:type="dxa"/>
            <w:vAlign w:val="bottom"/>
          </w:tcPr>
          <w:p w14:paraId="0CB304D3"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7,0%</w:t>
            </w:r>
          </w:p>
        </w:tc>
        <w:tc>
          <w:tcPr>
            <w:tcW w:w="1473" w:type="dxa"/>
            <w:vAlign w:val="bottom"/>
          </w:tcPr>
          <w:p w14:paraId="4ACCBE0A"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2,1</w:t>
            </w:r>
          </w:p>
        </w:tc>
      </w:tr>
      <w:tr w:rsidR="004A2F79" w14:paraId="08A9FB83"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43EE9E1"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Zaragoza capital</w:t>
            </w:r>
          </w:p>
        </w:tc>
        <w:tc>
          <w:tcPr>
            <w:tcW w:w="1985" w:type="dxa"/>
            <w:vAlign w:val="bottom"/>
          </w:tcPr>
          <w:p w14:paraId="6C9F2797"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Delicias</w:t>
            </w:r>
          </w:p>
        </w:tc>
        <w:tc>
          <w:tcPr>
            <w:tcW w:w="1701" w:type="dxa"/>
            <w:vAlign w:val="bottom"/>
          </w:tcPr>
          <w:p w14:paraId="30BEB74E"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6,0%</w:t>
            </w:r>
          </w:p>
        </w:tc>
        <w:tc>
          <w:tcPr>
            <w:tcW w:w="2126" w:type="dxa"/>
            <w:vAlign w:val="bottom"/>
          </w:tcPr>
          <w:p w14:paraId="1F8AF119"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7,0%</w:t>
            </w:r>
          </w:p>
        </w:tc>
        <w:tc>
          <w:tcPr>
            <w:tcW w:w="1473" w:type="dxa"/>
            <w:vAlign w:val="bottom"/>
          </w:tcPr>
          <w:p w14:paraId="305003AE"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1,0</w:t>
            </w:r>
          </w:p>
        </w:tc>
      </w:tr>
      <w:tr w:rsidR="004A2F79" w14:paraId="5287BC1C"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7C228722"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Zaragoza capital</w:t>
            </w:r>
          </w:p>
        </w:tc>
        <w:tc>
          <w:tcPr>
            <w:tcW w:w="1985" w:type="dxa"/>
            <w:vAlign w:val="bottom"/>
          </w:tcPr>
          <w:p w14:paraId="53A72C8B"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Universidad</w:t>
            </w:r>
          </w:p>
        </w:tc>
        <w:tc>
          <w:tcPr>
            <w:tcW w:w="1701" w:type="dxa"/>
            <w:vAlign w:val="bottom"/>
          </w:tcPr>
          <w:p w14:paraId="4F64C0D0"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5,5%</w:t>
            </w:r>
          </w:p>
        </w:tc>
        <w:tc>
          <w:tcPr>
            <w:tcW w:w="2126" w:type="dxa"/>
            <w:vAlign w:val="bottom"/>
          </w:tcPr>
          <w:p w14:paraId="6745D01D"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8,6%</w:t>
            </w:r>
          </w:p>
        </w:tc>
        <w:tc>
          <w:tcPr>
            <w:tcW w:w="1473" w:type="dxa"/>
            <w:vAlign w:val="bottom"/>
          </w:tcPr>
          <w:p w14:paraId="7C4DDF98"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3,0</w:t>
            </w:r>
          </w:p>
        </w:tc>
      </w:tr>
      <w:tr w:rsidR="004A2F79" w14:paraId="752E2F4A"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C485B9C"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Palma de Mallorca</w:t>
            </w:r>
          </w:p>
        </w:tc>
        <w:tc>
          <w:tcPr>
            <w:tcW w:w="1985" w:type="dxa"/>
            <w:vAlign w:val="bottom"/>
          </w:tcPr>
          <w:p w14:paraId="3EEF368E"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Llevant</w:t>
            </w:r>
          </w:p>
        </w:tc>
        <w:tc>
          <w:tcPr>
            <w:tcW w:w="1701" w:type="dxa"/>
            <w:vAlign w:val="bottom"/>
          </w:tcPr>
          <w:p w14:paraId="7A0CB8FA"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5,4%</w:t>
            </w:r>
          </w:p>
        </w:tc>
        <w:tc>
          <w:tcPr>
            <w:tcW w:w="2126" w:type="dxa"/>
            <w:vAlign w:val="bottom"/>
          </w:tcPr>
          <w:p w14:paraId="55215564"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7,8%</w:t>
            </w:r>
          </w:p>
        </w:tc>
        <w:tc>
          <w:tcPr>
            <w:tcW w:w="1473" w:type="dxa"/>
            <w:vAlign w:val="bottom"/>
          </w:tcPr>
          <w:p w14:paraId="7AD5BFDB"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2,3</w:t>
            </w:r>
          </w:p>
        </w:tc>
      </w:tr>
      <w:tr w:rsidR="004A2F79" w14:paraId="74063131"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7D9181B"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Salamanca capital</w:t>
            </w:r>
          </w:p>
        </w:tc>
        <w:tc>
          <w:tcPr>
            <w:tcW w:w="1985" w:type="dxa"/>
            <w:vAlign w:val="bottom"/>
          </w:tcPr>
          <w:p w14:paraId="2E7E7EC7"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Centro</w:t>
            </w:r>
          </w:p>
        </w:tc>
        <w:tc>
          <w:tcPr>
            <w:tcW w:w="1701" w:type="dxa"/>
            <w:vAlign w:val="bottom"/>
          </w:tcPr>
          <w:p w14:paraId="45D27042"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4,4%</w:t>
            </w:r>
          </w:p>
        </w:tc>
        <w:tc>
          <w:tcPr>
            <w:tcW w:w="2126" w:type="dxa"/>
            <w:vAlign w:val="bottom"/>
          </w:tcPr>
          <w:p w14:paraId="35297742"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4,8%</w:t>
            </w:r>
          </w:p>
        </w:tc>
        <w:tc>
          <w:tcPr>
            <w:tcW w:w="1473" w:type="dxa"/>
            <w:vAlign w:val="bottom"/>
          </w:tcPr>
          <w:p w14:paraId="12D0EC4E"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0,5</w:t>
            </w:r>
          </w:p>
        </w:tc>
      </w:tr>
      <w:tr w:rsidR="004A2F79" w14:paraId="5964F621"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2C9A223B"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Salamanca capital</w:t>
            </w:r>
          </w:p>
        </w:tc>
        <w:tc>
          <w:tcPr>
            <w:tcW w:w="1985" w:type="dxa"/>
            <w:vAlign w:val="bottom"/>
          </w:tcPr>
          <w:p w14:paraId="30200DF9"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San Bernardo - Carmelitas - Campus</w:t>
            </w:r>
          </w:p>
        </w:tc>
        <w:tc>
          <w:tcPr>
            <w:tcW w:w="1701" w:type="dxa"/>
            <w:vAlign w:val="bottom"/>
          </w:tcPr>
          <w:p w14:paraId="58C4C972"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4,4%</w:t>
            </w:r>
          </w:p>
        </w:tc>
        <w:tc>
          <w:tcPr>
            <w:tcW w:w="2126" w:type="dxa"/>
            <w:vAlign w:val="bottom"/>
          </w:tcPr>
          <w:p w14:paraId="1070F8E7"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4,7%</w:t>
            </w:r>
          </w:p>
        </w:tc>
        <w:tc>
          <w:tcPr>
            <w:tcW w:w="1473" w:type="dxa"/>
            <w:vAlign w:val="bottom"/>
          </w:tcPr>
          <w:p w14:paraId="59096B44"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0,3</w:t>
            </w:r>
          </w:p>
        </w:tc>
      </w:tr>
      <w:tr w:rsidR="004A2F79" w14:paraId="4343E0C5"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11433572"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Barcelona capital</w:t>
            </w:r>
          </w:p>
        </w:tc>
        <w:tc>
          <w:tcPr>
            <w:tcW w:w="1985" w:type="dxa"/>
            <w:vAlign w:val="bottom"/>
          </w:tcPr>
          <w:p w14:paraId="5A6607A4"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Ciutat Vella</w:t>
            </w:r>
          </w:p>
        </w:tc>
        <w:tc>
          <w:tcPr>
            <w:tcW w:w="1701" w:type="dxa"/>
            <w:vAlign w:val="bottom"/>
          </w:tcPr>
          <w:p w14:paraId="17400562"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5,7%</w:t>
            </w:r>
          </w:p>
        </w:tc>
        <w:tc>
          <w:tcPr>
            <w:tcW w:w="2126" w:type="dxa"/>
            <w:vAlign w:val="bottom"/>
          </w:tcPr>
          <w:p w14:paraId="0E1B3C2C"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6,1%</w:t>
            </w:r>
          </w:p>
        </w:tc>
        <w:tc>
          <w:tcPr>
            <w:tcW w:w="1473" w:type="dxa"/>
            <w:vAlign w:val="bottom"/>
          </w:tcPr>
          <w:p w14:paraId="45E026F8"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0,3</w:t>
            </w:r>
          </w:p>
        </w:tc>
      </w:tr>
      <w:tr w:rsidR="004A2F79" w14:paraId="0F3F370B"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1E12B5E4"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Barcelona capital</w:t>
            </w:r>
          </w:p>
        </w:tc>
        <w:tc>
          <w:tcPr>
            <w:tcW w:w="1985" w:type="dxa"/>
            <w:vAlign w:val="bottom"/>
          </w:tcPr>
          <w:p w14:paraId="4ED8BAE0"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Eixample</w:t>
            </w:r>
          </w:p>
        </w:tc>
        <w:tc>
          <w:tcPr>
            <w:tcW w:w="1701" w:type="dxa"/>
            <w:vAlign w:val="bottom"/>
          </w:tcPr>
          <w:p w14:paraId="6B86156A"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4,4%</w:t>
            </w:r>
          </w:p>
        </w:tc>
        <w:tc>
          <w:tcPr>
            <w:tcW w:w="2126" w:type="dxa"/>
            <w:vAlign w:val="bottom"/>
          </w:tcPr>
          <w:p w14:paraId="11F06EE2"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4,9%</w:t>
            </w:r>
          </w:p>
        </w:tc>
        <w:tc>
          <w:tcPr>
            <w:tcW w:w="1473" w:type="dxa"/>
            <w:vAlign w:val="bottom"/>
          </w:tcPr>
          <w:p w14:paraId="4FDA92D1"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0,4</w:t>
            </w:r>
          </w:p>
        </w:tc>
      </w:tr>
      <w:tr w:rsidR="004A2F79" w14:paraId="4FE34B16"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72F4FAE"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Barcelona capital</w:t>
            </w:r>
          </w:p>
        </w:tc>
        <w:tc>
          <w:tcPr>
            <w:tcW w:w="1985" w:type="dxa"/>
            <w:vAlign w:val="bottom"/>
          </w:tcPr>
          <w:p w14:paraId="3D107FE8"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Gràcia</w:t>
            </w:r>
          </w:p>
        </w:tc>
        <w:tc>
          <w:tcPr>
            <w:tcW w:w="1701" w:type="dxa"/>
            <w:vAlign w:val="bottom"/>
          </w:tcPr>
          <w:p w14:paraId="3D07BBE0"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5,2%</w:t>
            </w:r>
          </w:p>
        </w:tc>
        <w:tc>
          <w:tcPr>
            <w:tcW w:w="2126" w:type="dxa"/>
            <w:vAlign w:val="bottom"/>
          </w:tcPr>
          <w:p w14:paraId="6CBF5CFC"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5,8%</w:t>
            </w:r>
          </w:p>
        </w:tc>
        <w:tc>
          <w:tcPr>
            <w:tcW w:w="1473" w:type="dxa"/>
            <w:vAlign w:val="bottom"/>
          </w:tcPr>
          <w:p w14:paraId="045F1CDF"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0,6</w:t>
            </w:r>
          </w:p>
        </w:tc>
      </w:tr>
      <w:tr w:rsidR="004A2F79" w14:paraId="4D21DFB0"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5DC46E0C"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Barcelona capital</w:t>
            </w:r>
          </w:p>
        </w:tc>
        <w:tc>
          <w:tcPr>
            <w:tcW w:w="1985" w:type="dxa"/>
            <w:vAlign w:val="bottom"/>
          </w:tcPr>
          <w:p w14:paraId="53BEA125"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Horta - Guinardó</w:t>
            </w:r>
          </w:p>
        </w:tc>
        <w:tc>
          <w:tcPr>
            <w:tcW w:w="1701" w:type="dxa"/>
            <w:vAlign w:val="bottom"/>
          </w:tcPr>
          <w:p w14:paraId="5338D9AA"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5,8%</w:t>
            </w:r>
          </w:p>
        </w:tc>
        <w:tc>
          <w:tcPr>
            <w:tcW w:w="2126" w:type="dxa"/>
            <w:vAlign w:val="bottom"/>
          </w:tcPr>
          <w:p w14:paraId="470324B3"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7,4%</w:t>
            </w:r>
          </w:p>
        </w:tc>
        <w:tc>
          <w:tcPr>
            <w:tcW w:w="1473" w:type="dxa"/>
            <w:vAlign w:val="bottom"/>
          </w:tcPr>
          <w:p w14:paraId="5EA3CDFA"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1,5</w:t>
            </w:r>
          </w:p>
        </w:tc>
      </w:tr>
      <w:tr w:rsidR="004A2F79" w14:paraId="729AB728"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278F440C"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lastRenderedPageBreak/>
              <w:t>Barcelona capital</w:t>
            </w:r>
          </w:p>
        </w:tc>
        <w:tc>
          <w:tcPr>
            <w:tcW w:w="1985" w:type="dxa"/>
            <w:vAlign w:val="bottom"/>
          </w:tcPr>
          <w:p w14:paraId="3E32436C"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Les Corts</w:t>
            </w:r>
          </w:p>
        </w:tc>
        <w:tc>
          <w:tcPr>
            <w:tcW w:w="1701" w:type="dxa"/>
            <w:vAlign w:val="bottom"/>
          </w:tcPr>
          <w:p w14:paraId="29514F84"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4,6%</w:t>
            </w:r>
          </w:p>
        </w:tc>
        <w:tc>
          <w:tcPr>
            <w:tcW w:w="2126" w:type="dxa"/>
            <w:vAlign w:val="bottom"/>
          </w:tcPr>
          <w:p w14:paraId="2F644728"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5,0%</w:t>
            </w:r>
          </w:p>
        </w:tc>
        <w:tc>
          <w:tcPr>
            <w:tcW w:w="1473" w:type="dxa"/>
            <w:vAlign w:val="bottom"/>
          </w:tcPr>
          <w:p w14:paraId="350A98F5"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0,4</w:t>
            </w:r>
          </w:p>
        </w:tc>
      </w:tr>
      <w:tr w:rsidR="004A2F79" w14:paraId="0B05838F"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47176AA"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Barcelona capital</w:t>
            </w:r>
          </w:p>
        </w:tc>
        <w:tc>
          <w:tcPr>
            <w:tcW w:w="1985" w:type="dxa"/>
            <w:vAlign w:val="bottom"/>
          </w:tcPr>
          <w:p w14:paraId="7FE2186B"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Nou Barris</w:t>
            </w:r>
          </w:p>
        </w:tc>
        <w:tc>
          <w:tcPr>
            <w:tcW w:w="1701" w:type="dxa"/>
            <w:vAlign w:val="bottom"/>
          </w:tcPr>
          <w:p w14:paraId="1FCFB7B6"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7,9%</w:t>
            </w:r>
          </w:p>
        </w:tc>
        <w:tc>
          <w:tcPr>
            <w:tcW w:w="2126" w:type="dxa"/>
            <w:vAlign w:val="bottom"/>
          </w:tcPr>
          <w:p w14:paraId="7EC777E3"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8,5%</w:t>
            </w:r>
          </w:p>
        </w:tc>
        <w:tc>
          <w:tcPr>
            <w:tcW w:w="1473" w:type="dxa"/>
            <w:vAlign w:val="bottom"/>
          </w:tcPr>
          <w:p w14:paraId="454F3733"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0,7</w:t>
            </w:r>
          </w:p>
        </w:tc>
      </w:tr>
      <w:tr w:rsidR="004A2F79" w14:paraId="104804D5"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6D94CB3B"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Barcelona capital</w:t>
            </w:r>
          </w:p>
        </w:tc>
        <w:tc>
          <w:tcPr>
            <w:tcW w:w="1985" w:type="dxa"/>
            <w:vAlign w:val="bottom"/>
          </w:tcPr>
          <w:p w14:paraId="00457ED0"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Sant Andreu</w:t>
            </w:r>
          </w:p>
        </w:tc>
        <w:tc>
          <w:tcPr>
            <w:tcW w:w="1701" w:type="dxa"/>
            <w:vAlign w:val="bottom"/>
          </w:tcPr>
          <w:p w14:paraId="051EA617"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6,8%</w:t>
            </w:r>
          </w:p>
        </w:tc>
        <w:tc>
          <w:tcPr>
            <w:tcW w:w="2126" w:type="dxa"/>
            <w:vAlign w:val="bottom"/>
          </w:tcPr>
          <w:p w14:paraId="03D68080"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7,3%</w:t>
            </w:r>
          </w:p>
        </w:tc>
        <w:tc>
          <w:tcPr>
            <w:tcW w:w="1473" w:type="dxa"/>
            <w:vAlign w:val="bottom"/>
          </w:tcPr>
          <w:p w14:paraId="570C5C91"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0,4</w:t>
            </w:r>
          </w:p>
        </w:tc>
      </w:tr>
      <w:tr w:rsidR="004A2F79" w14:paraId="5E14D51E"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5EE1028"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Barcelona capital</w:t>
            </w:r>
          </w:p>
        </w:tc>
        <w:tc>
          <w:tcPr>
            <w:tcW w:w="1985" w:type="dxa"/>
            <w:vAlign w:val="bottom"/>
          </w:tcPr>
          <w:p w14:paraId="08EEB1E4"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Sant Martí</w:t>
            </w:r>
          </w:p>
        </w:tc>
        <w:tc>
          <w:tcPr>
            <w:tcW w:w="1701" w:type="dxa"/>
            <w:vAlign w:val="bottom"/>
          </w:tcPr>
          <w:p w14:paraId="482B25C2"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6,4%</w:t>
            </w:r>
          </w:p>
        </w:tc>
        <w:tc>
          <w:tcPr>
            <w:tcW w:w="2126" w:type="dxa"/>
            <w:vAlign w:val="bottom"/>
          </w:tcPr>
          <w:p w14:paraId="3A546A94"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6,3%</w:t>
            </w:r>
          </w:p>
        </w:tc>
        <w:tc>
          <w:tcPr>
            <w:tcW w:w="1473" w:type="dxa"/>
            <w:vAlign w:val="bottom"/>
          </w:tcPr>
          <w:p w14:paraId="53898735"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                             0,1</w:t>
            </w:r>
          </w:p>
        </w:tc>
      </w:tr>
      <w:tr w:rsidR="004A2F79" w14:paraId="6439AE94"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6040CA12"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Barcelona capital</w:t>
            </w:r>
          </w:p>
        </w:tc>
        <w:tc>
          <w:tcPr>
            <w:tcW w:w="1985" w:type="dxa"/>
            <w:vAlign w:val="bottom"/>
          </w:tcPr>
          <w:p w14:paraId="3094FD24"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Sants - Montjuïc</w:t>
            </w:r>
          </w:p>
        </w:tc>
        <w:tc>
          <w:tcPr>
            <w:tcW w:w="1701" w:type="dxa"/>
            <w:vAlign w:val="bottom"/>
          </w:tcPr>
          <w:p w14:paraId="5EC0176E"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6,3%</w:t>
            </w:r>
          </w:p>
        </w:tc>
        <w:tc>
          <w:tcPr>
            <w:tcW w:w="2126" w:type="dxa"/>
            <w:vAlign w:val="bottom"/>
          </w:tcPr>
          <w:p w14:paraId="0A4FD080"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6,7%</w:t>
            </w:r>
          </w:p>
        </w:tc>
        <w:tc>
          <w:tcPr>
            <w:tcW w:w="1473" w:type="dxa"/>
            <w:vAlign w:val="bottom"/>
          </w:tcPr>
          <w:p w14:paraId="32FE6371"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0,5</w:t>
            </w:r>
          </w:p>
        </w:tc>
      </w:tr>
      <w:tr w:rsidR="004A2F79" w14:paraId="331AA1D6"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13EB5D61"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Barcelona capital</w:t>
            </w:r>
          </w:p>
        </w:tc>
        <w:tc>
          <w:tcPr>
            <w:tcW w:w="1985" w:type="dxa"/>
            <w:vAlign w:val="bottom"/>
          </w:tcPr>
          <w:p w14:paraId="4769FE25"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Sarrià - Sant Gervasi</w:t>
            </w:r>
          </w:p>
        </w:tc>
        <w:tc>
          <w:tcPr>
            <w:tcW w:w="1701" w:type="dxa"/>
            <w:vAlign w:val="bottom"/>
          </w:tcPr>
          <w:p w14:paraId="4847BC37"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4,1%</w:t>
            </w:r>
          </w:p>
        </w:tc>
        <w:tc>
          <w:tcPr>
            <w:tcW w:w="2126" w:type="dxa"/>
            <w:vAlign w:val="bottom"/>
          </w:tcPr>
          <w:p w14:paraId="030C5D9B"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5,0%</w:t>
            </w:r>
          </w:p>
        </w:tc>
        <w:tc>
          <w:tcPr>
            <w:tcW w:w="1473" w:type="dxa"/>
            <w:vAlign w:val="bottom"/>
          </w:tcPr>
          <w:p w14:paraId="0C6FABB3"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0,9</w:t>
            </w:r>
          </w:p>
        </w:tc>
      </w:tr>
      <w:tr w:rsidR="004A2F79" w14:paraId="135BC91D"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1FBF54DE"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Elche / Elx</w:t>
            </w:r>
          </w:p>
        </w:tc>
        <w:tc>
          <w:tcPr>
            <w:tcW w:w="1985" w:type="dxa"/>
            <w:vAlign w:val="bottom"/>
          </w:tcPr>
          <w:p w14:paraId="0A2793D8"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Elche ciudad</w:t>
            </w:r>
          </w:p>
        </w:tc>
        <w:tc>
          <w:tcPr>
            <w:tcW w:w="1701" w:type="dxa"/>
            <w:vAlign w:val="bottom"/>
          </w:tcPr>
          <w:p w14:paraId="2B5F705E"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7,1%</w:t>
            </w:r>
          </w:p>
        </w:tc>
        <w:tc>
          <w:tcPr>
            <w:tcW w:w="2126" w:type="dxa"/>
            <w:vAlign w:val="bottom"/>
          </w:tcPr>
          <w:p w14:paraId="07668C66"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8,3%</w:t>
            </w:r>
          </w:p>
        </w:tc>
        <w:tc>
          <w:tcPr>
            <w:tcW w:w="1473" w:type="dxa"/>
            <w:vAlign w:val="bottom"/>
          </w:tcPr>
          <w:p w14:paraId="0424D068"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1,3</w:t>
            </w:r>
          </w:p>
        </w:tc>
      </w:tr>
      <w:tr w:rsidR="004A2F79" w14:paraId="49FCF64E"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433F1685"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Valencia capital</w:t>
            </w:r>
          </w:p>
        </w:tc>
        <w:tc>
          <w:tcPr>
            <w:tcW w:w="1985" w:type="dxa"/>
            <w:vAlign w:val="bottom"/>
          </w:tcPr>
          <w:p w14:paraId="664FB841"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Algirós</w:t>
            </w:r>
          </w:p>
        </w:tc>
        <w:tc>
          <w:tcPr>
            <w:tcW w:w="1701" w:type="dxa"/>
            <w:vAlign w:val="bottom"/>
          </w:tcPr>
          <w:p w14:paraId="1B5C8628"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6,2%</w:t>
            </w:r>
          </w:p>
        </w:tc>
        <w:tc>
          <w:tcPr>
            <w:tcW w:w="2126" w:type="dxa"/>
            <w:vAlign w:val="bottom"/>
          </w:tcPr>
          <w:p w14:paraId="47937FA0"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7,6%</w:t>
            </w:r>
          </w:p>
        </w:tc>
        <w:tc>
          <w:tcPr>
            <w:tcW w:w="1473" w:type="dxa"/>
            <w:vAlign w:val="bottom"/>
          </w:tcPr>
          <w:p w14:paraId="009407D4"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1,4</w:t>
            </w:r>
          </w:p>
        </w:tc>
      </w:tr>
      <w:tr w:rsidR="004A2F79" w14:paraId="76FAA595"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881E136"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Valencia capital</w:t>
            </w:r>
          </w:p>
        </w:tc>
        <w:tc>
          <w:tcPr>
            <w:tcW w:w="1985" w:type="dxa"/>
            <w:vAlign w:val="bottom"/>
          </w:tcPr>
          <w:p w14:paraId="79A98F82"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Benimaclet</w:t>
            </w:r>
          </w:p>
        </w:tc>
        <w:tc>
          <w:tcPr>
            <w:tcW w:w="1701" w:type="dxa"/>
            <w:vAlign w:val="bottom"/>
          </w:tcPr>
          <w:p w14:paraId="78F36596"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5,6%</w:t>
            </w:r>
          </w:p>
        </w:tc>
        <w:tc>
          <w:tcPr>
            <w:tcW w:w="2126" w:type="dxa"/>
            <w:vAlign w:val="bottom"/>
          </w:tcPr>
          <w:p w14:paraId="2C8D12F8"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5,8%</w:t>
            </w:r>
          </w:p>
        </w:tc>
        <w:tc>
          <w:tcPr>
            <w:tcW w:w="1473" w:type="dxa"/>
            <w:vAlign w:val="bottom"/>
          </w:tcPr>
          <w:p w14:paraId="3B1D8817"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0,2</w:t>
            </w:r>
          </w:p>
        </w:tc>
      </w:tr>
      <w:tr w:rsidR="004A2F79" w14:paraId="3883BA61"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8AF2D0F"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Valencia capital</w:t>
            </w:r>
          </w:p>
        </w:tc>
        <w:tc>
          <w:tcPr>
            <w:tcW w:w="1985" w:type="dxa"/>
            <w:vAlign w:val="bottom"/>
          </w:tcPr>
          <w:p w14:paraId="43604987"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Camins al Grau</w:t>
            </w:r>
          </w:p>
        </w:tc>
        <w:tc>
          <w:tcPr>
            <w:tcW w:w="1701" w:type="dxa"/>
            <w:vAlign w:val="bottom"/>
          </w:tcPr>
          <w:p w14:paraId="5FF198E8"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6,0%</w:t>
            </w:r>
          </w:p>
        </w:tc>
        <w:tc>
          <w:tcPr>
            <w:tcW w:w="2126" w:type="dxa"/>
            <w:vAlign w:val="bottom"/>
          </w:tcPr>
          <w:p w14:paraId="5283E674"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6,5%</w:t>
            </w:r>
          </w:p>
        </w:tc>
        <w:tc>
          <w:tcPr>
            <w:tcW w:w="1473" w:type="dxa"/>
            <w:vAlign w:val="bottom"/>
          </w:tcPr>
          <w:p w14:paraId="292CD8BE"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0,5</w:t>
            </w:r>
          </w:p>
        </w:tc>
      </w:tr>
      <w:tr w:rsidR="004A2F79" w14:paraId="008145DA"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091EE69"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Valencia capital</w:t>
            </w:r>
          </w:p>
        </w:tc>
        <w:tc>
          <w:tcPr>
            <w:tcW w:w="1985" w:type="dxa"/>
            <w:vAlign w:val="bottom"/>
          </w:tcPr>
          <w:p w14:paraId="6973FD72"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Ciutat Vella</w:t>
            </w:r>
          </w:p>
        </w:tc>
        <w:tc>
          <w:tcPr>
            <w:tcW w:w="1701" w:type="dxa"/>
            <w:vAlign w:val="bottom"/>
          </w:tcPr>
          <w:p w14:paraId="21CEED4F"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5,9%</w:t>
            </w:r>
          </w:p>
        </w:tc>
        <w:tc>
          <w:tcPr>
            <w:tcW w:w="2126" w:type="dxa"/>
            <w:vAlign w:val="bottom"/>
          </w:tcPr>
          <w:p w14:paraId="1A72C2F2"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5,6%</w:t>
            </w:r>
          </w:p>
        </w:tc>
        <w:tc>
          <w:tcPr>
            <w:tcW w:w="1473" w:type="dxa"/>
            <w:vAlign w:val="bottom"/>
          </w:tcPr>
          <w:p w14:paraId="3FAD9030"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                             0,3</w:t>
            </w:r>
          </w:p>
        </w:tc>
      </w:tr>
      <w:tr w:rsidR="004A2F79" w14:paraId="5087856F"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7A616973"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Valencia capital</w:t>
            </w:r>
          </w:p>
        </w:tc>
        <w:tc>
          <w:tcPr>
            <w:tcW w:w="1985" w:type="dxa"/>
            <w:vAlign w:val="bottom"/>
          </w:tcPr>
          <w:p w14:paraId="061755E5"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El Pla del Real</w:t>
            </w:r>
          </w:p>
        </w:tc>
        <w:tc>
          <w:tcPr>
            <w:tcW w:w="1701" w:type="dxa"/>
            <w:vAlign w:val="bottom"/>
          </w:tcPr>
          <w:p w14:paraId="4846ED9C"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4,4%</w:t>
            </w:r>
          </w:p>
        </w:tc>
        <w:tc>
          <w:tcPr>
            <w:tcW w:w="2126" w:type="dxa"/>
            <w:vAlign w:val="bottom"/>
          </w:tcPr>
          <w:p w14:paraId="64165515"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5,4%</w:t>
            </w:r>
          </w:p>
        </w:tc>
        <w:tc>
          <w:tcPr>
            <w:tcW w:w="1473" w:type="dxa"/>
            <w:vAlign w:val="bottom"/>
          </w:tcPr>
          <w:p w14:paraId="47CAF78C"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1,0</w:t>
            </w:r>
          </w:p>
        </w:tc>
      </w:tr>
      <w:tr w:rsidR="004A2F79" w14:paraId="1BB5ABA5"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7A16C96A"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Valencia capital</w:t>
            </w:r>
          </w:p>
        </w:tc>
        <w:tc>
          <w:tcPr>
            <w:tcW w:w="1985" w:type="dxa"/>
            <w:vAlign w:val="bottom"/>
          </w:tcPr>
          <w:p w14:paraId="5739DC65"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Extramurs</w:t>
            </w:r>
          </w:p>
        </w:tc>
        <w:tc>
          <w:tcPr>
            <w:tcW w:w="1701" w:type="dxa"/>
            <w:vAlign w:val="bottom"/>
          </w:tcPr>
          <w:p w14:paraId="61C8F651"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7,1%</w:t>
            </w:r>
          </w:p>
        </w:tc>
        <w:tc>
          <w:tcPr>
            <w:tcW w:w="2126" w:type="dxa"/>
            <w:vAlign w:val="bottom"/>
          </w:tcPr>
          <w:p w14:paraId="759E6347"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6,3%</w:t>
            </w:r>
          </w:p>
        </w:tc>
        <w:tc>
          <w:tcPr>
            <w:tcW w:w="1473" w:type="dxa"/>
            <w:vAlign w:val="bottom"/>
          </w:tcPr>
          <w:p w14:paraId="5853A389"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                             0,8</w:t>
            </w:r>
          </w:p>
        </w:tc>
      </w:tr>
      <w:tr w:rsidR="004A2F79" w14:paraId="00BD2A7F"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2386897F"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Valencia capital</w:t>
            </w:r>
          </w:p>
        </w:tc>
        <w:tc>
          <w:tcPr>
            <w:tcW w:w="1985" w:type="dxa"/>
            <w:vAlign w:val="bottom"/>
          </w:tcPr>
          <w:p w14:paraId="7B559B95"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Jesús</w:t>
            </w:r>
          </w:p>
        </w:tc>
        <w:tc>
          <w:tcPr>
            <w:tcW w:w="1701" w:type="dxa"/>
            <w:vAlign w:val="bottom"/>
          </w:tcPr>
          <w:p w14:paraId="1E3EAA27"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7,1%</w:t>
            </w:r>
          </w:p>
        </w:tc>
        <w:tc>
          <w:tcPr>
            <w:tcW w:w="2126" w:type="dxa"/>
            <w:vAlign w:val="bottom"/>
          </w:tcPr>
          <w:p w14:paraId="651259EE"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9,0%</w:t>
            </w:r>
          </w:p>
        </w:tc>
        <w:tc>
          <w:tcPr>
            <w:tcW w:w="1473" w:type="dxa"/>
            <w:vAlign w:val="bottom"/>
          </w:tcPr>
          <w:p w14:paraId="0C10EF68"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1,8</w:t>
            </w:r>
          </w:p>
        </w:tc>
      </w:tr>
      <w:tr w:rsidR="004A2F79" w14:paraId="04259778"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74140913"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Valencia capital</w:t>
            </w:r>
          </w:p>
        </w:tc>
        <w:tc>
          <w:tcPr>
            <w:tcW w:w="1985" w:type="dxa"/>
            <w:vAlign w:val="bottom"/>
          </w:tcPr>
          <w:p w14:paraId="3FAD0DEC"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L'Eixample</w:t>
            </w:r>
          </w:p>
        </w:tc>
        <w:tc>
          <w:tcPr>
            <w:tcW w:w="1701" w:type="dxa"/>
            <w:vAlign w:val="bottom"/>
          </w:tcPr>
          <w:p w14:paraId="6CFBEB07"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5,1%</w:t>
            </w:r>
          </w:p>
        </w:tc>
        <w:tc>
          <w:tcPr>
            <w:tcW w:w="2126" w:type="dxa"/>
            <w:vAlign w:val="bottom"/>
          </w:tcPr>
          <w:p w14:paraId="177452A6"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4,9%</w:t>
            </w:r>
          </w:p>
        </w:tc>
        <w:tc>
          <w:tcPr>
            <w:tcW w:w="1473" w:type="dxa"/>
            <w:vAlign w:val="bottom"/>
          </w:tcPr>
          <w:p w14:paraId="64935B61"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                             0,2</w:t>
            </w:r>
          </w:p>
        </w:tc>
      </w:tr>
      <w:tr w:rsidR="004A2F79" w14:paraId="1E01F946"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1309A68"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Valencia capital</w:t>
            </w:r>
          </w:p>
        </w:tc>
        <w:tc>
          <w:tcPr>
            <w:tcW w:w="1985" w:type="dxa"/>
            <w:vAlign w:val="bottom"/>
          </w:tcPr>
          <w:p w14:paraId="30A04A05"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L'Olivereta</w:t>
            </w:r>
          </w:p>
        </w:tc>
        <w:tc>
          <w:tcPr>
            <w:tcW w:w="1701" w:type="dxa"/>
            <w:vAlign w:val="bottom"/>
          </w:tcPr>
          <w:p w14:paraId="10446B2D"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8,1%</w:t>
            </w:r>
          </w:p>
        </w:tc>
        <w:tc>
          <w:tcPr>
            <w:tcW w:w="2126" w:type="dxa"/>
            <w:vAlign w:val="bottom"/>
          </w:tcPr>
          <w:p w14:paraId="2BD04A28"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11,1%</w:t>
            </w:r>
          </w:p>
        </w:tc>
        <w:tc>
          <w:tcPr>
            <w:tcW w:w="1473" w:type="dxa"/>
            <w:vAlign w:val="bottom"/>
          </w:tcPr>
          <w:p w14:paraId="70B9ABD5"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3,0</w:t>
            </w:r>
          </w:p>
        </w:tc>
      </w:tr>
      <w:tr w:rsidR="004A2F79" w14:paraId="6E4EBD1D"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4CC4C5AD"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Valencia capital</w:t>
            </w:r>
          </w:p>
        </w:tc>
        <w:tc>
          <w:tcPr>
            <w:tcW w:w="1985" w:type="dxa"/>
            <w:vAlign w:val="bottom"/>
          </w:tcPr>
          <w:p w14:paraId="33E0501F"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La Saïdia</w:t>
            </w:r>
          </w:p>
        </w:tc>
        <w:tc>
          <w:tcPr>
            <w:tcW w:w="1701" w:type="dxa"/>
            <w:vAlign w:val="bottom"/>
          </w:tcPr>
          <w:p w14:paraId="3F6E79AC"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7,1%</w:t>
            </w:r>
          </w:p>
        </w:tc>
        <w:tc>
          <w:tcPr>
            <w:tcW w:w="2126" w:type="dxa"/>
            <w:vAlign w:val="bottom"/>
          </w:tcPr>
          <w:p w14:paraId="0C3E8F1C"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7,3%</w:t>
            </w:r>
          </w:p>
        </w:tc>
        <w:tc>
          <w:tcPr>
            <w:tcW w:w="1473" w:type="dxa"/>
            <w:vAlign w:val="bottom"/>
          </w:tcPr>
          <w:p w14:paraId="5704CD8F"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0,2</w:t>
            </w:r>
          </w:p>
        </w:tc>
      </w:tr>
      <w:tr w:rsidR="004A2F79" w14:paraId="06C20BED"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5DB9FD64"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Valencia capital</w:t>
            </w:r>
          </w:p>
        </w:tc>
        <w:tc>
          <w:tcPr>
            <w:tcW w:w="1985" w:type="dxa"/>
            <w:vAlign w:val="bottom"/>
          </w:tcPr>
          <w:p w14:paraId="433AC8E8"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Poblats Marítims</w:t>
            </w:r>
          </w:p>
        </w:tc>
        <w:tc>
          <w:tcPr>
            <w:tcW w:w="1701" w:type="dxa"/>
            <w:vAlign w:val="bottom"/>
          </w:tcPr>
          <w:p w14:paraId="413A557B"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8,2%</w:t>
            </w:r>
          </w:p>
        </w:tc>
        <w:tc>
          <w:tcPr>
            <w:tcW w:w="2126" w:type="dxa"/>
            <w:vAlign w:val="bottom"/>
          </w:tcPr>
          <w:p w14:paraId="75EE2A6B"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8,4%</w:t>
            </w:r>
          </w:p>
        </w:tc>
        <w:tc>
          <w:tcPr>
            <w:tcW w:w="1473" w:type="dxa"/>
            <w:vAlign w:val="bottom"/>
          </w:tcPr>
          <w:p w14:paraId="4CDE49CD"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0,2</w:t>
            </w:r>
          </w:p>
        </w:tc>
      </w:tr>
      <w:tr w:rsidR="004A2F79" w14:paraId="4FF63794"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5D503D64"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Valencia capital</w:t>
            </w:r>
          </w:p>
        </w:tc>
        <w:tc>
          <w:tcPr>
            <w:tcW w:w="1985" w:type="dxa"/>
            <w:vAlign w:val="bottom"/>
          </w:tcPr>
          <w:p w14:paraId="6A500B4E"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Quatre Carreres</w:t>
            </w:r>
          </w:p>
        </w:tc>
        <w:tc>
          <w:tcPr>
            <w:tcW w:w="1701" w:type="dxa"/>
            <w:vAlign w:val="bottom"/>
          </w:tcPr>
          <w:p w14:paraId="1BCE9158"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7,5%</w:t>
            </w:r>
          </w:p>
        </w:tc>
        <w:tc>
          <w:tcPr>
            <w:tcW w:w="2126" w:type="dxa"/>
            <w:vAlign w:val="bottom"/>
          </w:tcPr>
          <w:p w14:paraId="5EAAA6EC"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7,6%</w:t>
            </w:r>
          </w:p>
        </w:tc>
        <w:tc>
          <w:tcPr>
            <w:tcW w:w="1473" w:type="dxa"/>
            <w:vAlign w:val="bottom"/>
          </w:tcPr>
          <w:p w14:paraId="53D2904A"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0,1</w:t>
            </w:r>
          </w:p>
        </w:tc>
      </w:tr>
      <w:tr w:rsidR="004A2F79" w14:paraId="73AF1777"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3BF1AA8"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Valencia capital</w:t>
            </w:r>
          </w:p>
        </w:tc>
        <w:tc>
          <w:tcPr>
            <w:tcW w:w="1985" w:type="dxa"/>
            <w:vAlign w:val="bottom"/>
          </w:tcPr>
          <w:p w14:paraId="456E7C78"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Rascanya</w:t>
            </w:r>
          </w:p>
        </w:tc>
        <w:tc>
          <w:tcPr>
            <w:tcW w:w="1701" w:type="dxa"/>
            <w:vAlign w:val="bottom"/>
          </w:tcPr>
          <w:p w14:paraId="3AA9CE7A"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7,7%</w:t>
            </w:r>
          </w:p>
        </w:tc>
        <w:tc>
          <w:tcPr>
            <w:tcW w:w="2126" w:type="dxa"/>
            <w:vAlign w:val="bottom"/>
          </w:tcPr>
          <w:p w14:paraId="1F62F1B8"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8,6%</w:t>
            </w:r>
          </w:p>
        </w:tc>
        <w:tc>
          <w:tcPr>
            <w:tcW w:w="1473" w:type="dxa"/>
            <w:vAlign w:val="bottom"/>
          </w:tcPr>
          <w:p w14:paraId="31DFD9B1"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0,9</w:t>
            </w:r>
          </w:p>
        </w:tc>
      </w:tr>
      <w:tr w:rsidR="004A2F79" w14:paraId="47F8EA56"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1F242AF7"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Vigo</w:t>
            </w:r>
          </w:p>
        </w:tc>
        <w:tc>
          <w:tcPr>
            <w:tcW w:w="1985" w:type="dxa"/>
            <w:vAlign w:val="bottom"/>
          </w:tcPr>
          <w:p w14:paraId="49910D96"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Centro Urbano</w:t>
            </w:r>
          </w:p>
        </w:tc>
        <w:tc>
          <w:tcPr>
            <w:tcW w:w="1701" w:type="dxa"/>
            <w:vAlign w:val="bottom"/>
          </w:tcPr>
          <w:p w14:paraId="5CC314BF"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4,6%</w:t>
            </w:r>
          </w:p>
        </w:tc>
        <w:tc>
          <w:tcPr>
            <w:tcW w:w="2126" w:type="dxa"/>
            <w:vAlign w:val="bottom"/>
          </w:tcPr>
          <w:p w14:paraId="42FFDABF"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6,2%</w:t>
            </w:r>
          </w:p>
        </w:tc>
        <w:tc>
          <w:tcPr>
            <w:tcW w:w="1473" w:type="dxa"/>
            <w:vAlign w:val="bottom"/>
          </w:tcPr>
          <w:p w14:paraId="6C77B8C9"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1,6</w:t>
            </w:r>
          </w:p>
        </w:tc>
      </w:tr>
      <w:tr w:rsidR="004A2F79" w14:paraId="6F13A539"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342ADB3"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 capital</w:t>
            </w:r>
          </w:p>
        </w:tc>
        <w:tc>
          <w:tcPr>
            <w:tcW w:w="1985" w:type="dxa"/>
            <w:vAlign w:val="bottom"/>
          </w:tcPr>
          <w:p w14:paraId="200E784E"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Arganzuela</w:t>
            </w:r>
          </w:p>
        </w:tc>
        <w:tc>
          <w:tcPr>
            <w:tcW w:w="1701" w:type="dxa"/>
            <w:vAlign w:val="bottom"/>
          </w:tcPr>
          <w:p w14:paraId="662A1EBA"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4,9%</w:t>
            </w:r>
          </w:p>
        </w:tc>
        <w:tc>
          <w:tcPr>
            <w:tcW w:w="2126" w:type="dxa"/>
            <w:vAlign w:val="bottom"/>
          </w:tcPr>
          <w:p w14:paraId="78E9AFF7"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5,4%</w:t>
            </w:r>
          </w:p>
        </w:tc>
        <w:tc>
          <w:tcPr>
            <w:tcW w:w="1473" w:type="dxa"/>
            <w:vAlign w:val="bottom"/>
          </w:tcPr>
          <w:p w14:paraId="3810943C"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0,5</w:t>
            </w:r>
          </w:p>
        </w:tc>
      </w:tr>
      <w:tr w:rsidR="004A2F79" w14:paraId="270F419B"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5FB67D55"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 capital</w:t>
            </w:r>
          </w:p>
        </w:tc>
        <w:tc>
          <w:tcPr>
            <w:tcW w:w="1985" w:type="dxa"/>
            <w:vAlign w:val="bottom"/>
          </w:tcPr>
          <w:p w14:paraId="76F30902"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Barrio de Salamanca</w:t>
            </w:r>
          </w:p>
        </w:tc>
        <w:tc>
          <w:tcPr>
            <w:tcW w:w="1701" w:type="dxa"/>
            <w:vAlign w:val="bottom"/>
          </w:tcPr>
          <w:p w14:paraId="64AD777A"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3,5%</w:t>
            </w:r>
          </w:p>
        </w:tc>
        <w:tc>
          <w:tcPr>
            <w:tcW w:w="2126" w:type="dxa"/>
            <w:vAlign w:val="bottom"/>
          </w:tcPr>
          <w:p w14:paraId="6DCD76EF"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3,6%</w:t>
            </w:r>
          </w:p>
        </w:tc>
        <w:tc>
          <w:tcPr>
            <w:tcW w:w="1473" w:type="dxa"/>
            <w:vAlign w:val="bottom"/>
          </w:tcPr>
          <w:p w14:paraId="7E589313"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0,1</w:t>
            </w:r>
          </w:p>
        </w:tc>
      </w:tr>
      <w:tr w:rsidR="004A2F79" w14:paraId="187280E1"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F549AF9"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 capital</w:t>
            </w:r>
          </w:p>
        </w:tc>
        <w:tc>
          <w:tcPr>
            <w:tcW w:w="1985" w:type="dxa"/>
            <w:vAlign w:val="bottom"/>
          </w:tcPr>
          <w:p w14:paraId="3BC9F6C2"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Carabanchel</w:t>
            </w:r>
          </w:p>
        </w:tc>
        <w:tc>
          <w:tcPr>
            <w:tcW w:w="1701" w:type="dxa"/>
            <w:vAlign w:val="bottom"/>
          </w:tcPr>
          <w:p w14:paraId="4E0C4213"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6,9%</w:t>
            </w:r>
          </w:p>
        </w:tc>
        <w:tc>
          <w:tcPr>
            <w:tcW w:w="2126" w:type="dxa"/>
            <w:vAlign w:val="bottom"/>
          </w:tcPr>
          <w:p w14:paraId="474FA553"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7,4%</w:t>
            </w:r>
          </w:p>
        </w:tc>
        <w:tc>
          <w:tcPr>
            <w:tcW w:w="1473" w:type="dxa"/>
            <w:vAlign w:val="bottom"/>
          </w:tcPr>
          <w:p w14:paraId="5586337F"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0,6</w:t>
            </w:r>
          </w:p>
        </w:tc>
      </w:tr>
      <w:tr w:rsidR="004A2F79" w14:paraId="2507DA02"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7BC7073C"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 capital</w:t>
            </w:r>
          </w:p>
        </w:tc>
        <w:tc>
          <w:tcPr>
            <w:tcW w:w="1985" w:type="dxa"/>
            <w:vAlign w:val="bottom"/>
          </w:tcPr>
          <w:p w14:paraId="1D6D7E49"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Centro</w:t>
            </w:r>
          </w:p>
        </w:tc>
        <w:tc>
          <w:tcPr>
            <w:tcW w:w="1701" w:type="dxa"/>
            <w:vAlign w:val="bottom"/>
          </w:tcPr>
          <w:p w14:paraId="0C92892B"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4,2%</w:t>
            </w:r>
          </w:p>
        </w:tc>
        <w:tc>
          <w:tcPr>
            <w:tcW w:w="2126" w:type="dxa"/>
            <w:vAlign w:val="bottom"/>
          </w:tcPr>
          <w:p w14:paraId="6CA4F782"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4,4%</w:t>
            </w:r>
          </w:p>
        </w:tc>
        <w:tc>
          <w:tcPr>
            <w:tcW w:w="1473" w:type="dxa"/>
            <w:vAlign w:val="bottom"/>
          </w:tcPr>
          <w:p w14:paraId="0FB81B9C"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0,2</w:t>
            </w:r>
          </w:p>
        </w:tc>
      </w:tr>
      <w:tr w:rsidR="004A2F79" w14:paraId="5501841D"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9434A41"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 capital</w:t>
            </w:r>
          </w:p>
        </w:tc>
        <w:tc>
          <w:tcPr>
            <w:tcW w:w="1985" w:type="dxa"/>
            <w:vAlign w:val="bottom"/>
          </w:tcPr>
          <w:p w14:paraId="65847D0C"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Chamartín</w:t>
            </w:r>
          </w:p>
        </w:tc>
        <w:tc>
          <w:tcPr>
            <w:tcW w:w="1701" w:type="dxa"/>
            <w:vAlign w:val="bottom"/>
          </w:tcPr>
          <w:p w14:paraId="26BE229B"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3,8%</w:t>
            </w:r>
          </w:p>
        </w:tc>
        <w:tc>
          <w:tcPr>
            <w:tcW w:w="2126" w:type="dxa"/>
            <w:vAlign w:val="bottom"/>
          </w:tcPr>
          <w:p w14:paraId="674267B4"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4,5%</w:t>
            </w:r>
          </w:p>
        </w:tc>
        <w:tc>
          <w:tcPr>
            <w:tcW w:w="1473" w:type="dxa"/>
            <w:vAlign w:val="bottom"/>
          </w:tcPr>
          <w:p w14:paraId="79914498"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0,7</w:t>
            </w:r>
          </w:p>
        </w:tc>
      </w:tr>
      <w:tr w:rsidR="004A2F79" w14:paraId="6A292A9D"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63620FB"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 capital</w:t>
            </w:r>
          </w:p>
        </w:tc>
        <w:tc>
          <w:tcPr>
            <w:tcW w:w="1985" w:type="dxa"/>
            <w:vAlign w:val="bottom"/>
          </w:tcPr>
          <w:p w14:paraId="559C0BDB"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Chamberí</w:t>
            </w:r>
          </w:p>
        </w:tc>
        <w:tc>
          <w:tcPr>
            <w:tcW w:w="1701" w:type="dxa"/>
            <w:vAlign w:val="bottom"/>
          </w:tcPr>
          <w:p w14:paraId="5E7FC61F"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3,9%</w:t>
            </w:r>
          </w:p>
        </w:tc>
        <w:tc>
          <w:tcPr>
            <w:tcW w:w="2126" w:type="dxa"/>
            <w:vAlign w:val="bottom"/>
          </w:tcPr>
          <w:p w14:paraId="66E06CE0"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4,3%</w:t>
            </w:r>
          </w:p>
        </w:tc>
        <w:tc>
          <w:tcPr>
            <w:tcW w:w="1473" w:type="dxa"/>
            <w:vAlign w:val="bottom"/>
          </w:tcPr>
          <w:p w14:paraId="4ABDB081"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0,3</w:t>
            </w:r>
          </w:p>
        </w:tc>
      </w:tr>
      <w:tr w:rsidR="004A2F79" w14:paraId="36770A46"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4854BC80"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 capital</w:t>
            </w:r>
          </w:p>
        </w:tc>
        <w:tc>
          <w:tcPr>
            <w:tcW w:w="1985" w:type="dxa"/>
            <w:vAlign w:val="bottom"/>
          </w:tcPr>
          <w:p w14:paraId="75D050D0"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Ciudad Lineal</w:t>
            </w:r>
          </w:p>
        </w:tc>
        <w:tc>
          <w:tcPr>
            <w:tcW w:w="1701" w:type="dxa"/>
            <w:vAlign w:val="bottom"/>
          </w:tcPr>
          <w:p w14:paraId="53B9455B"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5,4%</w:t>
            </w:r>
          </w:p>
        </w:tc>
        <w:tc>
          <w:tcPr>
            <w:tcW w:w="2126" w:type="dxa"/>
            <w:vAlign w:val="bottom"/>
          </w:tcPr>
          <w:p w14:paraId="05A68F66"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6,0%</w:t>
            </w:r>
          </w:p>
        </w:tc>
        <w:tc>
          <w:tcPr>
            <w:tcW w:w="1473" w:type="dxa"/>
            <w:vAlign w:val="bottom"/>
          </w:tcPr>
          <w:p w14:paraId="61D7FFA3"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0,5</w:t>
            </w:r>
          </w:p>
        </w:tc>
      </w:tr>
      <w:tr w:rsidR="004A2F79" w14:paraId="19BC0608"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FD1F527"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 capital</w:t>
            </w:r>
          </w:p>
        </w:tc>
        <w:tc>
          <w:tcPr>
            <w:tcW w:w="1985" w:type="dxa"/>
            <w:vAlign w:val="bottom"/>
          </w:tcPr>
          <w:p w14:paraId="04B684DB"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Fuencarral - El Pardo</w:t>
            </w:r>
          </w:p>
        </w:tc>
        <w:tc>
          <w:tcPr>
            <w:tcW w:w="1701" w:type="dxa"/>
            <w:vAlign w:val="bottom"/>
          </w:tcPr>
          <w:p w14:paraId="69137510"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4,7%</w:t>
            </w:r>
          </w:p>
        </w:tc>
        <w:tc>
          <w:tcPr>
            <w:tcW w:w="2126" w:type="dxa"/>
            <w:vAlign w:val="bottom"/>
          </w:tcPr>
          <w:p w14:paraId="2A7EC6CC"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5,2%</w:t>
            </w:r>
          </w:p>
        </w:tc>
        <w:tc>
          <w:tcPr>
            <w:tcW w:w="1473" w:type="dxa"/>
            <w:vAlign w:val="bottom"/>
          </w:tcPr>
          <w:p w14:paraId="5C9D4DBC"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0,5</w:t>
            </w:r>
          </w:p>
        </w:tc>
      </w:tr>
      <w:tr w:rsidR="004A2F79" w14:paraId="1CD73D17"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5D40277D"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 capital</w:t>
            </w:r>
          </w:p>
        </w:tc>
        <w:tc>
          <w:tcPr>
            <w:tcW w:w="1985" w:type="dxa"/>
            <w:vAlign w:val="bottom"/>
          </w:tcPr>
          <w:p w14:paraId="0137C44D"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Hortaleza</w:t>
            </w:r>
          </w:p>
        </w:tc>
        <w:tc>
          <w:tcPr>
            <w:tcW w:w="1701" w:type="dxa"/>
            <w:vAlign w:val="bottom"/>
          </w:tcPr>
          <w:p w14:paraId="537261F0"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4,6%</w:t>
            </w:r>
          </w:p>
        </w:tc>
        <w:tc>
          <w:tcPr>
            <w:tcW w:w="2126" w:type="dxa"/>
            <w:vAlign w:val="bottom"/>
          </w:tcPr>
          <w:p w14:paraId="66241538"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5,3%</w:t>
            </w:r>
          </w:p>
        </w:tc>
        <w:tc>
          <w:tcPr>
            <w:tcW w:w="1473" w:type="dxa"/>
            <w:vAlign w:val="bottom"/>
          </w:tcPr>
          <w:p w14:paraId="114EF344"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0,6</w:t>
            </w:r>
          </w:p>
        </w:tc>
      </w:tr>
      <w:tr w:rsidR="004A2F79" w14:paraId="4F3104A7"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84F567A"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 capital</w:t>
            </w:r>
          </w:p>
        </w:tc>
        <w:tc>
          <w:tcPr>
            <w:tcW w:w="1985" w:type="dxa"/>
            <w:vAlign w:val="bottom"/>
          </w:tcPr>
          <w:p w14:paraId="66B545DC"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Latina</w:t>
            </w:r>
          </w:p>
        </w:tc>
        <w:tc>
          <w:tcPr>
            <w:tcW w:w="1701" w:type="dxa"/>
            <w:vAlign w:val="bottom"/>
          </w:tcPr>
          <w:p w14:paraId="5345E3F5"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6,5%</w:t>
            </w:r>
          </w:p>
        </w:tc>
        <w:tc>
          <w:tcPr>
            <w:tcW w:w="2126" w:type="dxa"/>
            <w:vAlign w:val="bottom"/>
          </w:tcPr>
          <w:p w14:paraId="3B472271"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7,1%</w:t>
            </w:r>
          </w:p>
        </w:tc>
        <w:tc>
          <w:tcPr>
            <w:tcW w:w="1473" w:type="dxa"/>
            <w:vAlign w:val="bottom"/>
          </w:tcPr>
          <w:p w14:paraId="33012D3B"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0,6</w:t>
            </w:r>
          </w:p>
        </w:tc>
      </w:tr>
      <w:tr w:rsidR="004A2F79" w14:paraId="3D88E742"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268C5ACE"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 capital</w:t>
            </w:r>
          </w:p>
        </w:tc>
        <w:tc>
          <w:tcPr>
            <w:tcW w:w="1985" w:type="dxa"/>
            <w:vAlign w:val="bottom"/>
          </w:tcPr>
          <w:p w14:paraId="71844608"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Moncloa - Aravaca</w:t>
            </w:r>
          </w:p>
        </w:tc>
        <w:tc>
          <w:tcPr>
            <w:tcW w:w="1701" w:type="dxa"/>
            <w:vAlign w:val="bottom"/>
          </w:tcPr>
          <w:p w14:paraId="7A7F9FC2"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4,4%</w:t>
            </w:r>
          </w:p>
        </w:tc>
        <w:tc>
          <w:tcPr>
            <w:tcW w:w="2126" w:type="dxa"/>
            <w:vAlign w:val="bottom"/>
          </w:tcPr>
          <w:p w14:paraId="0D20C340"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5,0%</w:t>
            </w:r>
          </w:p>
        </w:tc>
        <w:tc>
          <w:tcPr>
            <w:tcW w:w="1473" w:type="dxa"/>
            <w:vAlign w:val="bottom"/>
          </w:tcPr>
          <w:p w14:paraId="3CEF25C6"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0,6</w:t>
            </w:r>
          </w:p>
        </w:tc>
      </w:tr>
      <w:tr w:rsidR="004A2F79" w14:paraId="2144DFE6"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481CB002"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 capital</w:t>
            </w:r>
          </w:p>
        </w:tc>
        <w:tc>
          <w:tcPr>
            <w:tcW w:w="1985" w:type="dxa"/>
            <w:vAlign w:val="bottom"/>
          </w:tcPr>
          <w:p w14:paraId="0F991F30"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Puente de Vallecas</w:t>
            </w:r>
          </w:p>
        </w:tc>
        <w:tc>
          <w:tcPr>
            <w:tcW w:w="1701" w:type="dxa"/>
            <w:vAlign w:val="bottom"/>
          </w:tcPr>
          <w:p w14:paraId="004E1B7B"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6,4%</w:t>
            </w:r>
          </w:p>
        </w:tc>
        <w:tc>
          <w:tcPr>
            <w:tcW w:w="2126" w:type="dxa"/>
            <w:vAlign w:val="bottom"/>
          </w:tcPr>
          <w:p w14:paraId="4F80E326"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8,3%</w:t>
            </w:r>
          </w:p>
        </w:tc>
        <w:tc>
          <w:tcPr>
            <w:tcW w:w="1473" w:type="dxa"/>
            <w:vAlign w:val="bottom"/>
          </w:tcPr>
          <w:p w14:paraId="1E96FBC1"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2,0</w:t>
            </w:r>
          </w:p>
        </w:tc>
      </w:tr>
      <w:tr w:rsidR="004A2F79" w14:paraId="0B9248AD"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6A4E4AA7"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 capital</w:t>
            </w:r>
          </w:p>
        </w:tc>
        <w:tc>
          <w:tcPr>
            <w:tcW w:w="1985" w:type="dxa"/>
            <w:vAlign w:val="bottom"/>
          </w:tcPr>
          <w:p w14:paraId="5892C92D"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Retiro</w:t>
            </w:r>
          </w:p>
        </w:tc>
        <w:tc>
          <w:tcPr>
            <w:tcW w:w="1701" w:type="dxa"/>
            <w:vAlign w:val="bottom"/>
          </w:tcPr>
          <w:p w14:paraId="123C9B64"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4,5%</w:t>
            </w:r>
          </w:p>
        </w:tc>
        <w:tc>
          <w:tcPr>
            <w:tcW w:w="2126" w:type="dxa"/>
            <w:vAlign w:val="bottom"/>
          </w:tcPr>
          <w:p w14:paraId="3A220F37"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4,6%</w:t>
            </w:r>
          </w:p>
        </w:tc>
        <w:tc>
          <w:tcPr>
            <w:tcW w:w="1473" w:type="dxa"/>
            <w:vAlign w:val="bottom"/>
          </w:tcPr>
          <w:p w14:paraId="47AE7A2F"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0,1</w:t>
            </w:r>
          </w:p>
        </w:tc>
      </w:tr>
      <w:tr w:rsidR="004A2F79" w14:paraId="79C6D397"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5FAC209"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 capital</w:t>
            </w:r>
          </w:p>
        </w:tc>
        <w:tc>
          <w:tcPr>
            <w:tcW w:w="1985" w:type="dxa"/>
            <w:vAlign w:val="bottom"/>
          </w:tcPr>
          <w:p w14:paraId="7FF274AF"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San Blas</w:t>
            </w:r>
          </w:p>
        </w:tc>
        <w:tc>
          <w:tcPr>
            <w:tcW w:w="1701" w:type="dxa"/>
            <w:vAlign w:val="bottom"/>
          </w:tcPr>
          <w:p w14:paraId="13735E3B"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6,0%</w:t>
            </w:r>
          </w:p>
        </w:tc>
        <w:tc>
          <w:tcPr>
            <w:tcW w:w="2126" w:type="dxa"/>
            <w:vAlign w:val="bottom"/>
          </w:tcPr>
          <w:p w14:paraId="4BF2AC43"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6,5%</w:t>
            </w:r>
          </w:p>
        </w:tc>
        <w:tc>
          <w:tcPr>
            <w:tcW w:w="1473" w:type="dxa"/>
            <w:vAlign w:val="bottom"/>
          </w:tcPr>
          <w:p w14:paraId="37C77456"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0,4</w:t>
            </w:r>
          </w:p>
        </w:tc>
      </w:tr>
      <w:tr w:rsidR="004A2F79" w14:paraId="55B3A63B"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5BB04B94"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 capital</w:t>
            </w:r>
          </w:p>
        </w:tc>
        <w:tc>
          <w:tcPr>
            <w:tcW w:w="1985" w:type="dxa"/>
            <w:vAlign w:val="bottom"/>
          </w:tcPr>
          <w:p w14:paraId="15505332"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Tetuán</w:t>
            </w:r>
          </w:p>
        </w:tc>
        <w:tc>
          <w:tcPr>
            <w:tcW w:w="1701" w:type="dxa"/>
            <w:vAlign w:val="bottom"/>
          </w:tcPr>
          <w:p w14:paraId="45946441"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4,8%</w:t>
            </w:r>
          </w:p>
        </w:tc>
        <w:tc>
          <w:tcPr>
            <w:tcW w:w="2126" w:type="dxa"/>
            <w:vAlign w:val="bottom"/>
          </w:tcPr>
          <w:p w14:paraId="68D6E934"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5,5%</w:t>
            </w:r>
          </w:p>
        </w:tc>
        <w:tc>
          <w:tcPr>
            <w:tcW w:w="1473" w:type="dxa"/>
            <w:vAlign w:val="bottom"/>
          </w:tcPr>
          <w:p w14:paraId="17BD56B2"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0,7</w:t>
            </w:r>
          </w:p>
        </w:tc>
      </w:tr>
      <w:tr w:rsidR="004A2F79" w14:paraId="404FCA71"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67FD0EC8"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 capital</w:t>
            </w:r>
          </w:p>
        </w:tc>
        <w:tc>
          <w:tcPr>
            <w:tcW w:w="1985" w:type="dxa"/>
            <w:vAlign w:val="bottom"/>
          </w:tcPr>
          <w:p w14:paraId="722CF754"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Usera</w:t>
            </w:r>
          </w:p>
        </w:tc>
        <w:tc>
          <w:tcPr>
            <w:tcW w:w="1701" w:type="dxa"/>
            <w:vAlign w:val="bottom"/>
          </w:tcPr>
          <w:p w14:paraId="42194834"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6,6%</w:t>
            </w:r>
          </w:p>
        </w:tc>
        <w:tc>
          <w:tcPr>
            <w:tcW w:w="2126" w:type="dxa"/>
            <w:vAlign w:val="bottom"/>
          </w:tcPr>
          <w:p w14:paraId="5EF3C1F0"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7,7%</w:t>
            </w:r>
          </w:p>
        </w:tc>
        <w:tc>
          <w:tcPr>
            <w:tcW w:w="1473" w:type="dxa"/>
            <w:vAlign w:val="bottom"/>
          </w:tcPr>
          <w:p w14:paraId="4864063A"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1,1</w:t>
            </w:r>
          </w:p>
        </w:tc>
      </w:tr>
      <w:tr w:rsidR="004A2F79" w14:paraId="546ADEEC"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5016360E"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 capital</w:t>
            </w:r>
          </w:p>
        </w:tc>
        <w:tc>
          <w:tcPr>
            <w:tcW w:w="1985" w:type="dxa"/>
            <w:vAlign w:val="bottom"/>
          </w:tcPr>
          <w:p w14:paraId="7F248B3A"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Villa de Vallecas</w:t>
            </w:r>
          </w:p>
        </w:tc>
        <w:tc>
          <w:tcPr>
            <w:tcW w:w="1701" w:type="dxa"/>
            <w:vAlign w:val="bottom"/>
          </w:tcPr>
          <w:p w14:paraId="37FE2F99"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6,0%</w:t>
            </w:r>
          </w:p>
        </w:tc>
        <w:tc>
          <w:tcPr>
            <w:tcW w:w="2126" w:type="dxa"/>
            <w:vAlign w:val="bottom"/>
          </w:tcPr>
          <w:p w14:paraId="2D74E06B"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7,2%</w:t>
            </w:r>
          </w:p>
        </w:tc>
        <w:tc>
          <w:tcPr>
            <w:tcW w:w="1473" w:type="dxa"/>
            <w:vAlign w:val="bottom"/>
          </w:tcPr>
          <w:p w14:paraId="77D2288F"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1,2</w:t>
            </w:r>
          </w:p>
        </w:tc>
      </w:tr>
      <w:tr w:rsidR="004A2F79" w14:paraId="7413BEF7"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22F6F002"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Madrid capital</w:t>
            </w:r>
          </w:p>
        </w:tc>
        <w:tc>
          <w:tcPr>
            <w:tcW w:w="1985" w:type="dxa"/>
            <w:vAlign w:val="bottom"/>
          </w:tcPr>
          <w:p w14:paraId="76624242"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Villaverde</w:t>
            </w:r>
          </w:p>
        </w:tc>
        <w:tc>
          <w:tcPr>
            <w:tcW w:w="1701" w:type="dxa"/>
            <w:vAlign w:val="bottom"/>
          </w:tcPr>
          <w:p w14:paraId="3294CD65"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8,1%</w:t>
            </w:r>
          </w:p>
        </w:tc>
        <w:tc>
          <w:tcPr>
            <w:tcW w:w="2126" w:type="dxa"/>
            <w:vAlign w:val="bottom"/>
          </w:tcPr>
          <w:p w14:paraId="1198796E"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8,1%</w:t>
            </w:r>
          </w:p>
        </w:tc>
        <w:tc>
          <w:tcPr>
            <w:tcW w:w="1473" w:type="dxa"/>
            <w:vAlign w:val="bottom"/>
          </w:tcPr>
          <w:p w14:paraId="21772D5B"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                             0,0</w:t>
            </w:r>
          </w:p>
        </w:tc>
      </w:tr>
      <w:tr w:rsidR="004A2F79" w14:paraId="693E1C71" w14:textId="77777777" w:rsidTr="004A2F7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349211CD"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Bilbao</w:t>
            </w:r>
          </w:p>
        </w:tc>
        <w:tc>
          <w:tcPr>
            <w:tcW w:w="1985" w:type="dxa"/>
            <w:vAlign w:val="bottom"/>
          </w:tcPr>
          <w:p w14:paraId="62C1B9EA" w14:textId="77777777" w:rsidR="004A2F79"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Abando - Albia</w:t>
            </w:r>
          </w:p>
        </w:tc>
        <w:tc>
          <w:tcPr>
            <w:tcW w:w="1701" w:type="dxa"/>
            <w:vAlign w:val="bottom"/>
          </w:tcPr>
          <w:p w14:paraId="3D063B0C"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4,1%</w:t>
            </w:r>
          </w:p>
        </w:tc>
        <w:tc>
          <w:tcPr>
            <w:tcW w:w="2126" w:type="dxa"/>
            <w:vAlign w:val="bottom"/>
          </w:tcPr>
          <w:p w14:paraId="33140A8F"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6,2%</w:t>
            </w:r>
          </w:p>
        </w:tc>
        <w:tc>
          <w:tcPr>
            <w:tcW w:w="1473" w:type="dxa"/>
            <w:vAlign w:val="bottom"/>
          </w:tcPr>
          <w:p w14:paraId="22E5E991" w14:textId="77777777" w:rsidR="004A2F79"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2,1</w:t>
            </w:r>
          </w:p>
        </w:tc>
      </w:tr>
      <w:tr w:rsidR="004A2F79" w14:paraId="07C2AA36" w14:textId="77777777" w:rsidTr="004A2F79">
        <w:trPr>
          <w:trHeight w:val="279"/>
        </w:trPr>
        <w:tc>
          <w:tcPr>
            <w:cnfStyle w:val="001000000000" w:firstRow="0" w:lastRow="0" w:firstColumn="1" w:lastColumn="0" w:oddVBand="0" w:evenVBand="0" w:oddHBand="0" w:evenHBand="0" w:firstRowFirstColumn="0" w:firstRowLastColumn="0" w:lastRowFirstColumn="0" w:lastRowLastColumn="0"/>
            <w:tcW w:w="1838" w:type="dxa"/>
            <w:vAlign w:val="bottom"/>
          </w:tcPr>
          <w:p w14:paraId="0ED600CF" w14:textId="77777777" w:rsidR="004A2F79" w:rsidRDefault="00000000">
            <w:pPr>
              <w:rPr>
                <w:rFonts w:ascii="Open Sans" w:eastAsia="Open Sans" w:hAnsi="Open Sans" w:cs="Open Sans"/>
                <w:sz w:val="20"/>
                <w:szCs w:val="20"/>
              </w:rPr>
            </w:pPr>
            <w:r>
              <w:rPr>
                <w:rFonts w:ascii="Open Sans" w:eastAsia="Open Sans" w:hAnsi="Open Sans" w:cs="Open Sans"/>
                <w:b w:val="0"/>
                <w:sz w:val="20"/>
                <w:szCs w:val="20"/>
              </w:rPr>
              <w:t>Cartagena</w:t>
            </w:r>
          </w:p>
        </w:tc>
        <w:tc>
          <w:tcPr>
            <w:tcW w:w="1985" w:type="dxa"/>
            <w:vAlign w:val="bottom"/>
          </w:tcPr>
          <w:p w14:paraId="42E9ABF0" w14:textId="77777777" w:rsidR="004A2F79"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Cartagena ciudad</w:t>
            </w:r>
          </w:p>
        </w:tc>
        <w:tc>
          <w:tcPr>
            <w:tcW w:w="1701" w:type="dxa"/>
            <w:vAlign w:val="bottom"/>
          </w:tcPr>
          <w:p w14:paraId="1975EC82"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7,2%</w:t>
            </w:r>
          </w:p>
        </w:tc>
        <w:tc>
          <w:tcPr>
            <w:tcW w:w="2126" w:type="dxa"/>
            <w:vAlign w:val="bottom"/>
          </w:tcPr>
          <w:p w14:paraId="5BFEF44B"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color w:val="000000"/>
                <w:sz w:val="20"/>
                <w:szCs w:val="20"/>
              </w:rPr>
              <w:t>10,6%</w:t>
            </w:r>
          </w:p>
        </w:tc>
        <w:tc>
          <w:tcPr>
            <w:tcW w:w="1473" w:type="dxa"/>
            <w:vAlign w:val="bottom"/>
          </w:tcPr>
          <w:p w14:paraId="5EEEBC82" w14:textId="77777777" w:rsidR="004A2F79"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3,4</w:t>
            </w:r>
          </w:p>
        </w:tc>
      </w:tr>
    </w:tbl>
    <w:p w14:paraId="2A30E1AC" w14:textId="77777777" w:rsidR="004A2F79"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304E4798" w14:textId="77777777" w:rsidR="004A2F79"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3" w:name="_heading=h.2s8eyo1" w:colFirst="0" w:colLast="0"/>
    <w:bookmarkEnd w:id="3"/>
    <w:p w14:paraId="461D7054" w14:textId="77777777" w:rsidR="004A2F79"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7">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726B25BF" w14:textId="77777777" w:rsidR="004A2F79"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3940B6C" w14:textId="77777777" w:rsidR="004A2F79"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3186EB9A" w14:textId="77777777" w:rsidR="004A2F79"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4">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200943B8" w14:textId="77777777" w:rsidR="004A2F79"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1E77BC58" w14:textId="77777777" w:rsidR="004A2F79"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10 países. El conjunto de sus plataformas locales recibe un promedio de 3.000 millones de visitas cada mes. </w:t>
      </w:r>
    </w:p>
    <w:p w14:paraId="72812EEB" w14:textId="77777777" w:rsidR="004A2F79"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60F1DAFD" w14:textId="77777777" w:rsidR="004A2F79" w:rsidRDefault="004A2F79">
      <w:pPr>
        <w:spacing w:after="160"/>
        <w:ind w:right="-716"/>
        <w:jc w:val="both"/>
        <w:rPr>
          <w:rFonts w:ascii="Open Sans" w:eastAsia="Open Sans" w:hAnsi="Open Sans" w:cs="Open Sans"/>
        </w:rPr>
      </w:pPr>
    </w:p>
    <w:p w14:paraId="396B1239" w14:textId="77777777" w:rsidR="004A2F79"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5BA6E747" w14:textId="77777777" w:rsidR="004A2F79"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2D036F14" w14:textId="77777777" w:rsidR="004A2F79" w:rsidRDefault="00000000">
      <w:pPr>
        <w:shd w:val="clear" w:color="auto" w:fill="FFFFFF"/>
        <w:spacing w:line="276" w:lineRule="auto"/>
        <w:ind w:right="-716"/>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comunicacion@fotocasa.es</w:t>
        </w:r>
      </w:hyperlink>
    </w:p>
    <w:p w14:paraId="77C91566" w14:textId="77777777" w:rsidR="004A2F79"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7846E0AA" w14:textId="77777777" w:rsidR="004A2F79" w:rsidRDefault="004A2F79">
      <w:pPr>
        <w:spacing w:line="276" w:lineRule="auto"/>
        <w:ind w:right="-716"/>
        <w:rPr>
          <w:rFonts w:ascii="Open Sans Light" w:eastAsia="Open Sans Light" w:hAnsi="Open Sans Light" w:cs="Open Sans Light"/>
          <w:b/>
          <w:color w:val="303AB2"/>
          <w:sz w:val="22"/>
          <w:szCs w:val="22"/>
        </w:rPr>
      </w:pPr>
    </w:p>
    <w:p w14:paraId="5225C847" w14:textId="77777777" w:rsidR="004A2F79" w:rsidRDefault="004A2F79">
      <w:pPr>
        <w:spacing w:line="276" w:lineRule="auto"/>
        <w:ind w:right="-716"/>
        <w:rPr>
          <w:rFonts w:ascii="Open Sans Light" w:eastAsia="Open Sans Light" w:hAnsi="Open Sans Light" w:cs="Open Sans Light"/>
          <w:b/>
          <w:color w:val="303AB2"/>
          <w:sz w:val="22"/>
          <w:szCs w:val="22"/>
        </w:rPr>
      </w:pPr>
    </w:p>
    <w:p w14:paraId="0E8122A3" w14:textId="77777777" w:rsidR="004A2F79"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B1A8EB3" w14:textId="77777777" w:rsidR="004A2F79"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14E12772" w14:textId="77777777" w:rsidR="004A2F79" w:rsidRPr="009F3B3D"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7">
        <w:r w:rsidRPr="009F3B3D">
          <w:rPr>
            <w:rFonts w:ascii="Open Sans" w:eastAsia="Open Sans" w:hAnsi="Open Sans" w:cs="Open Sans"/>
            <w:color w:val="0000FF"/>
            <w:sz w:val="22"/>
            <w:szCs w:val="22"/>
            <w:u w:val="single"/>
            <w:lang w:val="en-US"/>
          </w:rPr>
          <w:t>rtorne@llorenteycuenca.com</w:t>
        </w:r>
      </w:hyperlink>
      <w:r w:rsidRPr="009F3B3D">
        <w:rPr>
          <w:rFonts w:ascii="Open Sans" w:eastAsia="Open Sans" w:hAnsi="Open Sans" w:cs="Open Sans"/>
          <w:color w:val="0000FF"/>
          <w:sz w:val="22"/>
          <w:szCs w:val="22"/>
          <w:lang w:val="en-US"/>
        </w:rPr>
        <w:tab/>
      </w:r>
      <w:r w:rsidRPr="009F3B3D">
        <w:rPr>
          <w:rFonts w:ascii="Open Sans" w:eastAsia="Open Sans" w:hAnsi="Open Sans" w:cs="Open Sans"/>
          <w:color w:val="0000FF"/>
          <w:sz w:val="22"/>
          <w:szCs w:val="22"/>
          <w:lang w:val="en-US"/>
        </w:rPr>
        <w:tab/>
      </w:r>
      <w:r w:rsidRPr="009F3B3D">
        <w:rPr>
          <w:rFonts w:ascii="Open Sans" w:eastAsia="Open Sans" w:hAnsi="Open Sans" w:cs="Open Sans"/>
          <w:color w:val="0000FF"/>
          <w:sz w:val="22"/>
          <w:szCs w:val="22"/>
          <w:lang w:val="en-US"/>
        </w:rPr>
        <w:tab/>
      </w:r>
    </w:p>
    <w:p w14:paraId="1CB2FFA8" w14:textId="77777777" w:rsidR="004A2F79" w:rsidRPr="009F3B3D" w:rsidRDefault="00000000">
      <w:pPr>
        <w:shd w:val="clear" w:color="auto" w:fill="FFFFFF"/>
        <w:spacing w:line="276" w:lineRule="auto"/>
        <w:ind w:right="-716"/>
        <w:rPr>
          <w:rFonts w:ascii="Open Sans" w:eastAsia="Open Sans" w:hAnsi="Open Sans" w:cs="Open Sans"/>
          <w:color w:val="000000"/>
          <w:sz w:val="22"/>
          <w:szCs w:val="22"/>
          <w:lang w:val="en-US"/>
        </w:rPr>
      </w:pPr>
      <w:r w:rsidRPr="009F3B3D">
        <w:rPr>
          <w:rFonts w:ascii="Open Sans" w:eastAsia="Open Sans" w:hAnsi="Open Sans" w:cs="Open Sans"/>
          <w:color w:val="000000"/>
          <w:sz w:val="22"/>
          <w:szCs w:val="22"/>
          <w:lang w:val="en-US"/>
        </w:rPr>
        <w:t xml:space="preserve">638 68 19 85      </w:t>
      </w:r>
      <w:r w:rsidRPr="009F3B3D">
        <w:rPr>
          <w:rFonts w:ascii="Open Sans" w:eastAsia="Open Sans" w:hAnsi="Open Sans" w:cs="Open Sans"/>
          <w:color w:val="000000"/>
          <w:sz w:val="22"/>
          <w:szCs w:val="22"/>
          <w:lang w:val="en-US"/>
        </w:rPr>
        <w:tab/>
      </w:r>
      <w:r w:rsidRPr="009F3B3D">
        <w:rPr>
          <w:rFonts w:ascii="Open Sans" w:eastAsia="Open Sans" w:hAnsi="Open Sans" w:cs="Open Sans"/>
          <w:color w:val="000000"/>
          <w:sz w:val="22"/>
          <w:szCs w:val="22"/>
          <w:lang w:val="en-US"/>
        </w:rPr>
        <w:tab/>
      </w:r>
      <w:r w:rsidRPr="009F3B3D">
        <w:rPr>
          <w:rFonts w:ascii="Open Sans" w:eastAsia="Open Sans" w:hAnsi="Open Sans" w:cs="Open Sans"/>
          <w:color w:val="000000"/>
          <w:sz w:val="22"/>
          <w:szCs w:val="22"/>
          <w:lang w:val="en-US"/>
        </w:rPr>
        <w:tab/>
      </w:r>
      <w:r w:rsidRPr="009F3B3D">
        <w:rPr>
          <w:rFonts w:ascii="Open Sans" w:eastAsia="Open Sans" w:hAnsi="Open Sans" w:cs="Open Sans"/>
          <w:color w:val="000000"/>
          <w:sz w:val="22"/>
          <w:szCs w:val="22"/>
          <w:lang w:val="en-US"/>
        </w:rPr>
        <w:tab/>
      </w:r>
      <w:r w:rsidRPr="009F3B3D">
        <w:rPr>
          <w:rFonts w:ascii="Open Sans" w:eastAsia="Open Sans" w:hAnsi="Open Sans" w:cs="Open Sans"/>
          <w:color w:val="000000"/>
          <w:sz w:val="22"/>
          <w:szCs w:val="22"/>
          <w:lang w:val="en-US"/>
        </w:rPr>
        <w:tab/>
      </w:r>
      <w:r w:rsidRPr="009F3B3D">
        <w:rPr>
          <w:rFonts w:ascii="Open Sans" w:eastAsia="Open Sans" w:hAnsi="Open Sans" w:cs="Open Sans"/>
          <w:color w:val="000000"/>
          <w:sz w:val="22"/>
          <w:szCs w:val="22"/>
          <w:lang w:val="en-US"/>
        </w:rPr>
        <w:tab/>
      </w:r>
      <w:r w:rsidRPr="009F3B3D">
        <w:rPr>
          <w:rFonts w:ascii="Open Sans" w:eastAsia="Open Sans" w:hAnsi="Open Sans" w:cs="Open Sans"/>
          <w:color w:val="000000"/>
          <w:sz w:val="22"/>
          <w:szCs w:val="22"/>
          <w:lang w:val="en-US"/>
        </w:rPr>
        <w:tab/>
      </w:r>
      <w:r w:rsidRPr="009F3B3D">
        <w:rPr>
          <w:rFonts w:ascii="Open Sans" w:eastAsia="Open Sans" w:hAnsi="Open Sans" w:cs="Open Sans"/>
          <w:color w:val="000000"/>
          <w:sz w:val="22"/>
          <w:szCs w:val="22"/>
          <w:lang w:val="en-US"/>
        </w:rPr>
        <w:tab/>
      </w:r>
    </w:p>
    <w:p w14:paraId="1A068F33" w14:textId="77777777" w:rsidR="004A2F79" w:rsidRPr="009F3B3D" w:rsidRDefault="00000000">
      <w:pPr>
        <w:shd w:val="clear" w:color="auto" w:fill="FFFFFF"/>
        <w:ind w:right="-716"/>
        <w:rPr>
          <w:rFonts w:ascii="Arial" w:eastAsia="Arial" w:hAnsi="Arial" w:cs="Arial"/>
          <w:color w:val="222222"/>
          <w:sz w:val="22"/>
          <w:szCs w:val="22"/>
          <w:lang w:val="en-US"/>
        </w:rPr>
      </w:pPr>
      <w:r w:rsidRPr="009F3B3D">
        <w:rPr>
          <w:rFonts w:ascii="Arial" w:eastAsia="Arial" w:hAnsi="Arial" w:cs="Arial"/>
          <w:color w:val="222222"/>
          <w:sz w:val="22"/>
          <w:szCs w:val="22"/>
          <w:lang w:val="en-US"/>
        </w:rPr>
        <w:tab/>
      </w:r>
      <w:r w:rsidRPr="009F3B3D">
        <w:rPr>
          <w:rFonts w:ascii="Arial" w:eastAsia="Arial" w:hAnsi="Arial" w:cs="Arial"/>
          <w:color w:val="222222"/>
          <w:sz w:val="22"/>
          <w:szCs w:val="22"/>
          <w:lang w:val="en-US"/>
        </w:rPr>
        <w:tab/>
      </w:r>
      <w:r w:rsidRPr="009F3B3D">
        <w:rPr>
          <w:rFonts w:ascii="Arial" w:eastAsia="Arial" w:hAnsi="Arial" w:cs="Arial"/>
          <w:color w:val="222222"/>
          <w:sz w:val="22"/>
          <w:szCs w:val="22"/>
          <w:lang w:val="en-US"/>
        </w:rPr>
        <w:tab/>
      </w:r>
      <w:r w:rsidRPr="009F3B3D">
        <w:rPr>
          <w:rFonts w:ascii="Arial" w:eastAsia="Arial" w:hAnsi="Arial" w:cs="Arial"/>
          <w:color w:val="222222"/>
          <w:sz w:val="22"/>
          <w:szCs w:val="22"/>
          <w:lang w:val="en-US"/>
        </w:rPr>
        <w:tab/>
        <w:t xml:space="preserve">     </w:t>
      </w:r>
    </w:p>
    <w:p w14:paraId="08B04FBA" w14:textId="77777777" w:rsidR="004A2F79" w:rsidRPr="009F3B3D" w:rsidRDefault="00000000">
      <w:pPr>
        <w:shd w:val="clear" w:color="auto" w:fill="FFFFFF"/>
        <w:ind w:right="-716"/>
        <w:rPr>
          <w:rFonts w:ascii="Open Sans" w:eastAsia="Open Sans" w:hAnsi="Open Sans" w:cs="Open Sans"/>
          <w:b/>
          <w:color w:val="000000"/>
          <w:sz w:val="22"/>
          <w:szCs w:val="22"/>
          <w:lang w:val="en-US"/>
        </w:rPr>
      </w:pPr>
      <w:r w:rsidRPr="009F3B3D">
        <w:rPr>
          <w:rFonts w:ascii="Open Sans" w:eastAsia="Open Sans" w:hAnsi="Open Sans" w:cs="Open Sans"/>
          <w:b/>
          <w:color w:val="000000"/>
          <w:sz w:val="22"/>
          <w:szCs w:val="22"/>
          <w:lang w:val="en-US"/>
        </w:rPr>
        <w:lastRenderedPageBreak/>
        <w:t>Fanny Merino</w:t>
      </w:r>
    </w:p>
    <w:p w14:paraId="6EEF4EE3" w14:textId="77777777" w:rsidR="004A2F79" w:rsidRPr="009F3B3D" w:rsidRDefault="00000000">
      <w:pPr>
        <w:shd w:val="clear" w:color="auto" w:fill="FFFFFF"/>
        <w:ind w:right="-716"/>
        <w:rPr>
          <w:rFonts w:ascii="Open Sans" w:eastAsia="Open Sans" w:hAnsi="Open Sans" w:cs="Open Sans"/>
          <w:b/>
          <w:color w:val="000000"/>
          <w:sz w:val="22"/>
          <w:szCs w:val="22"/>
          <w:lang w:val="en-US"/>
        </w:rPr>
      </w:pPr>
      <w:hyperlink r:id="rId28">
        <w:r w:rsidRPr="009F3B3D">
          <w:rPr>
            <w:rFonts w:ascii="Open Sans" w:eastAsia="Open Sans" w:hAnsi="Open Sans" w:cs="Open Sans"/>
            <w:color w:val="0000FF"/>
            <w:sz w:val="22"/>
            <w:szCs w:val="22"/>
            <w:u w:val="single"/>
            <w:lang w:val="en-US"/>
          </w:rPr>
          <w:t>emerino@llorenteycuenca.com</w:t>
        </w:r>
      </w:hyperlink>
      <w:r w:rsidRPr="009F3B3D">
        <w:rPr>
          <w:rFonts w:ascii="Open Sans" w:eastAsia="Open Sans" w:hAnsi="Open Sans" w:cs="Open Sans"/>
          <w:color w:val="0000FF"/>
          <w:sz w:val="22"/>
          <w:szCs w:val="22"/>
          <w:lang w:val="en-US"/>
        </w:rPr>
        <w:tab/>
      </w:r>
      <w:r w:rsidRPr="009F3B3D">
        <w:rPr>
          <w:rFonts w:ascii="Open Sans" w:eastAsia="Open Sans" w:hAnsi="Open Sans" w:cs="Open Sans"/>
          <w:color w:val="0000FF"/>
          <w:sz w:val="22"/>
          <w:szCs w:val="22"/>
          <w:lang w:val="en-US"/>
        </w:rPr>
        <w:tab/>
      </w:r>
    </w:p>
    <w:p w14:paraId="6DB23CC5" w14:textId="77777777" w:rsidR="004A2F79" w:rsidRPr="009F3B3D" w:rsidRDefault="00000000">
      <w:pPr>
        <w:shd w:val="clear" w:color="auto" w:fill="FFFFFF"/>
        <w:ind w:right="-716"/>
        <w:rPr>
          <w:rFonts w:ascii="Open Sans" w:eastAsia="Open Sans" w:hAnsi="Open Sans" w:cs="Open Sans"/>
          <w:color w:val="000000"/>
          <w:sz w:val="22"/>
          <w:szCs w:val="22"/>
          <w:lang w:val="en-US"/>
        </w:rPr>
      </w:pPr>
      <w:r w:rsidRPr="009F3B3D">
        <w:rPr>
          <w:rFonts w:ascii="Open Sans" w:eastAsia="Open Sans" w:hAnsi="Open Sans" w:cs="Open Sans"/>
          <w:color w:val="000000"/>
          <w:sz w:val="22"/>
          <w:szCs w:val="22"/>
          <w:lang w:val="en-US"/>
        </w:rPr>
        <w:t>663 35 69 75 </w:t>
      </w:r>
    </w:p>
    <w:p w14:paraId="69D23764" w14:textId="77777777" w:rsidR="004A2F79" w:rsidRPr="009F3B3D" w:rsidRDefault="004A2F79">
      <w:pPr>
        <w:shd w:val="clear" w:color="auto" w:fill="FFFFFF"/>
        <w:ind w:right="-716"/>
        <w:rPr>
          <w:rFonts w:ascii="Open Sans" w:eastAsia="Open Sans" w:hAnsi="Open Sans" w:cs="Open Sans"/>
          <w:color w:val="000000"/>
          <w:sz w:val="22"/>
          <w:szCs w:val="22"/>
          <w:lang w:val="en-US"/>
        </w:rPr>
      </w:pPr>
    </w:p>
    <w:p w14:paraId="40A3F1D6" w14:textId="77777777" w:rsidR="004A2F79" w:rsidRPr="009F3B3D" w:rsidRDefault="00000000">
      <w:pPr>
        <w:shd w:val="clear" w:color="auto" w:fill="FFFFFF"/>
        <w:ind w:right="-716"/>
        <w:rPr>
          <w:rFonts w:ascii="Open Sans" w:eastAsia="Open Sans" w:hAnsi="Open Sans" w:cs="Open Sans"/>
          <w:b/>
          <w:color w:val="000000"/>
          <w:sz w:val="22"/>
          <w:szCs w:val="22"/>
          <w:lang w:val="en-US"/>
        </w:rPr>
      </w:pPr>
      <w:r w:rsidRPr="009F3B3D">
        <w:rPr>
          <w:rFonts w:ascii="Open Sans" w:eastAsia="Open Sans" w:hAnsi="Open Sans" w:cs="Open Sans"/>
          <w:b/>
          <w:color w:val="000000"/>
          <w:sz w:val="22"/>
          <w:szCs w:val="22"/>
          <w:lang w:val="en-US"/>
        </w:rPr>
        <w:t>Paula Iglesias</w:t>
      </w:r>
    </w:p>
    <w:p w14:paraId="6C8177E8" w14:textId="77777777" w:rsidR="004A2F79" w:rsidRPr="009F3B3D" w:rsidRDefault="00000000">
      <w:pPr>
        <w:shd w:val="clear" w:color="auto" w:fill="FFFFFF"/>
        <w:ind w:right="-716"/>
        <w:rPr>
          <w:rFonts w:ascii="Open Sans" w:eastAsia="Open Sans" w:hAnsi="Open Sans" w:cs="Open Sans"/>
          <w:b/>
          <w:color w:val="000000"/>
          <w:sz w:val="22"/>
          <w:szCs w:val="22"/>
          <w:lang w:val="en-US"/>
        </w:rPr>
      </w:pPr>
      <w:hyperlink r:id="rId29">
        <w:r w:rsidRPr="009F3B3D">
          <w:rPr>
            <w:rFonts w:ascii="Open Sans" w:eastAsia="Open Sans" w:hAnsi="Open Sans" w:cs="Open Sans"/>
            <w:color w:val="0000FF"/>
            <w:sz w:val="22"/>
            <w:szCs w:val="22"/>
            <w:u w:val="single"/>
            <w:lang w:val="en-US"/>
          </w:rPr>
          <w:t>piglesias@llorenteycuenca.com</w:t>
        </w:r>
      </w:hyperlink>
      <w:r w:rsidRPr="009F3B3D">
        <w:rPr>
          <w:rFonts w:ascii="Open Sans" w:eastAsia="Open Sans" w:hAnsi="Open Sans" w:cs="Open Sans"/>
          <w:color w:val="0000FF"/>
          <w:sz w:val="22"/>
          <w:szCs w:val="22"/>
          <w:lang w:val="en-US"/>
        </w:rPr>
        <w:tab/>
      </w:r>
      <w:r w:rsidRPr="009F3B3D">
        <w:rPr>
          <w:rFonts w:ascii="Open Sans" w:eastAsia="Open Sans" w:hAnsi="Open Sans" w:cs="Open Sans"/>
          <w:color w:val="0000FF"/>
          <w:sz w:val="22"/>
          <w:szCs w:val="22"/>
          <w:lang w:val="en-US"/>
        </w:rPr>
        <w:tab/>
      </w:r>
    </w:p>
    <w:p w14:paraId="3DE1DEF7" w14:textId="77777777" w:rsidR="004A2F79"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1D3381EC" w14:textId="77777777" w:rsidR="004A2F79" w:rsidRDefault="004A2F79">
      <w:pPr>
        <w:spacing w:line="276" w:lineRule="auto"/>
        <w:ind w:right="-574"/>
        <w:jc w:val="right"/>
        <w:rPr>
          <w:rFonts w:ascii="Open Sans" w:eastAsia="Open Sans" w:hAnsi="Open Sans" w:cs="Open Sans"/>
          <w:color w:val="000000"/>
          <w:sz w:val="21"/>
          <w:szCs w:val="21"/>
        </w:rPr>
      </w:pPr>
    </w:p>
    <w:sectPr w:rsidR="004A2F79">
      <w:footerReference w:type="default" r:id="rId30"/>
      <w:pgSz w:w="11900"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8071" w14:textId="77777777" w:rsidR="00831ACB" w:rsidRDefault="00831ACB">
      <w:r>
        <w:separator/>
      </w:r>
    </w:p>
  </w:endnote>
  <w:endnote w:type="continuationSeparator" w:id="0">
    <w:p w14:paraId="184DF817" w14:textId="77777777" w:rsidR="00831ACB" w:rsidRDefault="0083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BDFD" w14:textId="77777777" w:rsidR="004A2F79" w:rsidRDefault="00000000">
    <w:pPr>
      <w:pBdr>
        <w:top w:val="nil"/>
        <w:left w:val="nil"/>
        <w:bottom w:val="nil"/>
        <w:right w:val="nil"/>
        <w:between w:val="nil"/>
      </w:pBdr>
      <w:tabs>
        <w:tab w:val="center" w:pos="4252"/>
        <w:tab w:val="right" w:pos="8504"/>
      </w:tabs>
      <w:jc w:val="right"/>
      <w:rPr>
        <w:color w:val="000000"/>
      </w:rPr>
    </w:pPr>
    <w:r>
      <w:rPr>
        <w:color w:val="4472C4"/>
        <w:sz w:val="20"/>
        <w:szCs w:val="20"/>
      </w:rPr>
      <w:t xml:space="preserve">pág. </w:t>
    </w:r>
    <w:r>
      <w:rPr>
        <w:color w:val="4472C4"/>
        <w:sz w:val="20"/>
        <w:szCs w:val="20"/>
      </w:rPr>
      <w:fldChar w:fldCharType="begin"/>
    </w:r>
    <w:r>
      <w:rPr>
        <w:color w:val="4472C4"/>
        <w:sz w:val="20"/>
        <w:szCs w:val="20"/>
      </w:rPr>
      <w:instrText>PAGE</w:instrText>
    </w:r>
    <w:r>
      <w:rPr>
        <w:color w:val="4472C4"/>
        <w:sz w:val="20"/>
        <w:szCs w:val="20"/>
      </w:rPr>
      <w:fldChar w:fldCharType="separate"/>
    </w:r>
    <w:r w:rsidR="009F3B3D">
      <w:rPr>
        <w:noProof/>
        <w:color w:val="4472C4"/>
        <w:sz w:val="20"/>
        <w:szCs w:val="20"/>
      </w:rPr>
      <w:t>1</w:t>
    </w:r>
    <w:r>
      <w:rPr>
        <w:color w:val="4472C4"/>
        <w:sz w:val="20"/>
        <w:szCs w:val="20"/>
      </w:rPr>
      <w:fldChar w:fldCharType="end"/>
    </w:r>
  </w:p>
  <w:p w14:paraId="2B6C65B5" w14:textId="77777777" w:rsidR="004A2F79" w:rsidRDefault="004A2F7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034B" w14:textId="77777777" w:rsidR="00831ACB" w:rsidRDefault="00831ACB">
      <w:r>
        <w:separator/>
      </w:r>
    </w:p>
  </w:footnote>
  <w:footnote w:type="continuationSeparator" w:id="0">
    <w:p w14:paraId="4B328901" w14:textId="77777777" w:rsidR="00831ACB" w:rsidRDefault="00831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1212"/>
    <w:multiLevelType w:val="multilevel"/>
    <w:tmpl w:val="DC5EA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4590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F79"/>
    <w:rsid w:val="004A2F79"/>
    <w:rsid w:val="0065097B"/>
    <w:rsid w:val="006619D1"/>
    <w:rsid w:val="00831ACB"/>
    <w:rsid w:val="009F3B3D"/>
    <w:rsid w:val="00CA6D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3F83"/>
  <w15:docId w15:val="{3AE3E8B7-F298-46D9-9E35-59E31EDB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465"/>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Refdecomentario">
    <w:name w:val="annotation reference"/>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link w:val="Textocomentario"/>
    <w:uiPriority w:val="99"/>
    <w:semiHidden/>
    <w:rsid w:val="00964BED"/>
    <w:rPr>
      <w:sz w:val="20"/>
      <w:szCs w:val="20"/>
    </w:rPr>
  </w:style>
  <w:style w:type="character" w:styleId="Mencinsinresolver">
    <w:name w:val="Unresolved Mention"/>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u w:color="000000"/>
      <w:lang w:val="en-US" w:eastAsia="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Texto">
    <w:name w:val="Texto"/>
    <w:basedOn w:val="Normal"/>
    <w:uiPriority w:val="99"/>
    <w:rsid w:val="0014415E"/>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lang w:val="es-ES" w:eastAsia="es-ES"/>
    </w:rPr>
  </w:style>
  <w:style w:type="character" w:styleId="nfasis">
    <w:name w:val="Emphasis"/>
    <w:qFormat/>
    <w:rsid w:val="0014415E"/>
    <w:rPr>
      <w:i/>
      <w:iCs/>
    </w:rPr>
  </w:style>
  <w:style w:type="character" w:styleId="Hipervnculovisitado">
    <w:name w:val="FollowedHyperlink"/>
    <w:basedOn w:val="Fuentedeprrafopredeter"/>
    <w:uiPriority w:val="99"/>
    <w:semiHidden/>
    <w:unhideWhenUsed/>
    <w:rsid w:val="00E34DF1"/>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fotocasa.es/es/quienes-somos/"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adevinta.com/" TargetMode="External"/><Relationship Id="rId25" Type="http://schemas.openxmlformats.org/officeDocument/2006/relationships/hyperlink" Target="http://adevinta.es"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habitaclia.com/" TargetMode="External"/><Relationship Id="rId29" Type="http://schemas.openxmlformats.org/officeDocument/2006/relationships/hyperlink" Target="mailto:piglesias@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milanuncio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motos.coches.net/" TargetMode="External"/><Relationship Id="rId28" Type="http://schemas.openxmlformats.org/officeDocument/2006/relationships/hyperlink" Target="mailto:emerino@llorenteycuenca.com" TargetMode="External"/><Relationship Id="rId10" Type="http://schemas.openxmlformats.org/officeDocument/2006/relationships/hyperlink" Target="http://www.fotocasa.es" TargetMode="External"/><Relationship Id="rId19" Type="http://schemas.openxmlformats.org/officeDocument/2006/relationships/hyperlink" Target="https://www.fotocasa.es/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wiwY1G__Ye8" TargetMode="External"/><Relationship Id="rId14" Type="http://schemas.openxmlformats.org/officeDocument/2006/relationships/hyperlink" Target="http://www.fotocasa.es" TargetMode="External"/><Relationship Id="rId22" Type="http://schemas.openxmlformats.org/officeDocument/2006/relationships/hyperlink" Target="https://www.coches.net/" TargetMode="External"/><Relationship Id="rId27" Type="http://schemas.openxmlformats.org/officeDocument/2006/relationships/hyperlink" Target="mailto:rtorne@llorenteycuenca.com"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11/relationships/chartColorStyle" Target="colors1.xml"/><Relationship Id="rId1" Type="http://schemas.microsoft.com/office/2011/relationships/chartStyle" Target="style1.xml"/><Relationship Id="rId6" Type="http://schemas.openxmlformats.org/officeDocument/2006/relationships/oleObject" Target="file:///H:\Mi%20unidad\01-SCHIBSTED\04-ESTUDIO%20NdP\COMPARTIR\2023\SEPTIEMBRE\PRENSA%20RENTABILIDAD%20COMPARTIR%20sep%202023.xlsx" TargetMode="External"/><Relationship Id="rId5" Type="http://schemas.openxmlformats.org/officeDocument/2006/relationships/image" Target="../media/image4.png"/><Relationship Id="rId4" Type="http://schemas.openxmlformats.org/officeDocument/2006/relationships/image" Target="../media/image3.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blipFill>
            <a:blip xmlns:r="http://schemas.openxmlformats.org/officeDocument/2006/relationships" r:embed="rId3"/>
            <a:stretch>
              <a:fillRect/>
            </a:stretch>
          </a:blipFill>
          <a:ln w="9525" cap="flat" cmpd="sng" algn="ctr">
            <a:no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blipFill>
            <a:blip xmlns:r="http://schemas.openxmlformats.org/officeDocument/2006/relationships" r:embed="rId4"/>
            <a:stretch>
              <a:fillRect/>
            </a:stretch>
          </a:blipFill>
          <a:ln w="9525" cap="flat" cmpd="sng" algn="ctr">
            <a:noFill/>
            <a:round/>
          </a:ln>
          <a:effectLst/>
        </c:spPr>
      </c:pivotFmt>
      <c:pivotFmt>
        <c:idx val="2"/>
        <c:spPr>
          <a:blipFill>
            <a:blip xmlns:r="http://schemas.openxmlformats.org/officeDocument/2006/relationships" r:embed="rId3"/>
            <a:stretch>
              <a:fillRect/>
            </a:stretch>
          </a:blipFill>
          <a:ln w="9525" cap="flat" cmpd="sng" algn="ctr">
            <a:no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blipFill>
            <a:blip xmlns:r="http://schemas.openxmlformats.org/officeDocument/2006/relationships" r:embed="rId4"/>
            <a:stretch>
              <a:fillRect/>
            </a:stretch>
          </a:blipFill>
          <a:ln w="9525" cap="flat" cmpd="sng" algn="ctr">
            <a:noFill/>
            <a:round/>
          </a:ln>
          <a:effectLst/>
        </c:spPr>
      </c:pivotFmt>
      <c:pivotFmt>
        <c:idx val="4"/>
        <c:spPr>
          <a:blipFill>
            <a:blip xmlns:r="http://schemas.openxmlformats.org/officeDocument/2006/relationships" r:embed="rId3"/>
            <a:stretch>
              <a:fillRect/>
            </a:stretch>
          </a:blipFill>
          <a:ln w="9525" cap="flat" cmpd="sng" algn="ctr">
            <a:no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blipFill>
            <a:blip xmlns:r="http://schemas.openxmlformats.org/officeDocument/2006/relationships" r:embed="rId4"/>
            <a:stretch>
              <a:fillRect/>
            </a:stretch>
          </a:blipFill>
          <a:ln w="9525" cap="flat" cmpd="sng" algn="ctr">
            <a:noFill/>
            <a:round/>
          </a:ln>
          <a:effectLst/>
        </c:spPr>
      </c:pivotFmt>
      <c:pivotFmt>
        <c:idx val="6"/>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w="9525" cap="flat" cmpd="sng" algn="ctr">
            <a:noFill/>
            <a:round/>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blipFill>
            <a:blip xmlns:r="http://schemas.openxmlformats.org/officeDocument/2006/relationships" r:embed="rId3"/>
            <a:stretch>
              <a:fillRect/>
            </a:stretch>
          </a:blipFill>
          <a:ln w="9525" cap="flat" cmpd="sng" algn="ctr">
            <a:no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7"/>
        <c:spPr>
          <a:blipFill>
            <a:blip xmlns:r="http://schemas.openxmlformats.org/officeDocument/2006/relationships" r:embed="rId4"/>
            <a:stretch>
              <a:fillRect/>
            </a:stretch>
          </a:blipFill>
          <a:ln w="9525" cap="flat" cmpd="sng" algn="ctr">
            <a:noFill/>
            <a:round/>
          </a:ln>
          <a:effectLst/>
        </c:spPr>
      </c:pivotFmt>
      <c:pivotFmt>
        <c:idx val="28"/>
        <c:spPr>
          <a:blipFill>
            <a:blip xmlns:r="http://schemas.openxmlformats.org/officeDocument/2006/relationships" r:embed="rId3"/>
            <a:stretch>
              <a:fillRect/>
            </a:stretch>
          </a:blipFill>
          <a:ln w="9525" cap="flat" cmpd="sng" algn="ctr">
            <a:no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9"/>
        <c:spPr>
          <a:blipFill>
            <a:blip xmlns:r="http://schemas.openxmlformats.org/officeDocument/2006/relationships" r:embed="rId4"/>
            <a:stretch>
              <a:fillRect/>
            </a:stretch>
          </a:blipFill>
          <a:ln w="9525" cap="flat" cmpd="sng" algn="ctr">
            <a:noFill/>
            <a:round/>
          </a:ln>
          <a:effectLst/>
        </c:spPr>
      </c:pivotFmt>
      <c:pivotFmt>
        <c:idx val="30"/>
        <c:spPr>
          <a:blipFill>
            <a:blip xmlns:r="http://schemas.openxmlformats.org/officeDocument/2006/relationships" r:embed="rId3"/>
            <a:stretch>
              <a:fillRect/>
            </a:stretch>
          </a:blipFill>
          <a:ln w="9525" cap="flat" cmpd="sng" algn="ctr">
            <a:no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1"/>
        <c:spPr>
          <a:blipFill>
            <a:blip xmlns:r="http://schemas.openxmlformats.org/officeDocument/2006/relationships" r:embed="rId4"/>
            <a:stretch>
              <a:fillRect/>
            </a:stretch>
          </a:blipFill>
          <a:ln w="9525" cap="flat" cmpd="sng" algn="ctr">
            <a:noFill/>
            <a:round/>
          </a:ln>
          <a:effectLst/>
        </c:spPr>
      </c:pivotFmt>
      <c:pivotFmt>
        <c:idx val="32"/>
        <c:spPr>
          <a:solidFill>
            <a:schemeClr val="accent1"/>
          </a:solidFill>
          <a:ln w="9525" cap="flat" cmpd="sng" algn="ctr">
            <a:no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3"/>
        <c:spPr>
          <a:blipFill>
            <a:blip xmlns:r="http://schemas.openxmlformats.org/officeDocument/2006/relationships" r:embed="rId3"/>
            <a:stretch>
              <a:fillRect/>
            </a:stretch>
          </a:blipFill>
          <a:ln w="9525" cap="flat" cmpd="sng" algn="ctr">
            <a:no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4"/>
        <c:spPr>
          <a:blipFill>
            <a:blip xmlns:r="http://schemas.openxmlformats.org/officeDocument/2006/relationships" r:embed="rId4"/>
            <a:stretch>
              <a:fillRect/>
            </a:stretch>
          </a:blipFill>
          <a:ln w="9525" cap="flat" cmpd="sng" algn="ctr">
            <a:noFill/>
            <a:round/>
          </a:ln>
          <a:effectLst/>
        </c:spPr>
      </c:pivotFmt>
      <c:pivotFmt>
        <c:idx val="35"/>
        <c:spPr>
          <a:solidFill>
            <a:schemeClr val="accent1"/>
          </a:solidFill>
          <a:ln w="9525" cap="flat" cmpd="sng" algn="ctr">
            <a:no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6"/>
        <c:spPr>
          <a:blipFill>
            <a:blip xmlns:r="http://schemas.openxmlformats.org/officeDocument/2006/relationships" r:embed="rId3"/>
            <a:stretch>
              <a:fillRect/>
            </a:stretch>
          </a:blipFill>
          <a:ln w="9525" cap="flat" cmpd="sng" algn="ctr">
            <a:no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7"/>
        <c:spPr>
          <a:blipFill>
            <a:blip xmlns:r="http://schemas.openxmlformats.org/officeDocument/2006/relationships" r:embed="rId4"/>
            <a:stretch>
              <a:fillRect/>
            </a:stretch>
          </a:blipFill>
          <a:ln w="9525" cap="flat" cmpd="sng" algn="ctr">
            <a:noFill/>
            <a:round/>
          </a:ln>
          <a:effectLst/>
        </c:spPr>
      </c:pivotFmt>
      <c:pivotFmt>
        <c:idx val="38"/>
        <c:spPr>
          <a:solidFill>
            <a:schemeClr val="accent1"/>
          </a:solidFill>
          <a:ln w="9525" cap="flat" cmpd="sng" algn="ctr">
            <a:no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9"/>
        <c:spPr>
          <a:blipFill>
            <a:blip xmlns:r="http://schemas.openxmlformats.org/officeDocument/2006/relationships" r:embed="rId3"/>
            <a:stretch>
              <a:fillRect/>
            </a:stretch>
          </a:blipFill>
          <a:ln w="9525" cap="flat" cmpd="sng" algn="ctr">
            <a:no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0"/>
        <c:spPr>
          <a:blipFill>
            <a:blip xmlns:r="http://schemas.openxmlformats.org/officeDocument/2006/relationships" r:embed="rId4"/>
            <a:stretch>
              <a:fillRect/>
            </a:stretch>
          </a:blipFill>
          <a:ln w="9525" cap="flat" cmpd="sng" algn="ctr">
            <a:noFill/>
            <a:round/>
          </a:ln>
          <a:effectLst/>
        </c:spPr>
      </c:pivotFmt>
      <c:pivotFmt>
        <c:idx val="41"/>
        <c:spPr>
          <a:blipFill>
            <a:blip xmlns:r="http://schemas.openxmlformats.org/officeDocument/2006/relationships" r:embed="rId5"/>
            <a:stretch>
              <a:fillRect/>
            </a:stretch>
          </a:blipFill>
          <a:ln w="9525" cap="flat" cmpd="sng" algn="ctr">
            <a:no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2"/>
        <c:spPr>
          <a:blipFill>
            <a:blip xmlns:r="http://schemas.openxmlformats.org/officeDocument/2006/relationships" r:embed="rId3"/>
            <a:stretch>
              <a:fillRect/>
            </a:stretch>
          </a:blipFill>
          <a:ln w="9525" cap="flat" cmpd="sng" algn="ctr">
            <a:no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3"/>
        <c:spPr>
          <a:blipFill>
            <a:blip xmlns:r="http://schemas.openxmlformats.org/officeDocument/2006/relationships" r:embed="rId4"/>
            <a:stretch>
              <a:fillRect/>
            </a:stretch>
          </a:blipFill>
          <a:ln w="9525" cap="flat" cmpd="sng" algn="ctr">
            <a:noFill/>
            <a:round/>
          </a:ln>
          <a:effectLst/>
        </c:spPr>
      </c:pivotFmt>
      <c:pivotFmt>
        <c:idx val="44"/>
        <c:spPr>
          <a:blipFill>
            <a:blip xmlns:r="http://schemas.openxmlformats.org/officeDocument/2006/relationships" r:embed="rId5"/>
            <a:stretch>
              <a:fillRect/>
            </a:stretch>
          </a:blipFill>
          <a:ln w="9525" cap="flat" cmpd="sng" algn="ctr">
            <a:no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5"/>
        <c:spPr>
          <a:blipFill>
            <a:blip xmlns:r="http://schemas.openxmlformats.org/officeDocument/2006/relationships" r:embed="rId3"/>
            <a:stretch>
              <a:fillRect/>
            </a:stretch>
          </a:blipFill>
          <a:ln w="9525" cap="flat" cmpd="sng" algn="ctr">
            <a:no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6"/>
        <c:spPr>
          <a:blipFill>
            <a:blip xmlns:r="http://schemas.openxmlformats.org/officeDocument/2006/relationships" r:embed="rId4"/>
            <a:stretch>
              <a:fillRect/>
            </a:stretch>
          </a:blipFill>
          <a:ln w="9525" cap="flat" cmpd="sng" algn="ctr">
            <a:noFill/>
            <a:round/>
          </a:ln>
          <a:effectLst/>
        </c:spPr>
      </c:pivotFmt>
      <c:pivotFmt>
        <c:idx val="47"/>
        <c:spPr>
          <a:blipFill>
            <a:blip xmlns:r="http://schemas.openxmlformats.org/officeDocument/2006/relationships" r:embed="rId5"/>
            <a:stretch>
              <a:fillRect/>
            </a:stretch>
          </a:blipFill>
          <a:ln w="9525" cap="flat" cmpd="sng" algn="ctr">
            <a:noFill/>
            <a:round/>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8"/>
        <c:spPr>
          <a:blipFill>
            <a:blip xmlns:r="http://schemas.openxmlformats.org/officeDocument/2006/relationships" r:embed="rId3"/>
            <a:stretch>
              <a:fillRect/>
            </a:stretch>
          </a:blipFill>
          <a:ln w="9525" cap="flat" cmpd="sng" algn="ctr">
            <a:noFill/>
            <a:round/>
          </a:ln>
          <a:effectLst/>
        </c:spPr>
        <c:marker>
          <c:symbol val="none"/>
        </c:marker>
        <c:dLbl>
          <c:idx val="0"/>
          <c:spPr>
            <a:noFill/>
            <a:ln>
              <a:noFill/>
            </a:ln>
            <a:effectLst/>
          </c:spPr>
          <c:txPr>
            <a:bodyPr rot="0" spcFirstLastPara="1" vertOverflow="ellipsis" vert="horz" wrap="square" anchor="ctr" anchorCtr="1"/>
            <a:lstStyle/>
            <a:p>
              <a:pPr>
                <a:defRPr sz="1400" b="1" i="0" u="none" strike="noStrike" kern="1200" baseline="0">
                  <a:solidFill>
                    <a:schemeClr val="dk1">
                      <a:lumMod val="65000"/>
                      <a:lumOff val="3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9"/>
        <c:spPr>
          <a:blipFill>
            <a:blip xmlns:r="http://schemas.openxmlformats.org/officeDocument/2006/relationships" r:embed="rId4"/>
            <a:stretch>
              <a:fillRect/>
            </a:stretch>
          </a:blipFill>
          <a:ln w="9525" cap="flat" cmpd="sng" algn="ctr">
            <a:noFill/>
            <a:round/>
          </a:ln>
          <a:effectLst/>
        </c:spPr>
      </c:pivotFmt>
      <c:pivotFmt>
        <c:idx val="50"/>
        <c:spPr>
          <a:blipFill>
            <a:blip xmlns:r="http://schemas.openxmlformats.org/officeDocument/2006/relationships" r:embed="rId5"/>
            <a:stretch>
              <a:fillRect/>
            </a:stretch>
          </a:blipFill>
          <a:ln w="9525" cap="flat" cmpd="sng" algn="ctr">
            <a:noFill/>
            <a:round/>
          </a:ln>
          <a:effectLst/>
        </c:spPr>
        <c:marker>
          <c:symbol val="none"/>
        </c:marker>
        <c:dLbl>
          <c:idx val="0"/>
          <c:spPr>
            <a:noFill/>
            <a:ln>
              <a:noFill/>
            </a:ln>
            <a:effectLst/>
          </c:spPr>
          <c:txPr>
            <a:bodyPr rot="0" spcFirstLastPara="1" vertOverflow="ellipsis" vert="horz" wrap="square" anchor="ctr" anchorCtr="1"/>
            <a:lstStyle/>
            <a:p>
              <a:pPr algn="ctr">
                <a:defRPr sz="1400" b="1" i="0" u="none" strike="noStrike" kern="1200" baseline="0">
                  <a:solidFill>
                    <a:schemeClr val="dk1">
                      <a:lumMod val="65000"/>
                      <a:lumOff val="3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1"/>
        <c:spPr>
          <a:blipFill>
            <a:blip xmlns:r="http://schemas.openxmlformats.org/officeDocument/2006/relationships" r:embed="rId3"/>
            <a:stretch>
              <a:fillRect/>
            </a:stretch>
          </a:blipFill>
          <a:ln w="9525" cap="flat" cmpd="sng" algn="ctr">
            <a:noFill/>
            <a:round/>
          </a:ln>
          <a:effectLst/>
        </c:spPr>
        <c:marker>
          <c:symbol val="none"/>
        </c:marker>
        <c:dLbl>
          <c:idx val="0"/>
          <c:spPr>
            <a:noFill/>
            <a:ln>
              <a:noFill/>
            </a:ln>
            <a:effectLst/>
          </c:spPr>
          <c:txPr>
            <a:bodyPr rot="0" spcFirstLastPara="1" vertOverflow="ellipsis" vert="horz" wrap="square" anchor="ctr" anchorCtr="1"/>
            <a:lstStyle/>
            <a:p>
              <a:pPr>
                <a:defRPr sz="1400" b="1" i="0" u="none" strike="noStrike" kern="1200" baseline="0">
                  <a:solidFill>
                    <a:schemeClr val="dk1">
                      <a:lumMod val="65000"/>
                      <a:lumOff val="3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2"/>
        <c:spPr>
          <a:blipFill>
            <a:blip xmlns:r="http://schemas.openxmlformats.org/officeDocument/2006/relationships" r:embed="rId5"/>
            <a:stretch>
              <a:fillRect/>
            </a:stretch>
          </a:blipFill>
          <a:ln w="9525" cap="flat" cmpd="sng" algn="ctr">
            <a:noFill/>
            <a:round/>
          </a:ln>
          <a:effectLst/>
        </c:spPr>
        <c:marker>
          <c:symbol val="none"/>
        </c:marker>
        <c:dLbl>
          <c:idx val="0"/>
          <c:spPr>
            <a:noFill/>
            <a:ln>
              <a:noFill/>
            </a:ln>
            <a:effectLst/>
          </c:spPr>
          <c:txPr>
            <a:bodyPr rot="0" spcFirstLastPara="1" vertOverflow="ellipsis" vert="horz" wrap="square" anchor="ctr" anchorCtr="1"/>
            <a:lstStyle/>
            <a:p>
              <a:pPr algn="ctr">
                <a:defRPr sz="1400" b="1" i="0" u="none" strike="noStrike" kern="1200" baseline="0">
                  <a:solidFill>
                    <a:schemeClr val="dk1">
                      <a:lumMod val="65000"/>
                      <a:lumOff val="3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3"/>
        <c:spPr>
          <a:blipFill>
            <a:blip xmlns:r="http://schemas.openxmlformats.org/officeDocument/2006/relationships" r:embed="rId3"/>
            <a:stretch>
              <a:fillRect/>
            </a:stretch>
          </a:blipFill>
          <a:ln w="9525" cap="flat" cmpd="sng" algn="ctr">
            <a:noFill/>
            <a:round/>
          </a:ln>
          <a:effectLst/>
        </c:spPr>
        <c:marker>
          <c:symbol val="none"/>
        </c:marker>
        <c:dLbl>
          <c:idx val="0"/>
          <c:spPr>
            <a:noFill/>
            <a:ln>
              <a:noFill/>
            </a:ln>
            <a:effectLst/>
          </c:spPr>
          <c:txPr>
            <a:bodyPr rot="0" spcFirstLastPara="1" vertOverflow="ellipsis" vert="horz" wrap="square" anchor="ctr" anchorCtr="1"/>
            <a:lstStyle/>
            <a:p>
              <a:pPr>
                <a:defRPr sz="1400" b="1" i="0" u="none" strike="noStrike" kern="1200" baseline="0">
                  <a:solidFill>
                    <a:schemeClr val="dk1">
                      <a:lumMod val="65000"/>
                      <a:lumOff val="3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4"/>
        <c:spPr>
          <a:blipFill>
            <a:blip xmlns:r="http://schemas.openxmlformats.org/officeDocument/2006/relationships" r:embed="rId5"/>
            <a:stretch>
              <a:fillRect/>
            </a:stretch>
          </a:blipFill>
          <a:ln w="9525" cap="flat" cmpd="sng" algn="ctr">
            <a:noFill/>
            <a:round/>
          </a:ln>
          <a:effectLst/>
        </c:spPr>
        <c:marker>
          <c:symbol val="none"/>
        </c:marker>
        <c:dLbl>
          <c:idx val="0"/>
          <c:spPr>
            <a:noFill/>
            <a:ln>
              <a:noFill/>
            </a:ln>
            <a:effectLst/>
          </c:spPr>
          <c:txPr>
            <a:bodyPr rot="0" spcFirstLastPara="1" vertOverflow="ellipsis" vert="horz" wrap="square" anchor="ctr" anchorCtr="1"/>
            <a:lstStyle/>
            <a:p>
              <a:pPr algn="ctr">
                <a:defRPr sz="1400" b="1" i="0" u="none" strike="noStrike" kern="1200" baseline="0">
                  <a:solidFill>
                    <a:schemeClr val="dk1">
                      <a:lumMod val="65000"/>
                      <a:lumOff val="3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6317724248620653E-2"/>
          <c:y val="2.2882075202556203E-2"/>
          <c:w val="0.92182460678244271"/>
          <c:h val="0.60946486648408082"/>
        </c:manualLayout>
      </c:layout>
      <c:lineChart>
        <c:grouping val="standard"/>
        <c:varyColors val="0"/>
        <c:ser>
          <c:idx val="0"/>
          <c:order val="0"/>
          <c:tx>
            <c:strRef>
              <c:f>CCAA!$B$50</c:f>
              <c:strCache>
                <c:ptCount val="1"/>
                <c:pt idx="0">
                  <c:v> Rentabilidad vivienda 80 m2  (sept-23) </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dPt>
            <c:idx val="2"/>
            <c:marker>
              <c:symbol val="circle"/>
              <c:size val="4"/>
              <c:spPr>
                <a:solidFill>
                  <a:schemeClr val="accent1"/>
                </a:solidFill>
                <a:ln w="9525" cap="flat" cmpd="sng" algn="ctr">
                  <a:solidFill>
                    <a:schemeClr val="accent1"/>
                  </a:solidFill>
                  <a:round/>
                </a:ln>
                <a:effectLst/>
              </c:spPr>
            </c:marker>
            <c:bubble3D val="0"/>
            <c:extLst>
              <c:ext xmlns:c16="http://schemas.microsoft.com/office/drawing/2014/chart" uri="{C3380CC4-5D6E-409C-BE32-E72D297353CC}">
                <c16:uniqueId val="{00000000-59B5-433D-848F-0446C82A7C74}"/>
              </c:ext>
            </c:extLst>
          </c:dPt>
          <c:dPt>
            <c:idx val="3"/>
            <c:marker>
              <c:symbol val="circle"/>
              <c:size val="4"/>
              <c:spPr>
                <a:solidFill>
                  <a:schemeClr val="accent1"/>
                </a:solidFill>
                <a:ln w="9525" cap="flat" cmpd="sng" algn="ctr">
                  <a:solidFill>
                    <a:schemeClr val="accent1"/>
                  </a:solidFill>
                  <a:round/>
                </a:ln>
                <a:effectLst/>
              </c:spPr>
            </c:marker>
            <c:bubble3D val="0"/>
            <c:extLst>
              <c:ext xmlns:c16="http://schemas.microsoft.com/office/drawing/2014/chart" uri="{C3380CC4-5D6E-409C-BE32-E72D297353CC}">
                <c16:uniqueId val="{00000001-59B5-433D-848F-0446C82A7C74}"/>
              </c:ext>
            </c:extLst>
          </c:dPt>
          <c:dLbls>
            <c:dLbl>
              <c:idx val="0"/>
              <c:layout>
                <c:manualLayout>
                  <c:x val="-2.2110552763819097E-2"/>
                  <c:y val="3.62318840579709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59B5-433D-848F-0446C82A7C74}"/>
                </c:ext>
              </c:extLst>
            </c:dLbl>
            <c:dLbl>
              <c:idx val="1"/>
              <c:layout>
                <c:manualLayout>
                  <c:x val="-2.8299924820955169E-2"/>
                  <c:y val="4.98188405797101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9B5-433D-848F-0446C82A7C74}"/>
                </c:ext>
              </c:extLst>
            </c:dLbl>
            <c:dLbl>
              <c:idx val="2"/>
              <c:layout>
                <c:manualLayout>
                  <c:x val="-2.660815890476002E-2"/>
                  <c:y val="6.34057971014492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B5-433D-848F-0446C82A7C74}"/>
                </c:ext>
              </c:extLst>
            </c:dLbl>
            <c:dLbl>
              <c:idx val="3"/>
              <c:layout>
                <c:manualLayout>
                  <c:x val="-3.4489138606417918E-2"/>
                  <c:y val="3.17028985507245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B5-433D-848F-0446C82A7C74}"/>
                </c:ext>
              </c:extLst>
            </c:dLbl>
            <c:dLbl>
              <c:idx val="4"/>
              <c:layout>
                <c:manualLayout>
                  <c:x val="-2.4279824318442608E-2"/>
                  <c:y val="4.0760869565217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9B5-433D-848F-0446C82A7C74}"/>
                </c:ext>
              </c:extLst>
            </c:dLbl>
            <c:dLbl>
              <c:idx val="5"/>
              <c:layout>
                <c:manualLayout>
                  <c:x val="-3.0150753768844258E-2"/>
                  <c:y val="4.0760869565217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9B5-433D-848F-0446C82A7C74}"/>
                </c:ext>
              </c:extLst>
            </c:dLbl>
            <c:dLbl>
              <c:idx val="6"/>
              <c:layout>
                <c:manualLayout>
                  <c:x val="-3.2160804020100506E-2"/>
                  <c:y val="4.07608695652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9B5-433D-848F-0446C82A7C74}"/>
                </c:ext>
              </c:extLst>
            </c:dLbl>
            <c:dLbl>
              <c:idx val="7"/>
              <c:layout>
                <c:manualLayout>
                  <c:x val="-2.4279824318442608E-2"/>
                  <c:y val="3.17028985507245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9B5-433D-848F-0446C82A7C74}"/>
                </c:ext>
              </c:extLst>
            </c:dLbl>
            <c:dLbl>
              <c:idx val="8"/>
              <c:layout>
                <c:manualLayout>
                  <c:x val="-3.0628259407272582E-2"/>
                  <c:y val="4.5289855072463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9B5-433D-848F-0446C82A7C74}"/>
                </c:ext>
              </c:extLst>
            </c:dLbl>
            <c:dLbl>
              <c:idx val="9"/>
              <c:layout>
                <c:manualLayout>
                  <c:x val="-2.6767142800617261E-2"/>
                  <c:y val="4.5289855072463768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dk1">
                          <a:lumMod val="65000"/>
                          <a:lumOff val="3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layout>
                    <c:manualLayout>
                      <c:w val="4.7342697740671853E-2"/>
                      <c:h val="6.6870649321008793E-2"/>
                    </c:manualLayout>
                  </c15:layout>
                </c:ext>
                <c:ext xmlns:c16="http://schemas.microsoft.com/office/drawing/2014/chart" uri="{C3380CC4-5D6E-409C-BE32-E72D297353CC}">
                  <c16:uniqueId val="{0000001B-59B5-433D-848F-0446C82A7C74}"/>
                </c:ext>
              </c:extLst>
            </c:dLbl>
            <c:dLbl>
              <c:idx val="10"/>
              <c:layout>
                <c:manualLayout>
                  <c:x val="-3.2160804020100506E-2"/>
                  <c:y val="4.0760869565217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59B5-433D-848F-0446C82A7C74}"/>
                </c:ext>
              </c:extLst>
            </c:dLbl>
            <c:dLbl>
              <c:idx val="11"/>
              <c:layout>
                <c:manualLayout>
                  <c:x val="-2.8299924820955096E-2"/>
                  <c:y val="4.5289855072463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9B5-433D-848F-0446C82A7C74}"/>
                </c:ext>
              </c:extLst>
            </c:dLbl>
            <c:dLbl>
              <c:idx val="12"/>
              <c:layout>
                <c:manualLayout>
                  <c:x val="-3.6499188857674274E-2"/>
                  <c:y val="4.5289855072463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9B5-433D-848F-0446C82A7C74}"/>
                </c:ext>
              </c:extLst>
            </c:dLbl>
            <c:dLbl>
              <c:idx val="13"/>
              <c:layout>
                <c:manualLayout>
                  <c:x val="-3.2160804020100506E-2"/>
                  <c:y val="4.5289855072463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9B5-433D-848F-0446C82A7C74}"/>
                </c:ext>
              </c:extLst>
            </c:dLbl>
            <c:dLbl>
              <c:idx val="14"/>
              <c:layout>
                <c:manualLayout>
                  <c:x val="-3.2160804020100651E-2"/>
                  <c:y val="3.1702898550724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9B5-433D-848F-0446C82A7C74}"/>
                </c:ext>
              </c:extLst>
            </c:dLbl>
            <c:dLbl>
              <c:idx val="15"/>
              <c:layout>
                <c:manualLayout>
                  <c:x val="-3.0469038103905503E-2"/>
                  <c:y val="4.5289855072463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9B5-433D-848F-0446C82A7C74}"/>
                </c:ext>
              </c:extLst>
            </c:dLbl>
            <c:dLbl>
              <c:idx val="16"/>
              <c:layout>
                <c:manualLayout>
                  <c:x val="-3.0469038103905353E-2"/>
                  <c:y val="4.52898550724637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59B5-433D-848F-0446C82A7C74}"/>
                </c:ext>
              </c:extLst>
            </c:dLbl>
            <c:dLbl>
              <c:idx val="17"/>
              <c:layout>
                <c:manualLayout>
                  <c:x val="-7.8610124638236328E-3"/>
                  <c:y val="4.52898550724637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59B5-433D-848F-0446C82A7C7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CCAA!$A$51:$A$68</c:f>
              <c:strCache>
                <c:ptCount val="18"/>
                <c:pt idx="0">
                  <c:v>Navarra</c:v>
                </c:pt>
                <c:pt idx="1">
                  <c:v>Región de Murcia</c:v>
                </c:pt>
                <c:pt idx="2">
                  <c:v>Comunitat Valenciana</c:v>
                </c:pt>
                <c:pt idx="3">
                  <c:v>Castilla-La Mancha</c:v>
                </c:pt>
                <c:pt idx="4">
                  <c:v>España</c:v>
                </c:pt>
                <c:pt idx="5">
                  <c:v>Cataluña</c:v>
                </c:pt>
                <c:pt idx="6">
                  <c:v>Aragón</c:v>
                </c:pt>
                <c:pt idx="7">
                  <c:v>Extremadura</c:v>
                </c:pt>
                <c:pt idx="8">
                  <c:v>Castilla y León</c:v>
                </c:pt>
                <c:pt idx="9">
                  <c:v>La Rioja</c:v>
                </c:pt>
                <c:pt idx="10">
                  <c:v>Galicia</c:v>
                </c:pt>
                <c:pt idx="11">
                  <c:v>Cantabria</c:v>
                </c:pt>
                <c:pt idx="12">
                  <c:v>Asturias</c:v>
                </c:pt>
                <c:pt idx="13">
                  <c:v>Canarias</c:v>
                </c:pt>
                <c:pt idx="14">
                  <c:v>Andalucía</c:v>
                </c:pt>
                <c:pt idx="15">
                  <c:v>País Vasco</c:v>
                </c:pt>
                <c:pt idx="16">
                  <c:v>Madrid</c:v>
                </c:pt>
                <c:pt idx="17">
                  <c:v>Baleares</c:v>
                </c:pt>
              </c:strCache>
            </c:strRef>
          </c:cat>
          <c:val>
            <c:numRef>
              <c:f>CCAA!$B$51:$B$68</c:f>
              <c:numCache>
                <c:formatCode>0.0%</c:formatCode>
                <c:ptCount val="18"/>
                <c:pt idx="0">
                  <c:v>6.4860721428115151E-2</c:v>
                </c:pt>
                <c:pt idx="1">
                  <c:v>7.6039194492092954E-2</c:v>
                </c:pt>
                <c:pt idx="2">
                  <c:v>7.9666992912986567E-2</c:v>
                </c:pt>
                <c:pt idx="3">
                  <c:v>6.5493496557000777E-2</c:v>
                </c:pt>
                <c:pt idx="4">
                  <c:v>6.2196397443346894E-2</c:v>
                </c:pt>
                <c:pt idx="5">
                  <c:v>6.7766040617443318E-2</c:v>
                </c:pt>
                <c:pt idx="6">
                  <c:v>6.3265937633190675E-2</c:v>
                </c:pt>
                <c:pt idx="7">
                  <c:v>6.1379540153282237E-2</c:v>
                </c:pt>
                <c:pt idx="8">
                  <c:v>6.7738764811882263E-2</c:v>
                </c:pt>
                <c:pt idx="9">
                  <c:v>6.1398438878377301E-2</c:v>
                </c:pt>
                <c:pt idx="10">
                  <c:v>5.8428582375930627E-2</c:v>
                </c:pt>
                <c:pt idx="11">
                  <c:v>7.1906087067779817E-2</c:v>
                </c:pt>
                <c:pt idx="12">
                  <c:v>6.7826852100799251E-2</c:v>
                </c:pt>
                <c:pt idx="13">
                  <c:v>6.5839585755045976E-2</c:v>
                </c:pt>
                <c:pt idx="14">
                  <c:v>5.8481526845377441E-2</c:v>
                </c:pt>
                <c:pt idx="15">
                  <c:v>5.9905652569726069E-2</c:v>
                </c:pt>
                <c:pt idx="16">
                  <c:v>5.7209666617478457E-2</c:v>
                </c:pt>
                <c:pt idx="17">
                  <c:v>5.3122213372636083E-2</c:v>
                </c:pt>
              </c:numCache>
            </c:numRef>
          </c:val>
          <c:smooth val="0"/>
          <c:extLst>
            <c:ext xmlns:c16="http://schemas.microsoft.com/office/drawing/2014/chart" uri="{C3380CC4-5D6E-409C-BE32-E72D297353CC}">
              <c16:uniqueId val="{00000002-59B5-433D-848F-0446C82A7C74}"/>
            </c:ext>
          </c:extLst>
        </c:ser>
        <c:ser>
          <c:idx val="1"/>
          <c:order val="1"/>
          <c:tx>
            <c:strRef>
              <c:f>CCAA!$C$50</c:f>
              <c:strCache>
                <c:ptCount val="1"/>
                <c:pt idx="0">
                  <c:v> Rentabilidad vivienda compartida de 3 habitaciones (sept-23) </c:v>
                </c:pt>
              </c:strCache>
            </c:strRef>
          </c:tx>
          <c:spPr>
            <a:ln w="22225" cap="rnd" cmpd="sng" algn="ctr">
              <a:solidFill>
                <a:schemeClr val="bg1">
                  <a:lumMod val="50000"/>
                </a:schemeClr>
              </a:solidFill>
              <a:round/>
            </a:ln>
            <a:effectLst/>
          </c:spPr>
          <c:marker>
            <c:symbol val="circle"/>
            <c:size val="4"/>
            <c:spPr>
              <a:solidFill>
                <a:schemeClr val="bg1">
                  <a:lumMod val="50000"/>
                </a:schemeClr>
              </a:solidFill>
              <a:ln w="9525" cap="flat" cmpd="sng" algn="ctr">
                <a:solidFill>
                  <a:schemeClr val="bg1">
                    <a:lumMod val="50000"/>
                  </a:schemeClr>
                </a:solidFill>
                <a:round/>
              </a:ln>
              <a:effectLst/>
            </c:spPr>
          </c:marker>
          <c:dLbls>
            <c:dLbl>
              <c:idx val="0"/>
              <c:layout>
                <c:manualLayout>
                  <c:x val="-2.6130653266331662E-2"/>
                  <c:y val="-3.62318840579710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59B5-433D-848F-0446C82A7C74}"/>
                </c:ext>
              </c:extLst>
            </c:dLbl>
            <c:dLbl>
              <c:idx val="1"/>
              <c:layout>
                <c:manualLayout>
                  <c:x val="-2.6130653266331669E-2"/>
                  <c:y val="-4.0760869565217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9B5-433D-848F-0446C82A7C74}"/>
                </c:ext>
              </c:extLst>
            </c:dLbl>
            <c:dLbl>
              <c:idx val="2"/>
              <c:layout>
                <c:manualLayout>
                  <c:x val="-2.0100502512562814E-2"/>
                  <c:y val="-3.1702898550724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9B5-433D-848F-0446C82A7C74}"/>
                </c:ext>
              </c:extLst>
            </c:dLbl>
            <c:dLbl>
              <c:idx val="3"/>
              <c:layout>
                <c:manualLayout>
                  <c:x val="-2.6448937601392792E-2"/>
                  <c:y val="-4.0760869565217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9B5-433D-848F-0446C82A7C74}"/>
                </c:ext>
              </c:extLst>
            </c:dLbl>
            <c:dLbl>
              <c:idx val="4"/>
              <c:layout>
                <c:manualLayout>
                  <c:x val="-2.2110552763819132E-2"/>
                  <c:y val="-3.62318840579710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B5-433D-848F-0446C82A7C74}"/>
                </c:ext>
              </c:extLst>
            </c:dLbl>
            <c:dLbl>
              <c:idx val="5"/>
              <c:layout>
                <c:manualLayout>
                  <c:x val="-2.6130653266331658E-2"/>
                  <c:y val="-3.1702898550724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9B5-433D-848F-0446C82A7C74}"/>
                </c:ext>
              </c:extLst>
            </c:dLbl>
            <c:dLbl>
              <c:idx val="6"/>
              <c:layout>
                <c:manualLayout>
                  <c:x val="-2.6130653266331658E-2"/>
                  <c:y val="-4.0760869565217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B5-433D-848F-0446C82A7C74}"/>
                </c:ext>
              </c:extLst>
            </c:dLbl>
            <c:dLbl>
              <c:idx val="7"/>
              <c:layout>
                <c:manualLayout>
                  <c:x val="-2.4120603015075376E-2"/>
                  <c:y val="-2.71739130434782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B5-433D-848F-0446C82A7C74}"/>
                </c:ext>
              </c:extLst>
            </c:dLbl>
            <c:dLbl>
              <c:idx val="8"/>
              <c:layout>
                <c:manualLayout>
                  <c:x val="-2.8140703517587941E-2"/>
                  <c:y val="-4.0760869565217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9B5-433D-848F-0446C82A7C74}"/>
                </c:ext>
              </c:extLst>
            </c:dLbl>
            <c:dLbl>
              <c:idx val="9"/>
              <c:layout>
                <c:manualLayout>
                  <c:x val="-3.2160804020100506E-2"/>
                  <c:y val="-4.0760869565217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9B5-433D-848F-0446C82A7C74}"/>
                </c:ext>
              </c:extLst>
            </c:dLbl>
            <c:dLbl>
              <c:idx val="10"/>
              <c:layout>
                <c:manualLayout>
                  <c:x val="-3.4330075574724013E-2"/>
                  <c:y val="-4.0760869565217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9B5-433D-848F-0446C82A7C74}"/>
                </c:ext>
              </c:extLst>
            </c:dLbl>
            <c:dLbl>
              <c:idx val="11"/>
              <c:layout>
                <c:manualLayout>
                  <c:x val="-2.8299924820955096E-2"/>
                  <c:y val="-4.0760869565217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9B5-433D-848F-0446C82A7C74}"/>
                </c:ext>
              </c:extLst>
            </c:dLbl>
            <c:dLbl>
              <c:idx val="12"/>
              <c:layout>
                <c:manualLayout>
                  <c:x val="-2.6130653266331658E-2"/>
                  <c:y val="-4.0760869565217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9B5-433D-848F-0446C82A7C74}"/>
                </c:ext>
              </c:extLst>
            </c:dLbl>
            <c:dLbl>
              <c:idx val="13"/>
              <c:layout>
                <c:manualLayout>
                  <c:x val="-2.4279824318442608E-2"/>
                  <c:y val="-3.6231884057971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9B5-433D-848F-0446C82A7C74}"/>
                </c:ext>
              </c:extLst>
            </c:dLbl>
            <c:dLbl>
              <c:idx val="14"/>
              <c:layout>
                <c:manualLayout>
                  <c:x val="-2.4279824318442608E-2"/>
                  <c:y val="-3.62318840579710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9B5-433D-848F-0446C82A7C74}"/>
                </c:ext>
              </c:extLst>
            </c:dLbl>
            <c:dLbl>
              <c:idx val="15"/>
              <c:layout>
                <c:manualLayout>
                  <c:x val="-3.015075376884422E-2"/>
                  <c:y val="-3.62318840579710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9B5-433D-848F-0446C82A7C74}"/>
                </c:ext>
              </c:extLst>
            </c:dLbl>
            <c:dLbl>
              <c:idx val="16"/>
              <c:layout>
                <c:manualLayout>
                  <c:x val="-2.6130653266331658E-2"/>
                  <c:y val="-3.62318840579710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9B5-433D-848F-0446C82A7C74}"/>
                </c:ext>
              </c:extLst>
            </c:dLbl>
            <c:dLbl>
              <c:idx val="17"/>
              <c:layout>
                <c:manualLayout>
                  <c:x val="-6.2674072681329924E-3"/>
                  <c:y val="-4.0760691258701361E-2"/>
                </c:manualLayout>
              </c:layout>
              <c:showLegendKey val="0"/>
              <c:showVal val="1"/>
              <c:showCatName val="0"/>
              <c:showSerName val="0"/>
              <c:showPercent val="0"/>
              <c:showBubbleSize val="0"/>
              <c:extLst>
                <c:ext xmlns:c15="http://schemas.microsoft.com/office/drawing/2012/chart" uri="{CE6537A1-D6FC-4f65-9D91-7224C49458BB}">
                  <c15:layout>
                    <c:manualLayout>
                      <c:w val="5.7632137089759561E-2"/>
                      <c:h val="5.781267830651602E-2"/>
                    </c:manualLayout>
                  </c15:layout>
                </c:ext>
                <c:ext xmlns:c16="http://schemas.microsoft.com/office/drawing/2014/chart" uri="{C3380CC4-5D6E-409C-BE32-E72D297353CC}">
                  <c16:uniqueId val="{00000014-59B5-433D-848F-0446C82A7C7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65000"/>
                        <a:lumOff val="3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CCAA!$A$51:$A$68</c:f>
              <c:strCache>
                <c:ptCount val="18"/>
                <c:pt idx="0">
                  <c:v>Navarra</c:v>
                </c:pt>
                <c:pt idx="1">
                  <c:v>Región de Murcia</c:v>
                </c:pt>
                <c:pt idx="2">
                  <c:v>Comunitat Valenciana</c:v>
                </c:pt>
                <c:pt idx="3">
                  <c:v>Castilla-La Mancha</c:v>
                </c:pt>
                <c:pt idx="4">
                  <c:v>España</c:v>
                </c:pt>
                <c:pt idx="5">
                  <c:v>Cataluña</c:v>
                </c:pt>
                <c:pt idx="6">
                  <c:v>Aragón</c:v>
                </c:pt>
                <c:pt idx="7">
                  <c:v>Extremadura</c:v>
                </c:pt>
                <c:pt idx="8">
                  <c:v>Castilla y León</c:v>
                </c:pt>
                <c:pt idx="9">
                  <c:v>La Rioja</c:v>
                </c:pt>
                <c:pt idx="10">
                  <c:v>Galicia</c:v>
                </c:pt>
                <c:pt idx="11">
                  <c:v>Cantabria</c:v>
                </c:pt>
                <c:pt idx="12">
                  <c:v>Asturias</c:v>
                </c:pt>
                <c:pt idx="13">
                  <c:v>Canarias</c:v>
                </c:pt>
                <c:pt idx="14">
                  <c:v>Andalucía</c:v>
                </c:pt>
                <c:pt idx="15">
                  <c:v>País Vasco</c:v>
                </c:pt>
                <c:pt idx="16">
                  <c:v>Madrid</c:v>
                </c:pt>
                <c:pt idx="17">
                  <c:v>Baleares</c:v>
                </c:pt>
              </c:strCache>
            </c:strRef>
          </c:cat>
          <c:val>
            <c:numRef>
              <c:f>CCAA!$C$51:$C$68</c:f>
              <c:numCache>
                <c:formatCode>0.0%</c:formatCode>
                <c:ptCount val="18"/>
                <c:pt idx="0">
                  <c:v>0.12221749961918892</c:v>
                </c:pt>
                <c:pt idx="1">
                  <c:v>0.10247667833728881</c:v>
                </c:pt>
                <c:pt idx="2">
                  <c:v>9.8595863353890784E-2</c:v>
                </c:pt>
                <c:pt idx="3">
                  <c:v>9.4923488905891362E-2</c:v>
                </c:pt>
                <c:pt idx="4">
                  <c:v>9.4867635095874495E-2</c:v>
                </c:pt>
                <c:pt idx="5">
                  <c:v>9.4501554517190597E-2</c:v>
                </c:pt>
                <c:pt idx="6">
                  <c:v>9.326996619511084E-2</c:v>
                </c:pt>
                <c:pt idx="7">
                  <c:v>9.039361879373542E-2</c:v>
                </c:pt>
                <c:pt idx="8">
                  <c:v>8.0914855567083485E-2</c:v>
                </c:pt>
                <c:pt idx="9">
                  <c:v>8.0037902524198595E-2</c:v>
                </c:pt>
                <c:pt idx="10">
                  <c:v>7.9560311949210996E-2</c:v>
                </c:pt>
                <c:pt idx="11">
                  <c:v>7.954610881873142E-2</c:v>
                </c:pt>
                <c:pt idx="12">
                  <c:v>7.9349167746193147E-2</c:v>
                </c:pt>
                <c:pt idx="13">
                  <c:v>7.8366479974638067E-2</c:v>
                </c:pt>
                <c:pt idx="14">
                  <c:v>7.6073272453836494E-2</c:v>
                </c:pt>
                <c:pt idx="15">
                  <c:v>7.1299842754282874E-2</c:v>
                </c:pt>
                <c:pt idx="16">
                  <c:v>6.661350556772648E-2</c:v>
                </c:pt>
                <c:pt idx="17">
                  <c:v>5.8140722531957734E-2</c:v>
                </c:pt>
              </c:numCache>
            </c:numRef>
          </c:val>
          <c:smooth val="0"/>
          <c:extLst>
            <c:ext xmlns:c16="http://schemas.microsoft.com/office/drawing/2014/chart" uri="{C3380CC4-5D6E-409C-BE32-E72D297353CC}">
              <c16:uniqueId val="{00000003-59B5-433D-848F-0446C82A7C74}"/>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1587936352"/>
        <c:axId val="663677872"/>
      </c:lineChart>
      <c:catAx>
        <c:axId val="1587936352"/>
        <c:scaling>
          <c:orientation val="minMax"/>
        </c:scaling>
        <c:delete val="0"/>
        <c:axPos val="b"/>
        <c:numFmt formatCode="General"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spc="20" baseline="0">
                <a:solidFill>
                  <a:schemeClr val="dk1">
                    <a:lumMod val="65000"/>
                    <a:lumOff val="35000"/>
                  </a:schemeClr>
                </a:solidFill>
                <a:latin typeface="+mn-lt"/>
                <a:ea typeface="+mn-ea"/>
                <a:cs typeface="+mn-cs"/>
              </a:defRPr>
            </a:pPr>
            <a:endParaRPr lang="es-ES"/>
          </a:p>
        </c:txPr>
        <c:crossAx val="663677872"/>
        <c:crosses val="autoZero"/>
        <c:auto val="1"/>
        <c:lblAlgn val="ctr"/>
        <c:lblOffset val="100"/>
        <c:tickLblSkip val="1"/>
        <c:noMultiLvlLbl val="0"/>
      </c:catAx>
      <c:valAx>
        <c:axId val="663677872"/>
        <c:scaling>
          <c:orientation val="minMax"/>
        </c:scaling>
        <c:delete val="1"/>
        <c:axPos val="r"/>
        <c:numFmt formatCode="0.0%" sourceLinked="1"/>
        <c:majorTickMark val="none"/>
        <c:minorTickMark val="none"/>
        <c:tickLblPos val="nextTo"/>
        <c:crossAx val="1587936352"/>
        <c:crosses val="max"/>
        <c:crossBetween val="midCat"/>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4.9999920864163348E-2"/>
          <c:y val="0.91545596542280039"/>
          <c:w val="0.9"/>
          <c:h val="7.095707805546046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es-ES"/>
        </a:p>
      </c:txPr>
    </c:legend>
    <c:plotVisOnly val="1"/>
    <c:dispBlanksAs val="gap"/>
    <c:showDLblsOverMax val="0"/>
    <c:extLst/>
  </c:chart>
  <c:spPr>
    <a:solidFill>
      <a:schemeClr val="lt1"/>
    </a:solidFill>
    <a:ln w="9525" cap="flat" cmpd="sng" algn="ctr">
      <a:noFill/>
      <a:round/>
    </a:ln>
    <a:effectLst/>
  </c:spPr>
  <c:txPr>
    <a:bodyPr/>
    <a:lstStyle/>
    <a:p>
      <a:pPr>
        <a:defRPr/>
      </a:pPr>
      <a:endParaRPr lang="es-ES"/>
    </a:p>
  </c:txPr>
  <c:externalData r:id="rId6">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VkQTqVAp17jS796ECWMeUNhX5Q==">CgMxLjAyCGguZ2pkZ3hzMgloLjMwajB6bGwyCWguMWZvYjl0ZTIJaC4yczhleW8xOAByITEwWDR0dGloZjFIRFl5Tmp4T0NsVmE1RUtQNWJhNFRlRQ==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1980</Words>
  <Characters>10894</Characters>
  <Application>Microsoft Office Word</Application>
  <DocSecurity>0</DocSecurity>
  <Lines>90</Lines>
  <Paragraphs>25</Paragraphs>
  <ScaleCrop>false</ScaleCrop>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2023-09-20T20:18:00Z</dcterms:created>
  <dcterms:modified xsi:type="dcterms:W3CDTF">2023-09-25T19:45:00Z</dcterms:modified>
</cp:coreProperties>
</file>