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4B4" w14:textId="77777777" w:rsidR="00FD01B0" w:rsidRDefault="00000000">
      <w:r>
        <w:rPr>
          <w:noProof/>
        </w:rPr>
        <w:drawing>
          <wp:anchor distT="0" distB="0" distL="114300" distR="114300" simplePos="0" relativeHeight="251658240" behindDoc="0" locked="0" layoutInCell="1" hidden="0" allowOverlap="1" wp14:anchorId="637FA880" wp14:editId="337017E8">
            <wp:simplePos x="0" y="0"/>
            <wp:positionH relativeFrom="column">
              <wp:posOffset>-300958</wp:posOffset>
            </wp:positionH>
            <wp:positionV relativeFrom="paragraph">
              <wp:posOffset>0</wp:posOffset>
            </wp:positionV>
            <wp:extent cx="1614805" cy="904875"/>
            <wp:effectExtent l="0" t="0" r="0" b="0"/>
            <wp:wrapSquare wrapText="bothSides" distT="0" distB="0" distL="114300" distR="114300"/>
            <wp:docPr id="2067787079"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8"/>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51FE37" wp14:editId="5A92632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2067787081" name="image1.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dibujo de un animal&#10;&#10;Descripción generada automáticamente con confianza media"/>
                    <pic:cNvPicPr preferRelativeResize="0"/>
                  </pic:nvPicPr>
                  <pic:blipFill>
                    <a:blip r:embed="rId9"/>
                    <a:srcRect/>
                    <a:stretch>
                      <a:fillRect/>
                    </a:stretch>
                  </pic:blipFill>
                  <pic:spPr>
                    <a:xfrm>
                      <a:off x="0" y="0"/>
                      <a:ext cx="1744345" cy="660400"/>
                    </a:xfrm>
                    <a:prstGeom prst="rect">
                      <a:avLst/>
                    </a:prstGeom>
                    <a:ln/>
                  </pic:spPr>
                </pic:pic>
              </a:graphicData>
            </a:graphic>
          </wp:anchor>
        </w:drawing>
      </w:r>
    </w:p>
    <w:p w14:paraId="0E677AAF" w14:textId="77777777" w:rsidR="00FD01B0" w:rsidRDefault="00FD01B0"/>
    <w:p w14:paraId="32DA5561" w14:textId="77777777" w:rsidR="00FD01B0" w:rsidRDefault="00FD01B0"/>
    <w:p w14:paraId="7D0A40DA" w14:textId="77777777" w:rsidR="00FD01B0" w:rsidRDefault="00FD01B0"/>
    <w:p w14:paraId="0D66EA80" w14:textId="77777777" w:rsidR="00FD01B0" w:rsidRDefault="00000000">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INFORME: “LA SOSTENIBILIDAD EN LA DEMANDA DE VIVIENDA EN ESPAÑA”</w:t>
      </w:r>
    </w:p>
    <w:p w14:paraId="403EFB5B" w14:textId="77777777" w:rsidR="00FD01B0" w:rsidRDefault="00FD01B0">
      <w:pPr>
        <w:spacing w:after="0" w:line="240" w:lineRule="auto"/>
        <w:ind w:right="-574"/>
        <w:jc w:val="center"/>
        <w:rPr>
          <w:rFonts w:ascii="Times New Roman" w:eastAsia="Times New Roman" w:hAnsi="Times New Roman" w:cs="Times New Roman"/>
          <w:sz w:val="36"/>
          <w:szCs w:val="36"/>
        </w:rPr>
      </w:pPr>
    </w:p>
    <w:p w14:paraId="4B3D9724" w14:textId="77777777" w:rsidR="00FD01B0" w:rsidRDefault="00000000">
      <w:pPr>
        <w:spacing w:after="0" w:line="240" w:lineRule="auto"/>
        <w:ind w:right="-574"/>
        <w:jc w:val="center"/>
        <w:rPr>
          <w:rFonts w:ascii="National" w:eastAsia="National" w:hAnsi="National" w:cs="National"/>
          <w:b/>
          <w:color w:val="2F5496"/>
          <w:sz w:val="48"/>
          <w:szCs w:val="48"/>
        </w:rPr>
      </w:pPr>
      <w:r>
        <w:rPr>
          <w:rFonts w:ascii="National" w:eastAsia="National" w:hAnsi="National" w:cs="National"/>
          <w:b/>
          <w:color w:val="2F5496"/>
          <w:sz w:val="48"/>
          <w:szCs w:val="48"/>
        </w:rPr>
        <w:t>La subida del precio de la vivienda obliga a los compradores a decantarse por tipologías más asequibles</w:t>
      </w:r>
    </w:p>
    <w:p w14:paraId="14DC2C0E" w14:textId="77777777" w:rsidR="00FD01B0" w:rsidRDefault="00FD01B0">
      <w:pPr>
        <w:spacing w:after="0" w:line="240" w:lineRule="auto"/>
        <w:ind w:left="644" w:right="-574"/>
        <w:jc w:val="center"/>
        <w:rPr>
          <w:rFonts w:ascii="Times New Roman" w:eastAsia="Times New Roman" w:hAnsi="Times New Roman" w:cs="Times New Roman"/>
          <w:sz w:val="24"/>
          <w:szCs w:val="24"/>
        </w:rPr>
      </w:pPr>
    </w:p>
    <w:p w14:paraId="5D92BEBF" w14:textId="77777777" w:rsidR="00FD01B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 xml:space="preserve">En 2023 se reduce la demanda de vivienda de obra nueva y aumenta la </w:t>
      </w:r>
      <w:proofErr w:type="gramStart"/>
      <w:r>
        <w:rPr>
          <w:rFonts w:ascii="Open Sans" w:eastAsia="Open Sans" w:hAnsi="Open Sans" w:cs="Open Sans"/>
          <w:sz w:val="24"/>
          <w:szCs w:val="24"/>
        </w:rPr>
        <w:t>de  segunda</w:t>
      </w:r>
      <w:proofErr w:type="gramEnd"/>
      <w:r>
        <w:rPr>
          <w:rFonts w:ascii="Open Sans" w:eastAsia="Open Sans" w:hAnsi="Open Sans" w:cs="Open Sans"/>
          <w:sz w:val="24"/>
          <w:szCs w:val="24"/>
        </w:rPr>
        <w:t xml:space="preserve"> mano, por el decrecimiento del presupuesto de compra</w:t>
      </w:r>
    </w:p>
    <w:p w14:paraId="61AC7EED" w14:textId="77777777" w:rsidR="00FD01B0" w:rsidRDefault="00FD01B0">
      <w:pPr>
        <w:pBdr>
          <w:top w:val="nil"/>
          <w:left w:val="nil"/>
          <w:bottom w:val="nil"/>
          <w:right w:val="nil"/>
          <w:between w:val="nil"/>
        </w:pBdr>
        <w:spacing w:after="0" w:line="240" w:lineRule="auto"/>
        <w:ind w:left="720" w:right="-143"/>
        <w:jc w:val="both"/>
        <w:rPr>
          <w:rFonts w:ascii="Open Sans" w:eastAsia="Open Sans" w:hAnsi="Open Sans" w:cs="Open Sans"/>
          <w:sz w:val="24"/>
          <w:szCs w:val="24"/>
        </w:rPr>
      </w:pPr>
    </w:p>
    <w:p w14:paraId="318E2643" w14:textId="77777777" w:rsidR="00FD01B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 xml:space="preserve">Las casas y </w:t>
      </w:r>
      <w:proofErr w:type="gramStart"/>
      <w:r>
        <w:rPr>
          <w:rFonts w:ascii="Open Sans" w:eastAsia="Open Sans" w:hAnsi="Open Sans" w:cs="Open Sans"/>
          <w:sz w:val="24"/>
          <w:szCs w:val="24"/>
        </w:rPr>
        <w:t>chalets</w:t>
      </w:r>
      <w:proofErr w:type="gramEnd"/>
      <w:r>
        <w:rPr>
          <w:rFonts w:ascii="Open Sans" w:eastAsia="Open Sans" w:hAnsi="Open Sans" w:cs="Open Sans"/>
          <w:sz w:val="24"/>
          <w:szCs w:val="24"/>
        </w:rPr>
        <w:t xml:space="preserve"> dejan de ser los más buscados por los ciudadanos, para dar paso a tipologías más asequibles como los pisos</w:t>
      </w:r>
    </w:p>
    <w:p w14:paraId="355E9BDA" w14:textId="77777777" w:rsidR="00FD01B0" w:rsidRDefault="00FD01B0">
      <w:pPr>
        <w:pBdr>
          <w:top w:val="nil"/>
          <w:left w:val="nil"/>
          <w:bottom w:val="nil"/>
          <w:right w:val="nil"/>
          <w:between w:val="nil"/>
        </w:pBdr>
        <w:spacing w:after="0" w:line="240" w:lineRule="auto"/>
        <w:ind w:left="720" w:right="-143"/>
        <w:jc w:val="both"/>
        <w:rPr>
          <w:rFonts w:ascii="Open Sans" w:eastAsia="Open Sans" w:hAnsi="Open Sans" w:cs="Open Sans"/>
          <w:sz w:val="24"/>
          <w:szCs w:val="24"/>
        </w:rPr>
      </w:pPr>
    </w:p>
    <w:p w14:paraId="098DC6ED" w14:textId="77777777" w:rsidR="00FD01B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sz w:val="24"/>
          <w:szCs w:val="24"/>
        </w:rPr>
      </w:pPr>
      <w:r>
        <w:rPr>
          <w:rFonts w:ascii="Open Sans" w:eastAsia="Open Sans" w:hAnsi="Open Sans" w:cs="Open Sans"/>
          <w:sz w:val="24"/>
          <w:szCs w:val="24"/>
        </w:rPr>
        <w:t>Se reduce el presupuesto medio en la compra de una vivienda, ahora se sitúa en los 180.000€, frente a los 185.000€ del 2022</w:t>
      </w:r>
    </w:p>
    <w:p w14:paraId="1F152593" w14:textId="77777777" w:rsidR="00FD01B0" w:rsidRDefault="00FD01B0">
      <w:pPr>
        <w:spacing w:after="0" w:line="240" w:lineRule="auto"/>
        <w:ind w:right="-143"/>
        <w:jc w:val="both"/>
        <w:rPr>
          <w:rFonts w:ascii="Open Sans" w:eastAsia="Open Sans" w:hAnsi="Open Sans" w:cs="Open Sans"/>
          <w:color w:val="000000"/>
        </w:rPr>
      </w:pPr>
    </w:p>
    <w:p w14:paraId="094F4A14" w14:textId="77777777" w:rsidR="00FD01B0" w:rsidRDefault="00FD01B0">
      <w:pPr>
        <w:spacing w:after="0" w:line="240" w:lineRule="auto"/>
        <w:ind w:right="-143"/>
        <w:jc w:val="both"/>
        <w:rPr>
          <w:rFonts w:ascii="Open Sans" w:eastAsia="Open Sans" w:hAnsi="Open Sans" w:cs="Open Sans"/>
          <w:color w:val="2F5496"/>
          <w:sz w:val="24"/>
          <w:szCs w:val="24"/>
        </w:rPr>
      </w:pPr>
    </w:p>
    <w:p w14:paraId="41D9944B" w14:textId="77777777" w:rsidR="00FD01B0" w:rsidRDefault="00000000">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 xml:space="preserve">Madrid, </w:t>
      </w:r>
      <w:r w:rsidR="009F5F1D">
        <w:rPr>
          <w:rFonts w:ascii="Open Sans" w:eastAsia="Open Sans" w:hAnsi="Open Sans" w:cs="Open Sans"/>
          <w:b/>
          <w:color w:val="2F5496"/>
          <w:sz w:val="24"/>
          <w:szCs w:val="24"/>
        </w:rPr>
        <w:t>13 de octubre</w:t>
      </w:r>
      <w:r>
        <w:rPr>
          <w:rFonts w:ascii="Open Sans" w:eastAsia="Open Sans" w:hAnsi="Open Sans" w:cs="Open Sans"/>
          <w:b/>
          <w:color w:val="2F5496"/>
          <w:sz w:val="24"/>
          <w:szCs w:val="24"/>
        </w:rPr>
        <w:t xml:space="preserve"> de 2023</w:t>
      </w:r>
    </w:p>
    <w:p w14:paraId="531ACF78" w14:textId="77777777" w:rsidR="00FD01B0" w:rsidRDefault="00FD01B0">
      <w:pPr>
        <w:spacing w:after="0" w:line="240" w:lineRule="auto"/>
        <w:rPr>
          <w:rFonts w:ascii="Times New Roman" w:eastAsia="Times New Roman" w:hAnsi="Times New Roman" w:cs="Times New Roman"/>
          <w:sz w:val="24"/>
          <w:szCs w:val="24"/>
        </w:rPr>
      </w:pPr>
    </w:p>
    <w:p w14:paraId="469620B6" w14:textId="77777777" w:rsidR="00FD01B0" w:rsidRDefault="00000000">
      <w:pPr>
        <w:pBdr>
          <w:top w:val="nil"/>
          <w:left w:val="nil"/>
          <w:bottom w:val="nil"/>
          <w:right w:val="nil"/>
          <w:between w:val="nil"/>
        </w:pBdr>
        <w:spacing w:line="276" w:lineRule="auto"/>
        <w:jc w:val="both"/>
        <w:rPr>
          <w:rFonts w:ascii="Open Sans" w:eastAsia="Open Sans" w:hAnsi="Open Sans" w:cs="Open Sans"/>
          <w:b/>
          <w:color w:val="2F5496"/>
          <w:sz w:val="24"/>
          <w:szCs w:val="24"/>
        </w:rPr>
      </w:pPr>
      <w:r>
        <w:rPr>
          <w:rFonts w:ascii="Open Sans" w:eastAsia="Open Sans" w:hAnsi="Open Sans" w:cs="Open Sans"/>
        </w:rPr>
        <w:t xml:space="preserve">La inflación de la zona euro y la consecuente subida de tipos de interés por parte del Banco Central Europeo han provocado un efecto rebote con un significativo encarecimiento del precio de la vivienda, llegando a presentar aumentos del 10% interanual en el primer semestre del año. Esta situación impacta directamente en la búsqueda de vivienda y en la decisión de incorporar criterios eficientes energéticamente en el inmueble, tal y como muestra el informe </w:t>
      </w:r>
      <w:r>
        <w:rPr>
          <w:rFonts w:ascii="Open Sans" w:eastAsia="Open Sans" w:hAnsi="Open Sans" w:cs="Open Sans"/>
          <w:color w:val="000000"/>
        </w:rPr>
        <w:t>‘</w:t>
      </w:r>
      <w:hyperlink r:id="rId10">
        <w:r>
          <w:rPr>
            <w:rFonts w:ascii="Open Sans" w:eastAsia="Open Sans" w:hAnsi="Open Sans" w:cs="Open Sans"/>
            <w:i/>
            <w:color w:val="0000FF"/>
            <w:u w:val="single"/>
          </w:rPr>
          <w:t>La sostenibilidad en la demanda de vivienda en España</w:t>
        </w:r>
      </w:hyperlink>
      <w:r>
        <w:rPr>
          <w:rFonts w:ascii="Open Sans" w:eastAsia="Open Sans" w:hAnsi="Open Sans" w:cs="Open Sans"/>
          <w:i/>
          <w:color w:val="000000"/>
          <w:u w:val="single"/>
        </w:rPr>
        <w:t>’</w:t>
      </w:r>
      <w:r>
        <w:rPr>
          <w:rFonts w:ascii="Open Sans" w:eastAsia="Open Sans" w:hAnsi="Open Sans" w:cs="Open Sans"/>
          <w:color w:val="000000"/>
        </w:rPr>
        <w:t xml:space="preserve"> elaborado conjuntamente entre </w:t>
      </w:r>
      <w:hyperlink r:id="rId11">
        <w:r>
          <w:rPr>
            <w:rFonts w:ascii="Open Sans" w:eastAsia="Open Sans" w:hAnsi="Open Sans" w:cs="Open Sans"/>
            <w:b/>
            <w:color w:val="1155CC"/>
            <w:u w:val="single"/>
          </w:rPr>
          <w:t>Fotocasa</w:t>
        </w:r>
      </w:hyperlink>
      <w:r>
        <w:rPr>
          <w:rFonts w:ascii="Open Sans" w:eastAsia="Open Sans" w:hAnsi="Open Sans" w:cs="Open Sans"/>
          <w:color w:val="000000"/>
        </w:rPr>
        <w:t xml:space="preserve"> y </w:t>
      </w:r>
      <w:hyperlink r:id="rId12">
        <w:r>
          <w:rPr>
            <w:rFonts w:ascii="Open Sans" w:eastAsia="Open Sans" w:hAnsi="Open Sans" w:cs="Open Sans"/>
            <w:b/>
            <w:color w:val="1155CC"/>
            <w:u w:val="single"/>
          </w:rPr>
          <w:t>Solvia</w:t>
        </w:r>
      </w:hyperlink>
      <w:r>
        <w:rPr>
          <w:rFonts w:ascii="Open Sans" w:eastAsia="Open Sans" w:hAnsi="Open Sans" w:cs="Open Sans"/>
          <w:color w:val="000000"/>
        </w:rPr>
        <w:t xml:space="preserve">. </w:t>
      </w:r>
    </w:p>
    <w:p w14:paraId="0871B219"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En 2023, la vivienda de segunda mano cobra protagonismo, experimentando un ligero crecimiento en el interés de los encuestados (2,6 puntos porcentuales) respecto al año anterior. Por el contrario, la demanda de obra nueva se ajusta hasta el 20,1%. De esta manera, mientras que el 26,6% de los que prefieren comprar una nueva vivienda se decantan por la segunda mano, el 25,6% optan por la compra de una vivienda de obra nueva. Asimismo, se observa una situación de características </w:t>
      </w:r>
      <w:r>
        <w:rPr>
          <w:rFonts w:ascii="Open Sans" w:eastAsia="Open Sans" w:hAnsi="Open Sans" w:cs="Open Sans"/>
        </w:rPr>
        <w:lastRenderedPageBreak/>
        <w:t>similares en el mercado del alquiler. En este sentido, la mayoría de los demandantes de vivienda en régimen de alquiler (43,1%) se decantan por una vivienda de segunda mano, mientras que tan solo el 10,7% buscan vivienda en régimen de alquiler de obra nueva.</w:t>
      </w:r>
    </w:p>
    <w:p w14:paraId="0CCA239B" w14:textId="77777777" w:rsidR="00FD01B0" w:rsidRDefault="00000000">
      <w:pPr>
        <w:pBdr>
          <w:top w:val="nil"/>
          <w:left w:val="nil"/>
          <w:bottom w:val="nil"/>
          <w:right w:val="nil"/>
          <w:between w:val="nil"/>
        </w:pBdr>
        <w:spacing w:line="276" w:lineRule="auto"/>
        <w:jc w:val="center"/>
        <w:rPr>
          <w:rFonts w:ascii="Open Sans" w:eastAsia="Open Sans" w:hAnsi="Open Sans" w:cs="Open Sans"/>
        </w:rPr>
      </w:pPr>
      <w:r>
        <w:rPr>
          <w:rFonts w:ascii="Open Sans" w:eastAsia="Open Sans" w:hAnsi="Open Sans" w:cs="Open Sans"/>
          <w:noProof/>
        </w:rPr>
        <w:drawing>
          <wp:inline distT="114300" distB="114300" distL="114300" distR="114300" wp14:anchorId="3CF229EE" wp14:editId="313F5EBC">
            <wp:extent cx="5615940" cy="3246120"/>
            <wp:effectExtent l="0" t="0" r="3810" b="0"/>
            <wp:docPr id="206778708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t="3801" b="3801"/>
                    <a:stretch>
                      <a:fillRect/>
                    </a:stretch>
                  </pic:blipFill>
                  <pic:spPr>
                    <a:xfrm>
                      <a:off x="0" y="0"/>
                      <a:ext cx="5615940" cy="3246120"/>
                    </a:xfrm>
                    <a:prstGeom prst="rect">
                      <a:avLst/>
                    </a:prstGeom>
                    <a:ln/>
                  </pic:spPr>
                </pic:pic>
              </a:graphicData>
            </a:graphic>
          </wp:inline>
        </w:drawing>
      </w:r>
    </w:p>
    <w:p w14:paraId="41C49F77" w14:textId="77777777" w:rsidR="009F5F1D" w:rsidRDefault="009F5F1D">
      <w:pPr>
        <w:pBdr>
          <w:top w:val="nil"/>
          <w:left w:val="nil"/>
          <w:bottom w:val="nil"/>
          <w:right w:val="nil"/>
          <w:between w:val="nil"/>
        </w:pBdr>
        <w:spacing w:line="276" w:lineRule="auto"/>
        <w:jc w:val="both"/>
        <w:rPr>
          <w:rFonts w:ascii="Open Sans" w:eastAsia="Open Sans" w:hAnsi="Open Sans" w:cs="Open Sans"/>
        </w:rPr>
      </w:pPr>
    </w:p>
    <w:p w14:paraId="2F266DE0" w14:textId="77777777" w:rsidR="009F5F1D"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En 2023, el encarecimiento del precio de la vivienda también impacta en la </w:t>
      </w:r>
      <w:r>
        <w:rPr>
          <w:rFonts w:ascii="Open Sans" w:eastAsia="Open Sans" w:hAnsi="Open Sans" w:cs="Open Sans"/>
          <w:b/>
        </w:rPr>
        <w:t xml:space="preserve">búsqueda de la tipología, produciendo el cambio de demanda entre casas y </w:t>
      </w:r>
      <w:proofErr w:type="gramStart"/>
      <w:r>
        <w:rPr>
          <w:rFonts w:ascii="Open Sans" w:eastAsia="Open Sans" w:hAnsi="Open Sans" w:cs="Open Sans"/>
          <w:b/>
        </w:rPr>
        <w:t>chalets</w:t>
      </w:r>
      <w:proofErr w:type="gramEnd"/>
      <w:r>
        <w:rPr>
          <w:rFonts w:ascii="Open Sans" w:eastAsia="Open Sans" w:hAnsi="Open Sans" w:cs="Open Sans"/>
          <w:b/>
        </w:rPr>
        <w:t xml:space="preserve"> por pisos. Es decir, la demanda de compra se dirige hacia una tipología más asequible</w:t>
      </w:r>
      <w:r>
        <w:rPr>
          <w:rFonts w:ascii="Open Sans" w:eastAsia="Open Sans" w:hAnsi="Open Sans" w:cs="Open Sans"/>
        </w:rPr>
        <w:t xml:space="preserve">. Los pisos situados en plantas intermedias se convierten en la opción favorita tanto entre los que optan por la compra (42,4%). </w:t>
      </w:r>
    </w:p>
    <w:p w14:paraId="7051F573"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En este sentido, la casa o </w:t>
      </w:r>
      <w:proofErr w:type="gramStart"/>
      <w:r>
        <w:rPr>
          <w:rFonts w:ascii="Open Sans" w:eastAsia="Open Sans" w:hAnsi="Open Sans" w:cs="Open Sans"/>
        </w:rPr>
        <w:t>chalet</w:t>
      </w:r>
      <w:proofErr w:type="gramEnd"/>
      <w:r>
        <w:rPr>
          <w:rFonts w:ascii="Open Sans" w:eastAsia="Open Sans" w:hAnsi="Open Sans" w:cs="Open Sans"/>
        </w:rPr>
        <w:t xml:space="preserve"> (41,7%) pasa a ser la segunda opción más buscada por los demandantes de vivienda de compra, marcando prácticamente un empate con una diferencia de 0,7 puntos porcentuales con las plantas intermedias. La casa adosada (24,3%) se posiciona como la tercera preferencia de este tipo de perfil, seguida de los pisos situados en plantas bajas (19,1%), los áticos (18,6%) y los dúplex (17,9%).</w:t>
      </w:r>
    </w:p>
    <w:p w14:paraId="13423D22" w14:textId="77777777" w:rsidR="00FD01B0" w:rsidRDefault="00000000">
      <w:pPr>
        <w:spacing w:line="276" w:lineRule="auto"/>
        <w:jc w:val="center"/>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672232E1" wp14:editId="2606C0C0">
            <wp:extent cx="3817867" cy="5830725"/>
            <wp:effectExtent l="0" t="0" r="0" b="0"/>
            <wp:docPr id="20677870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t="946" b="1075"/>
                    <a:stretch>
                      <a:fillRect/>
                    </a:stretch>
                  </pic:blipFill>
                  <pic:spPr>
                    <a:xfrm rot="16200000">
                      <a:off x="0" y="0"/>
                      <a:ext cx="3817867" cy="5830725"/>
                    </a:xfrm>
                    <a:prstGeom prst="rect">
                      <a:avLst/>
                    </a:prstGeom>
                    <a:ln/>
                  </pic:spPr>
                </pic:pic>
              </a:graphicData>
            </a:graphic>
          </wp:inline>
        </w:drawing>
      </w:r>
    </w:p>
    <w:p w14:paraId="6F2FFAAB" w14:textId="25AF84A9" w:rsidR="00FD01B0" w:rsidRDefault="00000000">
      <w:pPr>
        <w:spacing w:line="276" w:lineRule="auto"/>
        <w:jc w:val="both"/>
        <w:rPr>
          <w:rFonts w:ascii="Open Sans" w:eastAsia="Open Sans" w:hAnsi="Open Sans" w:cs="Open Sans"/>
        </w:rPr>
      </w:pPr>
      <w:r>
        <w:rPr>
          <w:rFonts w:ascii="Open Sans" w:eastAsia="Open Sans" w:hAnsi="Open Sans" w:cs="Open Sans"/>
        </w:rPr>
        <w:t xml:space="preserve">Respecto al precio de la vivienda, esta situación de ralentización económica provoca que se reduzca el presupuesto de compra de los demandantes, por lo </w:t>
      </w:r>
      <w:r w:rsidR="00C51194">
        <w:rPr>
          <w:rFonts w:ascii="Open Sans" w:eastAsia="Open Sans" w:hAnsi="Open Sans" w:cs="Open Sans"/>
        </w:rPr>
        <w:t>tanto,</w:t>
      </w:r>
      <w:r>
        <w:rPr>
          <w:rFonts w:ascii="Open Sans" w:eastAsia="Open Sans" w:hAnsi="Open Sans" w:cs="Open Sans"/>
        </w:rPr>
        <w:t xml:space="preserve"> </w:t>
      </w:r>
      <w:r>
        <w:rPr>
          <w:rFonts w:ascii="Open Sans" w:eastAsia="Open Sans" w:hAnsi="Open Sans" w:cs="Open Sans"/>
          <w:b/>
        </w:rPr>
        <w:t>se restringe la cantidad que están dispuestos a pagar. Ahora el presupuesto medio en la compra de una vivienda se sitúa en los 180.000€</w:t>
      </w:r>
      <w:r>
        <w:rPr>
          <w:rFonts w:ascii="Open Sans" w:eastAsia="Open Sans" w:hAnsi="Open Sans" w:cs="Open Sans"/>
        </w:rPr>
        <w:t>, frente a los 185.000€ del 2022.</w:t>
      </w:r>
    </w:p>
    <w:p w14:paraId="1EB0709A" w14:textId="77777777" w:rsidR="009F5F1D" w:rsidRDefault="009F5F1D">
      <w:pPr>
        <w:pBdr>
          <w:top w:val="nil"/>
          <w:left w:val="nil"/>
          <w:bottom w:val="nil"/>
          <w:right w:val="nil"/>
          <w:between w:val="nil"/>
        </w:pBdr>
        <w:spacing w:line="276" w:lineRule="auto"/>
        <w:jc w:val="both"/>
        <w:rPr>
          <w:rFonts w:ascii="Open Sans" w:eastAsia="Open Sans" w:hAnsi="Open Sans" w:cs="Open Sans"/>
          <w:b/>
          <w:color w:val="2F5496"/>
          <w:sz w:val="24"/>
          <w:szCs w:val="24"/>
        </w:rPr>
      </w:pPr>
    </w:p>
    <w:p w14:paraId="71DC8ECC"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b/>
          <w:color w:val="2F5496"/>
          <w:sz w:val="24"/>
          <w:szCs w:val="24"/>
        </w:rPr>
        <w:t>Motivaciones para la búsqueda del hogar</w:t>
      </w:r>
    </w:p>
    <w:p w14:paraId="355F138F"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También se observa una modificación en el orden de motivaciones que empujan a la demanda de compra a buscar una nueva vivienda. Mientras que este año la búsqueda de la primera vivienda se convierte en la principal motivación entre aquellos que quieren comprar un inmueble (34,3%), la búsqueda de una vivienda más grande (28,4%) era la principal razón en 2022, aspecto que ocupa la segunda posición en esta ocasión. </w:t>
      </w:r>
    </w:p>
    <w:p w14:paraId="1B7E1AB6"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Tener una vivienda con extras (13,5% frente al 23,1% en 2022), tener una vivienda más sostenible (12,8% frente al 20% en 2022) o querer cambiar de barrio (11,3% frente al 15,9% en 2022) son otras de las principales motivaciones que empujan a los propietarios a querer comprar una casa.</w:t>
      </w:r>
    </w:p>
    <w:p w14:paraId="4FD36FB7" w14:textId="77777777" w:rsidR="00FD01B0" w:rsidRDefault="00000000">
      <w:pPr>
        <w:pBdr>
          <w:top w:val="nil"/>
          <w:left w:val="nil"/>
          <w:bottom w:val="nil"/>
          <w:right w:val="nil"/>
          <w:between w:val="nil"/>
        </w:pBdr>
        <w:spacing w:line="276" w:lineRule="auto"/>
        <w:jc w:val="center"/>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6C1D4583" wp14:editId="3A00A289">
            <wp:extent cx="3620453" cy="5516880"/>
            <wp:effectExtent l="0" t="0" r="0" b="0"/>
            <wp:docPr id="20677870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620453" cy="5516880"/>
                    </a:xfrm>
                    <a:prstGeom prst="rect">
                      <a:avLst/>
                    </a:prstGeom>
                    <a:ln/>
                  </pic:spPr>
                </pic:pic>
              </a:graphicData>
            </a:graphic>
          </wp:inline>
        </w:drawing>
      </w:r>
    </w:p>
    <w:p w14:paraId="7D7190C6" w14:textId="77777777" w:rsidR="00FD01B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aumento de la inflación y el endurecimiento del acceso a la financiación ha impactado en el bolsillo de los ciudadanos compradores de vivienda, obligando a que acomoden la demanda hacia requisitos más asequibles. Cambian la preferencia de la obra nueva por la segunda mano, ajustan su búsqueda a los pisos por encima de las casas y ahora prima la encontrar una primera vivienda, frente al año pasado que había un mayor interés en mejorarla. Sin embargo, la gran mayoría sigue eligiendo una vivienda sostenible, por el ahorro que supone en las facturas de los suministros, por una mejora en los materiales y por un impacto medioambiental más positivo. De hecho, aumentan quienes están dispuestos a pagar un mayor porcentaje por una vivienda </w:t>
      </w:r>
      <w:proofErr w:type="gramStart"/>
      <w:r>
        <w:rPr>
          <w:rFonts w:ascii="Open Sans" w:eastAsia="Open Sans" w:hAnsi="Open Sans" w:cs="Open Sans"/>
        </w:rPr>
        <w:t>sostenible“</w:t>
      </w:r>
      <w:proofErr w:type="gramEnd"/>
      <w:r>
        <w:rPr>
          <w:rFonts w:ascii="Open Sans" w:eastAsia="Open Sans" w:hAnsi="Open Sans" w:cs="Open Sans"/>
        </w:rPr>
        <w:t xml:space="preserve">, </w:t>
      </w:r>
      <w:r w:rsidRPr="00C51194">
        <w:rPr>
          <w:rFonts w:ascii="Open Sans" w:eastAsia="Open Sans" w:hAnsi="Open Sans" w:cs="Open Sans"/>
          <w:b/>
          <w:bCs/>
        </w:rPr>
        <w:t xml:space="preserve">comenta María Matos, directora de Estudios y portavoz de </w:t>
      </w:r>
      <w:hyperlink r:id="rId16">
        <w:r>
          <w:rPr>
            <w:rFonts w:ascii="Open Sans" w:eastAsia="Open Sans" w:hAnsi="Open Sans" w:cs="Open Sans"/>
            <w:b/>
            <w:color w:val="1155CC"/>
            <w:u w:val="single"/>
          </w:rPr>
          <w:t>Fotocasa</w:t>
        </w:r>
      </w:hyperlink>
      <w:r>
        <w:rPr>
          <w:rFonts w:ascii="Open Sans" w:eastAsia="Open Sans" w:hAnsi="Open Sans" w:cs="Open Sans"/>
        </w:rPr>
        <w:t xml:space="preserve">. </w:t>
      </w:r>
    </w:p>
    <w:p w14:paraId="6F044206" w14:textId="77777777" w:rsidR="00C51194" w:rsidRDefault="00C51194" w:rsidP="00C51194">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rPr>
        <w:t xml:space="preserve">“Desde Solvia esperamos que el 2023 cierre con incrementos de precio no superiores al 2,5%. Este crecimiento, sumado al contexto económico actual, está provocando que el valor de los inmuebles residenciales se esté convirtiendo en un </w:t>
      </w:r>
      <w:r>
        <w:rPr>
          <w:rFonts w:ascii="Open Sans" w:eastAsia="Open Sans" w:hAnsi="Open Sans" w:cs="Open Sans"/>
        </w:rPr>
        <w:lastRenderedPageBreak/>
        <w:t xml:space="preserve">factor determinante a la hora de comprar. Así, la búsqueda de la primera vivienda es una prioridad de los españoles, por encima del tamaño o los extras ofrecidos. En el caso de la sostenibilidad, sigue siendo importante para las personas en búsqueda de casa, pero todavía existe un sector de la población que considera una barrera el sobrecoste que supone”, </w:t>
      </w:r>
      <w:r w:rsidRPr="00C51194">
        <w:rPr>
          <w:rFonts w:ascii="Open Sans" w:eastAsia="Open Sans" w:hAnsi="Open Sans" w:cs="Open Sans"/>
          <w:b/>
          <w:bCs/>
        </w:rPr>
        <w:t>apunta Víctor González, director de Marca, Comunicación y Sostenibilidad de</w:t>
      </w:r>
      <w:r>
        <w:rPr>
          <w:rFonts w:ascii="Open Sans" w:eastAsia="Open Sans" w:hAnsi="Open Sans" w:cs="Open Sans"/>
        </w:rPr>
        <w:t xml:space="preserve"> </w:t>
      </w:r>
      <w:hyperlink r:id="rId17">
        <w:r>
          <w:rPr>
            <w:rFonts w:ascii="Open Sans" w:eastAsia="Open Sans" w:hAnsi="Open Sans" w:cs="Open Sans"/>
            <w:b/>
            <w:color w:val="0000FF"/>
            <w:u w:val="single"/>
          </w:rPr>
          <w:t>Solvia</w:t>
        </w:r>
      </w:hyperlink>
      <w:r>
        <w:rPr>
          <w:rFonts w:ascii="Open Sans" w:eastAsia="Open Sans" w:hAnsi="Open Sans" w:cs="Open Sans"/>
        </w:rPr>
        <w:t>.</w:t>
      </w:r>
    </w:p>
    <w:p w14:paraId="150A50B9" w14:textId="77777777" w:rsidR="00FD01B0" w:rsidRDefault="00FD01B0">
      <w:pPr>
        <w:pBdr>
          <w:top w:val="nil"/>
          <w:left w:val="nil"/>
          <w:bottom w:val="nil"/>
          <w:right w:val="nil"/>
          <w:between w:val="nil"/>
        </w:pBdr>
        <w:spacing w:line="276" w:lineRule="auto"/>
        <w:jc w:val="both"/>
        <w:rPr>
          <w:rFonts w:ascii="Open Sans" w:eastAsia="Open Sans" w:hAnsi="Open Sans" w:cs="Open Sans"/>
          <w:color w:val="000000"/>
        </w:rPr>
      </w:pPr>
    </w:p>
    <w:p w14:paraId="47C79316" w14:textId="77777777" w:rsidR="00FD01B0" w:rsidRDefault="00000000" w:rsidP="00C51194">
      <w:pPr>
        <w:spacing w:after="0" w:line="240" w:lineRule="auto"/>
        <w:ind w:right="-143"/>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4E629094" w14:textId="77777777" w:rsidR="00FD01B0" w:rsidRDefault="00FD01B0" w:rsidP="00C51194">
      <w:pPr>
        <w:spacing w:after="0" w:line="240" w:lineRule="auto"/>
        <w:ind w:right="-143"/>
        <w:rPr>
          <w:rFonts w:ascii="Times New Roman" w:eastAsia="Times New Roman" w:hAnsi="Times New Roman" w:cs="Times New Roman"/>
          <w:sz w:val="24"/>
          <w:szCs w:val="24"/>
        </w:rPr>
      </w:pPr>
    </w:p>
    <w:p w14:paraId="36515296" w14:textId="77777777" w:rsidR="00FD01B0" w:rsidRDefault="00000000" w:rsidP="00C51194">
      <w:pPr>
        <w:shd w:val="clear" w:color="auto" w:fill="FFFFFF"/>
        <w:spacing w:after="0" w:line="240" w:lineRule="auto"/>
        <w:ind w:right="-143"/>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8">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9">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68DA0FA5" w14:textId="77777777" w:rsidR="00FD01B0" w:rsidRDefault="00000000" w:rsidP="00C51194">
      <w:pPr>
        <w:spacing w:before="240" w:after="0" w:line="240" w:lineRule="auto"/>
        <w:ind w:right="-143"/>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10970DE7" w14:textId="77777777" w:rsidR="00FD01B0" w:rsidRDefault="00000000" w:rsidP="00C51194">
      <w:pPr>
        <w:spacing w:before="240" w:after="0" w:line="240" w:lineRule="auto"/>
        <w:ind w:right="-143"/>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3.000 personas representativas de la sociedad española que están en proceso de búsqueda de casa, tanto alquiler como compra, y que tienen entre 18 y 75 años. Error muestral +-1,79%.</w:t>
      </w:r>
    </w:p>
    <w:p w14:paraId="0DFD0C0C" w14:textId="77777777" w:rsidR="00FD01B0" w:rsidRDefault="00FD01B0" w:rsidP="00C51194">
      <w:pPr>
        <w:spacing w:after="0" w:line="276" w:lineRule="auto"/>
        <w:ind w:right="-143"/>
        <w:jc w:val="right"/>
        <w:rPr>
          <w:rFonts w:ascii="Open Sans" w:eastAsia="Open Sans" w:hAnsi="Open Sans" w:cs="Open Sans"/>
          <w:color w:val="303AB2"/>
          <w:sz w:val="24"/>
          <w:szCs w:val="24"/>
        </w:rPr>
      </w:pPr>
    </w:p>
    <w:p w14:paraId="3FC3D385" w14:textId="77777777" w:rsidR="00FD01B0" w:rsidRDefault="00000000" w:rsidP="00C51194">
      <w:pPr>
        <w:spacing w:after="0" w:line="240" w:lineRule="auto"/>
        <w:ind w:right="-143"/>
        <w:jc w:val="right"/>
        <w:rPr>
          <w:rFonts w:ascii="Open Sans" w:eastAsia="Open Sans" w:hAnsi="Open Sans" w:cs="Open Sans"/>
          <w:color w:val="2F5496"/>
          <w:sz w:val="24"/>
          <w:szCs w:val="24"/>
        </w:rPr>
      </w:pPr>
      <w:r>
        <w:rPr>
          <w:rFonts w:ascii="Open Sans" w:eastAsia="Open Sans" w:hAnsi="Open Sans" w:cs="Open Sans"/>
          <w:color w:val="2F5496"/>
          <w:sz w:val="24"/>
          <w:szCs w:val="24"/>
        </w:rPr>
        <w:t>Sobre Solvia</w:t>
      </w:r>
    </w:p>
    <w:p w14:paraId="569660C5" w14:textId="77777777" w:rsidR="00FD01B0" w:rsidRDefault="00000000" w:rsidP="00C51194">
      <w:pPr>
        <w:shd w:val="clear" w:color="auto" w:fill="FFFFFF"/>
        <w:spacing w:after="0" w:line="276" w:lineRule="auto"/>
        <w:ind w:right="-143"/>
        <w:jc w:val="both"/>
        <w:rPr>
          <w:rFonts w:ascii="Open Sans" w:eastAsia="Open Sans" w:hAnsi="Open Sans" w:cs="Open Sans"/>
        </w:rPr>
      </w:pPr>
      <w:r>
        <w:rPr>
          <w:rFonts w:ascii="Open Sans" w:eastAsia="Open Sans" w:hAnsi="Open Sans" w:cs="Open Sans"/>
        </w:rPr>
        <w:t xml:space="preserve">Solvia es una firma líder en servicios inmobiliarios para particulares, empresas e inversores que opera en todos los segmentos del mercado. Con una cartera de más 110.000 activos bajo gestión, más de 17.000 de ellos en alquiler, cuenta con una contrastada capacidad de gestión y mantenimiento de todo tipo de activos inmobiliarios, tanto residenciales como terciarios y singulares. </w:t>
      </w:r>
    </w:p>
    <w:p w14:paraId="620B3C08" w14:textId="77777777" w:rsidR="00FD01B0" w:rsidRDefault="00FD01B0" w:rsidP="00C51194">
      <w:pPr>
        <w:shd w:val="clear" w:color="auto" w:fill="FFFFFF"/>
        <w:spacing w:after="0" w:line="276" w:lineRule="auto"/>
        <w:ind w:right="-143"/>
        <w:jc w:val="both"/>
        <w:rPr>
          <w:rFonts w:ascii="Open Sans" w:eastAsia="Open Sans" w:hAnsi="Open Sans" w:cs="Open Sans"/>
        </w:rPr>
      </w:pPr>
    </w:p>
    <w:p w14:paraId="640AF045" w14:textId="77777777" w:rsidR="00FD01B0" w:rsidRDefault="00000000" w:rsidP="00C51194">
      <w:pPr>
        <w:shd w:val="clear" w:color="auto" w:fill="FFFFFF"/>
        <w:spacing w:after="0" w:line="276" w:lineRule="auto"/>
        <w:ind w:right="-143"/>
        <w:jc w:val="both"/>
        <w:rPr>
          <w:rFonts w:ascii="Open Sans" w:eastAsia="Open Sans" w:hAnsi="Open Sans" w:cs="Open Sans"/>
          <w:b/>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Pr>
          <w:rFonts w:ascii="Open Sans" w:eastAsia="Open Sans" w:hAnsi="Open Sans" w:cs="Open Sans"/>
        </w:rPr>
        <w:t>advisory</w:t>
      </w:r>
      <w:proofErr w:type="spellEnd"/>
      <w:r>
        <w:rPr>
          <w:rFonts w:ascii="Open Sans" w:eastAsia="Open Sans" w:hAnsi="Open Sans" w:cs="Open Sans"/>
        </w:rPr>
        <w:t xml:space="preserve"> para inversores. Solvia cuenta con una gran capilaridad gracias a la mayor red comercial del mercado. Para más información, visite </w:t>
      </w:r>
      <w:hyperlink r:id="rId20">
        <w:r>
          <w:rPr>
            <w:rFonts w:ascii="Open Sans" w:eastAsia="Open Sans" w:hAnsi="Open Sans" w:cs="Open Sans"/>
            <w:color w:val="0000FF"/>
            <w:u w:val="single"/>
          </w:rPr>
          <w:t>www.solvia.es</w:t>
        </w:r>
      </w:hyperlink>
    </w:p>
    <w:p w14:paraId="12B08074" w14:textId="77777777" w:rsidR="00FD01B0" w:rsidRDefault="00FD01B0" w:rsidP="00C51194">
      <w:pPr>
        <w:shd w:val="clear" w:color="auto" w:fill="FFFFFF"/>
        <w:spacing w:after="0" w:line="276" w:lineRule="auto"/>
        <w:ind w:right="-143"/>
        <w:jc w:val="both"/>
        <w:rPr>
          <w:rFonts w:ascii="Open Sans" w:eastAsia="Open Sans" w:hAnsi="Open Sans" w:cs="Open Sans"/>
          <w:color w:val="1155CC"/>
          <w:sz w:val="24"/>
          <w:szCs w:val="24"/>
          <w:u w:val="single"/>
        </w:rPr>
      </w:pPr>
    </w:p>
    <w:p w14:paraId="183C9F82" w14:textId="77777777" w:rsidR="00FD01B0" w:rsidRDefault="00000000" w:rsidP="00C51194">
      <w:pPr>
        <w:spacing w:after="0" w:line="240" w:lineRule="auto"/>
        <w:ind w:right="-143"/>
        <w:jc w:val="right"/>
        <w:rPr>
          <w:rFonts w:ascii="Open Sans" w:eastAsia="Open Sans" w:hAnsi="Open Sans" w:cs="Open Sans"/>
          <w:color w:val="2F5496"/>
          <w:sz w:val="24"/>
          <w:szCs w:val="24"/>
        </w:rPr>
      </w:pPr>
      <w:r>
        <w:rPr>
          <w:rFonts w:ascii="Open Sans" w:eastAsia="Open Sans" w:hAnsi="Open Sans" w:cs="Open Sans"/>
          <w:color w:val="2F5496"/>
          <w:sz w:val="24"/>
          <w:szCs w:val="24"/>
        </w:rPr>
        <w:t>Sobre Fotocasa</w:t>
      </w:r>
    </w:p>
    <w:p w14:paraId="68C00EFF" w14:textId="77777777" w:rsidR="00FD01B0" w:rsidRDefault="00000000" w:rsidP="00C51194">
      <w:pPr>
        <w:shd w:val="clear" w:color="auto" w:fill="FFFFFF"/>
        <w:spacing w:after="0" w:line="240" w:lineRule="auto"/>
        <w:ind w:right="-143"/>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u w:val="single"/>
          </w:rPr>
          <w:t xml:space="preserve">índice </w:t>
        </w:r>
        <w:r>
          <w:rPr>
            <w:rFonts w:ascii="Open Sans" w:eastAsia="Open Sans" w:hAnsi="Open Sans" w:cs="Open Sans"/>
            <w:color w:val="0000FF"/>
            <w:u w:val="single"/>
          </w:rPr>
          <w:lastRenderedPageBreak/>
          <w:t>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2B0C457F" w14:textId="77777777" w:rsidR="00FD01B0" w:rsidRDefault="00FD01B0" w:rsidP="00C51194">
      <w:pPr>
        <w:shd w:val="clear" w:color="auto" w:fill="FFFFFF"/>
        <w:spacing w:after="0" w:line="240" w:lineRule="auto"/>
        <w:ind w:right="-143"/>
        <w:jc w:val="both"/>
        <w:rPr>
          <w:rFonts w:ascii="Times New Roman" w:eastAsia="Times New Roman" w:hAnsi="Times New Roman" w:cs="Times New Roman"/>
          <w:sz w:val="24"/>
          <w:szCs w:val="24"/>
        </w:rPr>
      </w:pPr>
    </w:p>
    <w:p w14:paraId="10D2F274" w14:textId="77777777" w:rsidR="00FD01B0" w:rsidRDefault="00000000" w:rsidP="00C51194">
      <w:pPr>
        <w:shd w:val="clear" w:color="auto" w:fill="FFFFFF"/>
        <w:spacing w:after="0" w:line="240" w:lineRule="auto"/>
        <w:ind w:right="-143"/>
        <w:jc w:val="both"/>
        <w:rPr>
          <w:rFonts w:ascii="Times New Roman" w:eastAsia="Times New Roman" w:hAnsi="Times New Roman" w:cs="Times New Roman"/>
          <w:sz w:val="24"/>
          <w:szCs w:val="24"/>
        </w:rPr>
      </w:pPr>
      <w:hyperlink r:id="rId22">
        <w:r>
          <w:rPr>
            <w:rFonts w:ascii="Open Sans" w:eastAsia="Open Sans" w:hAnsi="Open Sans" w:cs="Open Sans"/>
            <w:b/>
            <w:color w:val="0000FF"/>
            <w:u w:val="single"/>
          </w:rPr>
          <w:t>Fotocasa</w:t>
        </w:r>
      </w:hyperlink>
      <w:r>
        <w:rPr>
          <w:rFonts w:ascii="Open Sans" w:eastAsia="Open Sans" w:hAnsi="Open Sans" w:cs="Open Sans"/>
          <w:color w:val="000000"/>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una empresa 100% especializada en Marketplace digitales y el único “pure </w:t>
      </w:r>
      <w:proofErr w:type="spellStart"/>
      <w:r>
        <w:rPr>
          <w:rFonts w:ascii="Open Sans" w:eastAsia="Open Sans" w:hAnsi="Open Sans" w:cs="Open Sans"/>
          <w:color w:val="000000"/>
        </w:rPr>
        <w:t>player</w:t>
      </w:r>
      <w:proofErr w:type="spellEnd"/>
      <w:r>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07AC1367" w14:textId="77777777" w:rsidR="00FD01B0" w:rsidRDefault="00000000" w:rsidP="00C51194">
      <w:pPr>
        <w:shd w:val="clear" w:color="auto" w:fill="FFFFFF"/>
        <w:spacing w:after="0" w:line="240" w:lineRule="auto"/>
        <w:ind w:right="-143"/>
        <w:jc w:val="both"/>
        <w:rPr>
          <w:rFonts w:ascii="Open Sans" w:eastAsia="Open Sans" w:hAnsi="Open Sans" w:cs="Open Sans"/>
          <w:color w:val="000000"/>
        </w:rPr>
      </w:pPr>
      <w:hyperlink r:id="rId23">
        <w:r>
          <w:rPr>
            <w:rFonts w:ascii="Open Sans" w:eastAsia="Open Sans" w:hAnsi="Open Sans" w:cs="Open Sans"/>
            <w:color w:val="0000FF"/>
            <w:u w:val="single"/>
          </w:rPr>
          <w:t>Más información sobre Fotocasa</w:t>
        </w:r>
      </w:hyperlink>
      <w:r>
        <w:rPr>
          <w:rFonts w:ascii="Open Sans" w:eastAsia="Open Sans" w:hAnsi="Open Sans" w:cs="Open Sans"/>
          <w:color w:val="000000"/>
        </w:rPr>
        <w:t>.</w:t>
      </w:r>
    </w:p>
    <w:p w14:paraId="6F70FFED" w14:textId="77777777" w:rsidR="00FD01B0" w:rsidRDefault="00FD01B0" w:rsidP="00C51194">
      <w:pPr>
        <w:shd w:val="clear" w:color="auto" w:fill="FFFFFF"/>
        <w:spacing w:after="0" w:line="240" w:lineRule="auto"/>
        <w:ind w:right="-143"/>
        <w:jc w:val="both"/>
        <w:rPr>
          <w:rFonts w:ascii="Times New Roman" w:eastAsia="Times New Roman" w:hAnsi="Times New Roman" w:cs="Times New Roman"/>
          <w:sz w:val="24"/>
          <w:szCs w:val="24"/>
        </w:rPr>
      </w:pPr>
    </w:p>
    <w:p w14:paraId="5D171910" w14:textId="77777777" w:rsidR="00FD01B0" w:rsidRDefault="00000000" w:rsidP="00C51194">
      <w:pPr>
        <w:shd w:val="clear" w:color="auto" w:fill="FFFFFF"/>
        <w:spacing w:after="0" w:line="240" w:lineRule="auto"/>
        <w:ind w:right="-143"/>
        <w:jc w:val="both"/>
        <w:rPr>
          <w:rFonts w:ascii="Times New Roman" w:eastAsia="Times New Roman" w:hAnsi="Times New Roman" w:cs="Times New Roman"/>
          <w:sz w:val="24"/>
          <w:szCs w:val="24"/>
        </w:rPr>
      </w:pPr>
      <w:r>
        <w:rPr>
          <w:rFonts w:ascii="Open Sans" w:eastAsia="Open Sans" w:hAnsi="Open Sans" w:cs="Open Sans"/>
          <w:color w:val="000000"/>
        </w:rPr>
        <w:t>En España,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antes Schibsted </w:t>
      </w:r>
      <w:proofErr w:type="spellStart"/>
      <w:r>
        <w:rPr>
          <w:rFonts w:ascii="Open Sans" w:eastAsia="Open Sans" w:hAnsi="Open Sans" w:cs="Open Sans"/>
          <w:color w:val="000000"/>
        </w:rPr>
        <w:t>Spain</w:t>
      </w:r>
      <w:proofErr w:type="spellEnd"/>
      <w:r>
        <w:rPr>
          <w:rFonts w:ascii="Open Sans" w:eastAsia="Open Sans" w:hAnsi="Open Sans" w:cs="Open Sans"/>
          <w:color w:val="000000"/>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han evolucionado del papel al online hasta convertirse en el referente de Internet en sectores relevantes como inmobiliaria (</w:t>
      </w:r>
      <w:hyperlink r:id="rId24">
        <w:r>
          <w:rPr>
            <w:rFonts w:ascii="Open Sans" w:eastAsia="Open Sans" w:hAnsi="Open Sans" w:cs="Open Sans"/>
            <w:color w:val="0000FF"/>
            <w:u w:val="single"/>
          </w:rPr>
          <w:t>Fotocasa</w:t>
        </w:r>
      </w:hyperlink>
      <w:r>
        <w:rPr>
          <w:rFonts w:ascii="Open Sans" w:eastAsia="Open Sans" w:hAnsi="Open Sans" w:cs="Open Sans"/>
          <w:color w:val="000000"/>
        </w:rPr>
        <w:t> y </w:t>
      </w:r>
      <w:proofErr w:type="spellStart"/>
      <w:r>
        <w:fldChar w:fldCharType="begin"/>
      </w:r>
      <w:r>
        <w:instrText>HYPERLINK "https://www.habitaclia.com/" \h</w:instrText>
      </w:r>
      <w:r>
        <w:fldChar w:fldCharType="separate"/>
      </w:r>
      <w:r>
        <w:rPr>
          <w:rFonts w:ascii="Open Sans" w:eastAsia="Open Sans" w:hAnsi="Open Sans" w:cs="Open Sans"/>
          <w:color w:val="0000FF"/>
          <w:u w:val="single"/>
        </w:rPr>
        <w:t>habitaclia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empleo (</w:t>
      </w:r>
      <w:hyperlink r:id="rId25">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6">
        <w:r>
          <w:rPr>
            <w:rFonts w:ascii="Open Sans" w:eastAsia="Open Sans" w:hAnsi="Open Sans" w:cs="Open Sans"/>
            <w:color w:val="0000FF"/>
            <w:u w:val="single"/>
          </w:rPr>
          <w:t>coches.net</w:t>
        </w:r>
      </w:hyperlink>
      <w:r>
        <w:rPr>
          <w:rFonts w:ascii="Open Sans" w:eastAsia="Open Sans" w:hAnsi="Open Sans" w:cs="Open Sans"/>
          <w:color w:val="000000"/>
        </w:rPr>
        <w:t> y </w:t>
      </w:r>
      <w:hyperlink r:id="rId27">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proofErr w:type="spellStart"/>
      <w:r>
        <w:fldChar w:fldCharType="begin"/>
      </w:r>
      <w:r>
        <w:instrText>HYPERLINK "https://www.milanuncios.es/" \h</w:instrText>
      </w:r>
      <w:r>
        <w:fldChar w:fldCharType="separate"/>
      </w:r>
      <w:r>
        <w:rPr>
          <w:rFonts w:ascii="Open Sans" w:eastAsia="Open Sans" w:hAnsi="Open Sans" w:cs="Open Sans"/>
          <w:color w:val="0000FF"/>
          <w:u w:val="single"/>
        </w:rPr>
        <w:t>Milanuncios</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y </w:t>
      </w:r>
      <w:proofErr w:type="spellStart"/>
      <w:r>
        <w:fldChar w:fldCharType="begin"/>
      </w:r>
      <w:r>
        <w:instrText>HYPERLINK "https://www.vibbo.com/" \h</w:instrText>
      </w:r>
      <w:r>
        <w:fldChar w:fldCharType="separate"/>
      </w:r>
      <w:r>
        <w:rPr>
          <w:rFonts w:ascii="Open Sans" w:eastAsia="Open Sans" w:hAnsi="Open Sans" w:cs="Open Sans"/>
          <w:color w:val="0000FF"/>
          <w:u w:val="single"/>
        </w:rPr>
        <w:t>vibbo</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Sus más de 18 millones de usuarios al mes sitúan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entre las diez compañías con mayor audiencia de Internet en España (y la mayor empresa digital española).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cuenta en la actualidad con una plantilla de más de 1.000 empleados en España. </w:t>
      </w:r>
    </w:p>
    <w:p w14:paraId="5A295F4A" w14:textId="77777777" w:rsidR="00FD01B0" w:rsidRDefault="00000000" w:rsidP="00C51194">
      <w:pPr>
        <w:shd w:val="clear" w:color="auto" w:fill="FFFFFF"/>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3989FB" w14:textId="77777777" w:rsidR="00FD01B0" w:rsidRDefault="00000000" w:rsidP="00C51194">
      <w:pPr>
        <w:shd w:val="clear" w:color="auto" w:fill="FFFFFF"/>
        <w:spacing w:after="0" w:line="240" w:lineRule="auto"/>
        <w:ind w:right="-143"/>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8">
        <w:r>
          <w:rPr>
            <w:rFonts w:ascii="Open Sans" w:eastAsia="Open Sans" w:hAnsi="Open Sans" w:cs="Open Sans"/>
            <w:color w:val="0000FF"/>
            <w:u w:val="single"/>
          </w:rPr>
          <w:t>Sala de Prensa</w:t>
        </w:r>
      </w:hyperlink>
      <w:r>
        <w:rPr>
          <w:rFonts w:ascii="Open Sans" w:eastAsia="Open Sans" w:hAnsi="Open Sans" w:cs="Open Sans"/>
          <w:color w:val="000000"/>
        </w:rPr>
        <w:t>. </w:t>
      </w:r>
    </w:p>
    <w:p w14:paraId="3A6F0B78" w14:textId="77777777" w:rsidR="00FD01B0" w:rsidRDefault="00000000" w:rsidP="00C51194">
      <w:pPr>
        <w:shd w:val="clear" w:color="auto" w:fill="FFFFFF"/>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117D7A8" w14:textId="77777777" w:rsidR="00FD01B0" w:rsidRDefault="00FD01B0" w:rsidP="00C51194">
      <w:pPr>
        <w:spacing w:after="0" w:line="240" w:lineRule="auto"/>
        <w:ind w:right="-143"/>
        <w:rPr>
          <w:rFonts w:ascii="Times New Roman" w:eastAsia="Times New Roman" w:hAnsi="Times New Roman" w:cs="Times New Roman"/>
          <w:sz w:val="24"/>
          <w:szCs w:val="24"/>
        </w:rPr>
      </w:pPr>
    </w:p>
    <w:p w14:paraId="1AB920D3" w14:textId="77777777" w:rsidR="00FD01B0" w:rsidRDefault="00FD01B0" w:rsidP="00C51194">
      <w:pPr>
        <w:spacing w:after="0" w:line="240" w:lineRule="auto"/>
        <w:ind w:right="-143"/>
        <w:rPr>
          <w:rFonts w:ascii="Times New Roman" w:eastAsia="Times New Roman" w:hAnsi="Times New Roman" w:cs="Times New Roman"/>
          <w:sz w:val="24"/>
          <w:szCs w:val="24"/>
        </w:rPr>
      </w:pPr>
    </w:p>
    <w:p w14:paraId="4B2CFB7E" w14:textId="4776DEA5" w:rsidR="00FD01B0" w:rsidRDefault="00000000" w:rsidP="00C51194">
      <w:pPr>
        <w:spacing w:after="0" w:line="240" w:lineRule="auto"/>
        <w:ind w:right="-143"/>
        <w:rPr>
          <w:rFonts w:ascii="Times New Roman" w:eastAsia="Times New Roman" w:hAnsi="Times New Roman" w:cs="Times New Roman"/>
          <w:b/>
        </w:rPr>
      </w:pPr>
      <w:r>
        <w:rPr>
          <w:rFonts w:ascii="Open Sans" w:eastAsia="Open Sans" w:hAnsi="Open Sans" w:cs="Open Sans"/>
          <w:b/>
          <w:color w:val="303AB2"/>
        </w:rPr>
        <w:t xml:space="preserve">Comunicación Solvia    </w:t>
      </w:r>
      <w:r>
        <w:rPr>
          <w:rFonts w:ascii="Open Sans" w:eastAsia="Open Sans" w:hAnsi="Open Sans" w:cs="Open Sans"/>
          <w:b/>
          <w:color w:val="303AB2"/>
          <w:sz w:val="20"/>
          <w:szCs w:val="20"/>
        </w:rPr>
        <w:t xml:space="preserve">             </w:t>
      </w:r>
      <w:r w:rsidR="00C51194">
        <w:rPr>
          <w:rFonts w:ascii="Open Sans" w:eastAsia="Open Sans" w:hAnsi="Open Sans" w:cs="Open Sans"/>
          <w:b/>
          <w:color w:val="303AB2"/>
        </w:rPr>
        <w:t xml:space="preserve">                                                  </w:t>
      </w:r>
      <w:r>
        <w:rPr>
          <w:rFonts w:ascii="Open Sans" w:eastAsia="Open Sans" w:hAnsi="Open Sans" w:cs="Open Sans"/>
          <w:b/>
          <w:color w:val="303AB2"/>
        </w:rPr>
        <w:t>Comunicación Fotocasa</w:t>
      </w:r>
    </w:p>
    <w:p w14:paraId="17B8FD7F" w14:textId="0396504F" w:rsidR="00FD01B0" w:rsidRDefault="00000000" w:rsidP="00C51194">
      <w:pPr>
        <w:shd w:val="clear" w:color="auto" w:fill="FFFFFF"/>
        <w:spacing w:after="0" w:line="240" w:lineRule="auto"/>
        <w:ind w:right="-143"/>
        <w:rPr>
          <w:rFonts w:ascii="Times New Roman" w:eastAsia="Times New Roman" w:hAnsi="Times New Roman" w:cs="Times New Roman"/>
          <w:sz w:val="24"/>
          <w:szCs w:val="24"/>
        </w:rPr>
      </w:pPr>
      <w:proofErr w:type="spellStart"/>
      <w:r>
        <w:rPr>
          <w:rFonts w:ascii="Open Sans" w:eastAsia="Open Sans" w:hAnsi="Open Sans" w:cs="Open Sans"/>
          <w:b/>
          <w:sz w:val="19"/>
          <w:szCs w:val="19"/>
        </w:rPr>
        <w:t>Victor</w:t>
      </w:r>
      <w:proofErr w:type="spellEnd"/>
      <w:r>
        <w:rPr>
          <w:rFonts w:ascii="Open Sans" w:eastAsia="Open Sans" w:hAnsi="Open Sans" w:cs="Open Sans"/>
          <w:b/>
          <w:sz w:val="19"/>
          <w:szCs w:val="19"/>
        </w:rPr>
        <w:t xml:space="preserve">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sidR="00C51194">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2EE1BA1E" w14:textId="3323D019" w:rsidR="00FD01B0" w:rsidRDefault="00000000" w:rsidP="00C51194">
      <w:pPr>
        <w:shd w:val="clear" w:color="auto" w:fill="FFFFFF"/>
        <w:spacing w:after="0" w:line="240" w:lineRule="auto"/>
        <w:ind w:right="-143"/>
        <w:rPr>
          <w:rFonts w:ascii="Times New Roman" w:eastAsia="Times New Roman" w:hAnsi="Times New Roman" w:cs="Times New Roman"/>
          <w:sz w:val="24"/>
          <w:szCs w:val="24"/>
        </w:rPr>
      </w:pPr>
      <w:hyperlink r:id="rId29">
        <w:r>
          <w:rPr>
            <w:rFonts w:ascii="Open Sans" w:eastAsia="Open Sans" w:hAnsi="Open Sans" w:cs="Open Sans"/>
            <w:color w:val="0000FF"/>
            <w:sz w:val="19"/>
            <w:szCs w:val="19"/>
            <w:u w:val="single"/>
          </w:rPr>
          <w:t>victor.gonzalez@intrum.com</w:t>
        </w:r>
      </w:hyperlink>
      <w:r>
        <w:rPr>
          <w:rFonts w:ascii="Open Sans" w:eastAsia="Open Sans" w:hAnsi="Open Sans" w:cs="Open Sans"/>
          <w:sz w:val="19"/>
          <w:szCs w:val="19"/>
        </w:rPr>
        <w:t xml:space="preserve">    </w:t>
      </w:r>
      <w:r>
        <w:rPr>
          <w:rFonts w:ascii="Open Sans" w:eastAsia="Open Sans" w:hAnsi="Open Sans" w:cs="Open Sans"/>
          <w:color w:val="0000FF"/>
          <w:sz w:val="19"/>
          <w:szCs w:val="19"/>
        </w:rPr>
        <w:t xml:space="preserve">                                                       </w:t>
      </w:r>
      <w:r w:rsidR="00C51194">
        <w:rPr>
          <w:rFonts w:ascii="Open Sans" w:eastAsia="Open Sans" w:hAnsi="Open Sans" w:cs="Open Sans"/>
          <w:color w:val="0000FF"/>
          <w:sz w:val="19"/>
          <w:szCs w:val="19"/>
        </w:rPr>
        <w:t xml:space="preserve">          </w:t>
      </w:r>
      <w:r>
        <w:rPr>
          <w:rFonts w:ascii="Open Sans" w:eastAsia="Open Sans" w:hAnsi="Open Sans" w:cs="Open Sans"/>
          <w:color w:val="0000FF"/>
          <w:sz w:val="19"/>
          <w:szCs w:val="19"/>
        </w:rPr>
        <w:t xml:space="preserve">   </w:t>
      </w:r>
      <w:r w:rsidR="00C51194">
        <w:rPr>
          <w:rFonts w:ascii="Open Sans" w:eastAsia="Open Sans" w:hAnsi="Open Sans" w:cs="Open Sans"/>
          <w:color w:val="0000FF"/>
          <w:sz w:val="19"/>
          <w:szCs w:val="19"/>
        </w:rPr>
        <w:t xml:space="preserve">   </w:t>
      </w:r>
      <w:hyperlink r:id="rId30" w:history="1">
        <w:r w:rsidR="00C51194" w:rsidRPr="0098292A">
          <w:rPr>
            <w:rStyle w:val="Hipervnculo"/>
            <w:rFonts w:ascii="Open Sans" w:eastAsia="Open Sans" w:hAnsi="Open Sans" w:cs="Open Sans"/>
            <w:sz w:val="19"/>
            <w:szCs w:val="19"/>
          </w:rPr>
          <w:t>comunicacion@fotocasa.es</w:t>
        </w:r>
      </w:hyperlink>
    </w:p>
    <w:p w14:paraId="24ADE798" w14:textId="560017B0" w:rsidR="00FD01B0" w:rsidRDefault="00000000" w:rsidP="00C51194">
      <w:pPr>
        <w:shd w:val="clear" w:color="auto" w:fill="FFFFFF"/>
        <w:spacing w:after="0" w:line="240" w:lineRule="auto"/>
        <w:ind w:right="-143"/>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C51194">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620 66 29 26</w:t>
      </w:r>
    </w:p>
    <w:p w14:paraId="3E9A6BC4" w14:textId="77777777" w:rsidR="00FD01B0" w:rsidRDefault="00000000" w:rsidP="00C51194">
      <w:pPr>
        <w:shd w:val="clear" w:color="auto" w:fill="FFFFFF"/>
        <w:spacing w:after="0" w:line="240" w:lineRule="auto"/>
        <w:ind w:right="-143"/>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452504DC" w14:textId="77777777" w:rsidR="00FD01B0" w:rsidRDefault="00000000" w:rsidP="00C51194">
      <w:pPr>
        <w:shd w:val="clear" w:color="auto" w:fill="FFFFFF"/>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3850C7" w14:textId="77777777" w:rsidR="00FD01B0" w:rsidRDefault="00FD01B0" w:rsidP="00C51194">
      <w:pPr>
        <w:ind w:right="-143"/>
      </w:pPr>
    </w:p>
    <w:sectPr w:rsidR="00FD01B0">
      <w:headerReference w:type="even" r:id="rId31"/>
      <w:headerReference w:type="default" r:id="rId32"/>
      <w:footerReference w:type="even" r:id="rId33"/>
      <w:footerReference w:type="default" r:id="rId34"/>
      <w:headerReference w:type="first" r:id="rId35"/>
      <w:footerReference w:type="first" r:id="rId3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1A2E" w14:textId="77777777" w:rsidR="00D7505B" w:rsidRDefault="00D7505B">
      <w:pPr>
        <w:spacing w:after="0" w:line="240" w:lineRule="auto"/>
      </w:pPr>
      <w:r>
        <w:separator/>
      </w:r>
    </w:p>
  </w:endnote>
  <w:endnote w:type="continuationSeparator" w:id="0">
    <w:p w14:paraId="0438B1A4" w14:textId="77777777" w:rsidR="00D7505B" w:rsidRDefault="00D7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C0B" w14:textId="77777777" w:rsidR="00FD01B0" w:rsidRDefault="00FD01B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4C98" w14:textId="77777777" w:rsidR="00FD01B0" w:rsidRDefault="00FD01B0">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E4E9" w14:textId="77777777" w:rsidR="00FD01B0" w:rsidRDefault="00FD01B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D34D" w14:textId="77777777" w:rsidR="00D7505B" w:rsidRDefault="00D7505B">
      <w:pPr>
        <w:spacing w:after="0" w:line="240" w:lineRule="auto"/>
      </w:pPr>
      <w:r>
        <w:separator/>
      </w:r>
    </w:p>
  </w:footnote>
  <w:footnote w:type="continuationSeparator" w:id="0">
    <w:p w14:paraId="3FEF59CE" w14:textId="77777777" w:rsidR="00D7505B" w:rsidRDefault="00D7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F26F" w14:textId="77777777" w:rsidR="00FD01B0" w:rsidRDefault="00FD01B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D2C2" w14:textId="77777777" w:rsidR="00FD01B0" w:rsidRDefault="00FD01B0">
    <w:pPr>
      <w:spacing w:line="276"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4FE9" w14:textId="77777777" w:rsidR="00FD01B0" w:rsidRDefault="00FD01B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AB9"/>
    <w:multiLevelType w:val="multilevel"/>
    <w:tmpl w:val="9D80C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112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B0"/>
    <w:rsid w:val="009F5F1D"/>
    <w:rsid w:val="00C51194"/>
    <w:rsid w:val="00D7505B"/>
    <w:rsid w:val="00F62088"/>
    <w:rsid w:val="00FD0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0D6F"/>
  <w15:docId w15:val="{BFE08E06-C6EB-4E2D-818E-E2B0DAA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6F4E"/>
    <w:pPr>
      <w:ind w:left="720"/>
      <w:contextualSpacing/>
    </w:pPr>
  </w:style>
  <w:style w:type="paragraph" w:styleId="Encabezado">
    <w:name w:val="header"/>
    <w:basedOn w:val="Normal"/>
    <w:link w:val="EncabezadoCar"/>
    <w:uiPriority w:val="99"/>
    <w:unhideWhenUsed/>
    <w:rsid w:val="00AB7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14C"/>
  </w:style>
  <w:style w:type="paragraph" w:styleId="Piedepgina">
    <w:name w:val="footer"/>
    <w:basedOn w:val="Normal"/>
    <w:link w:val="PiedepginaCar"/>
    <w:uiPriority w:val="99"/>
    <w:unhideWhenUsed/>
    <w:rsid w:val="00AB7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21" Type="http://schemas.openxmlformats.org/officeDocument/2006/relationships/hyperlink" Target="https://www.fotocasa.es/indic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olvia.es/es/home/1" TargetMode="External"/><Relationship Id="rId17" Type="http://schemas.openxmlformats.org/officeDocument/2006/relationships/hyperlink" Target="https://www.solvia.es/es/home/1" TargetMode="External"/><Relationship Id="rId25" Type="http://schemas.openxmlformats.org/officeDocument/2006/relationships/hyperlink" Target="https://www.infojobs.n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www.solvia.es" TargetMode="External"/><Relationship Id="rId29" Type="http://schemas.openxmlformats.org/officeDocument/2006/relationships/hyperlink" Target="mailto:victor.gonzalez@intr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www.fotocasa.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quienes-somos/" TargetMode="External"/><Relationship Id="rId28" Type="http://schemas.openxmlformats.org/officeDocument/2006/relationships/hyperlink" Target="http://prensa.fotocasa.es" TargetMode="External"/><Relationship Id="rId36" Type="http://schemas.openxmlformats.org/officeDocument/2006/relationships/footer" Target="footer3.xml"/><Relationship Id="rId10" Type="http://schemas.openxmlformats.org/officeDocument/2006/relationships/hyperlink" Target="https://s36360.pcdn.co/wp-content/uploads/2023/06/Informe-La-sostenibilidad-en-la-demanda-de-vivienda-en-2023.pdf" TargetMode="External"/><Relationship Id="rId19" Type="http://schemas.openxmlformats.org/officeDocument/2006/relationships/hyperlink" Target="https://www.solvia.es/es/home/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j9fFnrUSV3JXusDhY1oKdDCGYg==">CgMxLjA4AHIhMTRZelNkR0ZwVDdLbFNONFVLN0VLdXAtVW1SVGlLSlJi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1556</Words>
  <Characters>8563</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3</cp:revision>
  <dcterms:created xsi:type="dcterms:W3CDTF">2023-06-20T12:14:00Z</dcterms:created>
  <dcterms:modified xsi:type="dcterms:W3CDTF">2023-10-03T13:37:00Z</dcterms:modified>
</cp:coreProperties>
</file>