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0CDB" w14:textId="77777777" w:rsidR="005003DF" w:rsidRDefault="00000000">
      <w:r>
        <w:rPr>
          <w:noProof/>
        </w:rPr>
        <w:drawing>
          <wp:anchor distT="0" distB="0" distL="114300" distR="114300" simplePos="0" relativeHeight="251658240" behindDoc="0" locked="0" layoutInCell="1" hidden="0" allowOverlap="1" wp14:anchorId="5C3170CB" wp14:editId="6FC0F97B">
            <wp:simplePos x="0" y="0"/>
            <wp:positionH relativeFrom="column">
              <wp:posOffset>-1078862</wp:posOffset>
            </wp:positionH>
            <wp:positionV relativeFrom="paragraph">
              <wp:posOffset>-350450</wp:posOffset>
            </wp:positionV>
            <wp:extent cx="7581265" cy="10191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7DA1807" w14:textId="77777777" w:rsidR="005003DF" w:rsidRDefault="005003DF">
      <w:pPr>
        <w:jc w:val="right"/>
        <w:rPr>
          <w:rFonts w:ascii="National" w:eastAsia="National" w:hAnsi="National" w:cs="National"/>
          <w:color w:val="303AB2"/>
          <w:sz w:val="36"/>
          <w:szCs w:val="36"/>
        </w:rPr>
      </w:pPr>
    </w:p>
    <w:p w14:paraId="04D8C905" w14:textId="77777777" w:rsidR="005003DF" w:rsidRDefault="005003DF">
      <w:pPr>
        <w:jc w:val="right"/>
        <w:rPr>
          <w:rFonts w:ascii="National" w:eastAsia="National" w:hAnsi="National" w:cs="National"/>
          <w:color w:val="303AB2"/>
          <w:sz w:val="36"/>
          <w:szCs w:val="36"/>
        </w:rPr>
      </w:pPr>
    </w:p>
    <w:p w14:paraId="0BA47DB1" w14:textId="77777777" w:rsidR="005003DF" w:rsidRDefault="005003DF">
      <w:pPr>
        <w:rPr>
          <w:rFonts w:ascii="National" w:eastAsia="National" w:hAnsi="National" w:cs="National"/>
          <w:color w:val="303AB2"/>
          <w:sz w:val="18"/>
          <w:szCs w:val="18"/>
        </w:rPr>
      </w:pPr>
    </w:p>
    <w:p w14:paraId="40769D9B" w14:textId="77777777" w:rsidR="005003DF"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DEL PRECIO EN CANARIAS</w:t>
      </w:r>
    </w:p>
    <w:p w14:paraId="218926E4" w14:textId="77777777" w:rsidR="005003DF" w:rsidRDefault="00000000">
      <w:pPr>
        <w:jc w:val="center"/>
        <w:rPr>
          <w:rFonts w:ascii="National" w:eastAsia="National" w:hAnsi="National" w:cs="National"/>
          <w:b/>
          <w:color w:val="303AB2"/>
          <w:sz w:val="54"/>
          <w:szCs w:val="54"/>
        </w:rPr>
      </w:pPr>
      <w:r>
        <w:rPr>
          <w:rFonts w:ascii="National" w:eastAsia="National" w:hAnsi="National" w:cs="National"/>
          <w:b/>
          <w:color w:val="303AB2"/>
          <w:sz w:val="54"/>
          <w:szCs w:val="54"/>
        </w:rPr>
        <w:t>La vivienda en Canarias supera el precio de la burbuja de 2007 en un 10% y el alquiler en un 70%</w:t>
      </w:r>
    </w:p>
    <w:p w14:paraId="25A5BBAB" w14:textId="77777777" w:rsidR="005003DF" w:rsidRDefault="005003DF">
      <w:pPr>
        <w:rPr>
          <w:rFonts w:ascii="National" w:eastAsia="National" w:hAnsi="National" w:cs="National"/>
          <w:b/>
          <w:color w:val="303AB2"/>
          <w:sz w:val="14"/>
          <w:szCs w:val="14"/>
        </w:rPr>
      </w:pPr>
    </w:p>
    <w:p w14:paraId="621D437F" w14:textId="77777777" w:rsidR="005003DF" w:rsidRDefault="005003DF">
      <w:pPr>
        <w:rPr>
          <w:rFonts w:ascii="National" w:eastAsia="National" w:hAnsi="National" w:cs="National"/>
          <w:b/>
          <w:color w:val="303AB2"/>
          <w:sz w:val="14"/>
          <w:szCs w:val="14"/>
        </w:rPr>
      </w:pPr>
    </w:p>
    <w:p w14:paraId="17B337B4" w14:textId="77777777" w:rsidR="005003DF"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 xml:space="preserve">Canarias es la segunda autonomía que marca máximos en el precio de compra con una subida del 25% interanual y un coste de 2.366€/m² </w:t>
      </w:r>
    </w:p>
    <w:p w14:paraId="516CC2B1" w14:textId="77777777" w:rsidR="005003DF"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 xml:space="preserve">El precio del alquiler en las Islas Canarias presenta una de las subidas más elevadas de la historia, con un incremento interanual del 22,1% </w:t>
      </w:r>
    </w:p>
    <w:p w14:paraId="5475D305" w14:textId="77777777" w:rsidR="005003DF"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En estos momentos ambos mercados han presentado máximos al mismo tiempo, lo que dificulta aún más las soluciones habitacionales en las islas</w:t>
      </w:r>
    </w:p>
    <w:p w14:paraId="472D5509" w14:textId="77777777" w:rsidR="005003DF" w:rsidRDefault="005003DF">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31241B87" w14:textId="77777777" w:rsidR="005003DF"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Las Palmas, 18 de octubre de 2023</w:t>
      </w:r>
    </w:p>
    <w:p w14:paraId="5140DB0A" w14:textId="77777777" w:rsidR="005003DF" w:rsidRDefault="005003DF">
      <w:pPr>
        <w:spacing w:line="276" w:lineRule="auto"/>
        <w:ind w:right="4"/>
        <w:jc w:val="both"/>
        <w:rPr>
          <w:rFonts w:ascii="Open Sans" w:eastAsia="Open Sans" w:hAnsi="Open Sans" w:cs="Open Sans"/>
        </w:rPr>
      </w:pPr>
    </w:p>
    <w:p w14:paraId="401FF609" w14:textId="77777777" w:rsidR="005003DF"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comunidad autónoma de Canarias marca nuevamente un récord de precio de la vivienda al obtener el nivel máximo histórico, tanto en el mercado de la compraventa como en el mercado del alquiler, según los datos del </w:t>
      </w:r>
      <w:hyperlink r:id="rId9">
        <w:r>
          <w:rPr>
            <w:rFonts w:ascii="Open Sans" w:eastAsia="Open Sans" w:hAnsi="Open Sans" w:cs="Open Sans"/>
            <w:color w:val="1155CC"/>
            <w:u w:val="single"/>
          </w:rPr>
          <w:t>Índice Inmobiliario Fotocasa</w:t>
        </w:r>
      </w:hyperlink>
      <w:r>
        <w:rPr>
          <w:rFonts w:ascii="Open Sans" w:eastAsia="Open Sans" w:hAnsi="Open Sans" w:cs="Open Sans"/>
        </w:rPr>
        <w:t xml:space="preserve">. El archipiélago cierra septiembre de 2023 alcanzando el precio máximo de venta con 2.366€/m², y mostrando el precio más alto del alquiler de toda su serie histórica con 12,98€/m². </w:t>
      </w:r>
    </w:p>
    <w:p w14:paraId="252E8439" w14:textId="77777777" w:rsidR="005003DF" w:rsidRDefault="005003DF">
      <w:pPr>
        <w:spacing w:line="276" w:lineRule="auto"/>
        <w:ind w:right="-567"/>
        <w:jc w:val="both"/>
        <w:rPr>
          <w:rFonts w:ascii="Open Sans" w:eastAsia="Open Sans" w:hAnsi="Open Sans" w:cs="Open Sans"/>
          <w:b/>
          <w:color w:val="303AB2"/>
          <w:sz w:val="28"/>
          <w:szCs w:val="28"/>
        </w:rPr>
      </w:pPr>
    </w:p>
    <w:p w14:paraId="04934717" w14:textId="77777777" w:rsidR="005003DF"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t>El precio de la compra en las Islas Canarias</w:t>
      </w:r>
    </w:p>
    <w:p w14:paraId="211B02AB" w14:textId="77777777" w:rsidR="005003DF" w:rsidRDefault="005003DF">
      <w:pPr>
        <w:spacing w:line="276" w:lineRule="auto"/>
        <w:ind w:right="-567"/>
        <w:jc w:val="both"/>
        <w:rPr>
          <w:rFonts w:ascii="Open Sans" w:eastAsia="Open Sans" w:hAnsi="Open Sans" w:cs="Open Sans"/>
          <w:b/>
          <w:color w:val="303AB2"/>
          <w:sz w:val="28"/>
          <w:szCs w:val="28"/>
        </w:rPr>
      </w:pPr>
    </w:p>
    <w:p w14:paraId="24420E46" w14:textId="77777777" w:rsidR="005003DF" w:rsidRDefault="00000000">
      <w:pPr>
        <w:spacing w:line="276" w:lineRule="auto"/>
        <w:ind w:right="4"/>
        <w:jc w:val="both"/>
        <w:rPr>
          <w:rFonts w:ascii="Open Sans" w:eastAsia="Open Sans" w:hAnsi="Open Sans" w:cs="Open Sans"/>
        </w:rPr>
      </w:pPr>
      <w:r>
        <w:rPr>
          <w:rFonts w:ascii="Open Sans" w:eastAsia="Open Sans" w:hAnsi="Open Sans" w:cs="Open Sans"/>
        </w:rPr>
        <w:t>Ambos mercados muestran subidas interanuales muy significativas, por encima de los dos dígitos y, concretamente, superiores al 20%. En el mercado de la compraventa, Canarias es la segunda autonomía, tras Baleares, que ha alcanzado máximos con un aumento del 25,2% interanual, es el incremento más alto detectado en todo el histórico, que recuerda al periodo de calentamiento previo a la burbuja inmobiliaria. Sin embargo, la tendencia de aceleración del crecimiento es cada vez más abultada.</w:t>
      </w:r>
    </w:p>
    <w:p w14:paraId="152A5718" w14:textId="77777777" w:rsidR="005003DF"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b/>
          <w:color w:val="303AB2"/>
          <w:sz w:val="26"/>
          <w:szCs w:val="26"/>
        </w:rPr>
      </w:pPr>
      <w:r>
        <w:rPr>
          <w:rFonts w:ascii="Open Sans" w:eastAsia="Open Sans" w:hAnsi="Open Sans" w:cs="Open Sans"/>
          <w:b/>
          <w:color w:val="303AB2"/>
          <w:sz w:val="26"/>
          <w:szCs w:val="26"/>
        </w:rPr>
        <w:lastRenderedPageBreak/>
        <w:t>Variación mensual e interanual de los últimos 12 meses</w:t>
      </w:r>
    </w:p>
    <w:p w14:paraId="145BE806" w14:textId="77777777" w:rsidR="005003DF" w:rsidRDefault="00000000">
      <w:pPr>
        <w:spacing w:after="160" w:line="259" w:lineRule="auto"/>
        <w:rPr>
          <w:rFonts w:ascii="Open Sans" w:eastAsia="Open Sans" w:hAnsi="Open Sans" w:cs="Open Sans"/>
        </w:rPr>
      </w:pPr>
      <w:r>
        <w:rPr>
          <w:noProof/>
          <w:sz w:val="22"/>
          <w:szCs w:val="22"/>
        </w:rPr>
        <w:drawing>
          <wp:inline distT="0" distB="0" distL="0" distR="0" wp14:anchorId="592FC670" wp14:editId="18DCA01D">
            <wp:extent cx="5735003" cy="25910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3630" t="18899" r="3068" b="5473"/>
                    <a:stretch>
                      <a:fillRect/>
                    </a:stretch>
                  </pic:blipFill>
                  <pic:spPr>
                    <a:xfrm>
                      <a:off x="0" y="0"/>
                      <a:ext cx="5735003" cy="2591050"/>
                    </a:xfrm>
                    <a:prstGeom prst="rect">
                      <a:avLst/>
                    </a:prstGeom>
                    <a:ln/>
                  </pic:spPr>
                </pic:pic>
              </a:graphicData>
            </a:graphic>
          </wp:inline>
        </w:drawing>
      </w:r>
    </w:p>
    <w:p w14:paraId="24E0D96A" w14:textId="77777777" w:rsidR="005003DF"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estos momentos, </w:t>
      </w:r>
      <w:r>
        <w:rPr>
          <w:rFonts w:ascii="Open Sans" w:eastAsia="Open Sans" w:hAnsi="Open Sans" w:cs="Open Sans"/>
          <w:b/>
        </w:rPr>
        <w:t xml:space="preserve">el precio de la vivienda de segunda mano </w:t>
      </w:r>
      <w:r>
        <w:rPr>
          <w:rFonts w:ascii="Open Sans" w:eastAsia="Open Sans" w:hAnsi="Open Sans" w:cs="Open Sans"/>
        </w:rPr>
        <w:t xml:space="preserve">(2.366€/m²) </w:t>
      </w:r>
      <w:r>
        <w:rPr>
          <w:rFonts w:ascii="Open Sans" w:eastAsia="Open Sans" w:hAnsi="Open Sans" w:cs="Open Sans"/>
          <w:b/>
        </w:rPr>
        <w:t>se encuentra un 9,8% por encima del precio registrado durante la burbuja inmobiliaria de 2007</w:t>
      </w:r>
      <w:r>
        <w:rPr>
          <w:rFonts w:ascii="Open Sans" w:eastAsia="Open Sans" w:hAnsi="Open Sans" w:cs="Open Sans"/>
        </w:rPr>
        <w:t xml:space="preserve">, cuando era de 2.155€/m². </w:t>
      </w:r>
    </w:p>
    <w:p w14:paraId="610189ED" w14:textId="77777777" w:rsidR="005003DF" w:rsidRDefault="005003DF">
      <w:pPr>
        <w:spacing w:line="276" w:lineRule="auto"/>
        <w:ind w:right="4"/>
        <w:jc w:val="both"/>
        <w:rPr>
          <w:rFonts w:ascii="Open Sans" w:eastAsia="Open Sans" w:hAnsi="Open Sans" w:cs="Open Sans"/>
        </w:rPr>
      </w:pPr>
    </w:p>
    <w:p w14:paraId="131541CF" w14:textId="77777777" w:rsidR="005003DF" w:rsidRDefault="00000000">
      <w:pPr>
        <w:spacing w:line="276" w:lineRule="auto"/>
        <w:ind w:right="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Comparativa evolución precio VENTA entre Canarias y la media española</w:t>
      </w:r>
    </w:p>
    <w:p w14:paraId="318A6D94" w14:textId="77777777" w:rsidR="005003DF" w:rsidRDefault="00000000">
      <w:pPr>
        <w:spacing w:line="276" w:lineRule="auto"/>
        <w:ind w:right="4"/>
        <w:jc w:val="both"/>
        <w:rPr>
          <w:rFonts w:ascii="Open Sans Light" w:eastAsia="Open Sans Light" w:hAnsi="Open Sans Light" w:cs="Open Sans Light"/>
          <w:b/>
          <w:color w:val="303AB2"/>
          <w:sz w:val="26"/>
          <w:szCs w:val="26"/>
        </w:rPr>
      </w:pPr>
      <w:r>
        <w:rPr>
          <w:rFonts w:ascii="Open Sans" w:eastAsia="Open Sans" w:hAnsi="Open Sans" w:cs="Open Sans"/>
        </w:rPr>
        <w:t>Mientras, en la gráfica se aprecia cómo la línea naranja que representa la media española y muestra la tendencia de encarecimiento muy relevante en el último año y medio. El resto de España continúa a un 27% de distancia sobre el precio de estas fechas.</w:t>
      </w:r>
    </w:p>
    <w:p w14:paraId="269A9644" w14:textId="77777777" w:rsidR="005003DF" w:rsidRDefault="00000000">
      <w:pPr>
        <w:spacing w:after="160" w:line="259" w:lineRule="auto"/>
        <w:rPr>
          <w:rFonts w:ascii="Open Sans" w:eastAsia="Open Sans" w:hAnsi="Open Sans" w:cs="Open Sans"/>
        </w:rPr>
      </w:pPr>
      <w:r>
        <w:rPr>
          <w:noProof/>
          <w:sz w:val="22"/>
          <w:szCs w:val="22"/>
        </w:rPr>
        <w:drawing>
          <wp:inline distT="0" distB="0" distL="0" distR="0" wp14:anchorId="62F741D0" wp14:editId="42A4BB21">
            <wp:extent cx="5864026" cy="2437119"/>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1691" t="3719" r="2539" b="31000"/>
                    <a:stretch>
                      <a:fillRect/>
                    </a:stretch>
                  </pic:blipFill>
                  <pic:spPr>
                    <a:xfrm>
                      <a:off x="0" y="0"/>
                      <a:ext cx="5864026" cy="2437119"/>
                    </a:xfrm>
                    <a:prstGeom prst="rect">
                      <a:avLst/>
                    </a:prstGeom>
                    <a:ln/>
                  </pic:spPr>
                </pic:pic>
              </a:graphicData>
            </a:graphic>
          </wp:inline>
        </w:drawing>
      </w:r>
    </w:p>
    <w:p w14:paraId="13837DD5" w14:textId="77777777" w:rsidR="005003DF"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t xml:space="preserve">“El precio de la vivienda vuelve a alcanzar cifras récord con la mayor aceleración de los últimos 17 años. Nunca habíamos detectado un incremento del precio tan abultado en un periodo tan corto de tiempo. Esta subida nos devuelve a niveles de 2006, previos a la burbuja inmobiliaria cuando el coste de la vivienda sufrió un </w:t>
      </w:r>
      <w:r>
        <w:rPr>
          <w:rFonts w:ascii="Open Sans" w:eastAsia="Open Sans" w:hAnsi="Open Sans" w:cs="Open Sans"/>
        </w:rPr>
        <w:lastRenderedPageBreak/>
        <w:t xml:space="preserve">gran calentamiento. Estos incrementos tan significativos, coinciden con el cambio de política monetaria de la subida de tipos de interés por parte del BCE. La demanda de compra extranjera ha resurgido, la local se ha especializado y se focaliza en muchos casos en la compra para inversión. Una situación que complica el acceso a la vivienda, ya que el archipiélago prácticamente no cuenta con stock de vivienda social pública, lo que agrava todavía más las dificultades”,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w:t>
      </w:r>
    </w:p>
    <w:p w14:paraId="367F00AA" w14:textId="77777777" w:rsidR="005003DF" w:rsidRDefault="005003DF">
      <w:pPr>
        <w:spacing w:line="276" w:lineRule="auto"/>
        <w:ind w:right="-567"/>
        <w:jc w:val="both"/>
        <w:rPr>
          <w:rFonts w:ascii="Open Sans" w:eastAsia="Open Sans" w:hAnsi="Open Sans" w:cs="Open Sans"/>
          <w:b/>
          <w:color w:val="303AB2"/>
          <w:sz w:val="28"/>
          <w:szCs w:val="28"/>
        </w:rPr>
      </w:pPr>
    </w:p>
    <w:p w14:paraId="41493AA5" w14:textId="77777777" w:rsidR="005003DF" w:rsidRDefault="00000000">
      <w:pPr>
        <w:spacing w:line="276" w:lineRule="auto"/>
        <w:ind w:right="-567"/>
        <w:jc w:val="both"/>
        <w:rPr>
          <w:rFonts w:ascii="Open Sans" w:eastAsia="Open Sans" w:hAnsi="Open Sans" w:cs="Open Sans"/>
        </w:rPr>
      </w:pPr>
      <w:r>
        <w:rPr>
          <w:rFonts w:ascii="Open Sans" w:eastAsia="Open Sans" w:hAnsi="Open Sans" w:cs="Open Sans"/>
          <w:b/>
          <w:color w:val="303AB2"/>
          <w:sz w:val="28"/>
          <w:szCs w:val="28"/>
        </w:rPr>
        <w:t>El precio del alquiler en las Islas Canarias</w:t>
      </w:r>
    </w:p>
    <w:p w14:paraId="315BB152" w14:textId="77777777" w:rsidR="005003DF" w:rsidRDefault="005003DF">
      <w:pPr>
        <w:spacing w:line="276" w:lineRule="auto"/>
        <w:ind w:right="-567"/>
        <w:jc w:val="both"/>
        <w:rPr>
          <w:rFonts w:ascii="Open Sans" w:eastAsia="Open Sans" w:hAnsi="Open Sans" w:cs="Open Sans"/>
        </w:rPr>
      </w:pPr>
    </w:p>
    <w:p w14:paraId="25AE676A" w14:textId="77777777" w:rsidR="005003DF" w:rsidRDefault="00000000">
      <w:pPr>
        <w:spacing w:line="276" w:lineRule="auto"/>
        <w:ind w:right="4"/>
        <w:jc w:val="both"/>
        <w:rPr>
          <w:rFonts w:ascii="Open Sans" w:eastAsia="Open Sans" w:hAnsi="Open Sans" w:cs="Open Sans"/>
        </w:rPr>
      </w:pPr>
      <w:r>
        <w:rPr>
          <w:rFonts w:ascii="Open Sans" w:eastAsia="Open Sans" w:hAnsi="Open Sans" w:cs="Open Sans"/>
        </w:rPr>
        <w:t xml:space="preserve">De igual modo, en el mercado del alquiler el incremento supera el 20%, al presentar un aumento del 22,1% interanual, lo que supone una de las subidas más elevadas de la historia del </w:t>
      </w:r>
      <w:hyperlink r:id="rId13">
        <w:r>
          <w:rPr>
            <w:rFonts w:ascii="Open Sans" w:eastAsia="Open Sans" w:hAnsi="Open Sans" w:cs="Open Sans"/>
            <w:color w:val="1155CC"/>
            <w:u w:val="single"/>
          </w:rPr>
          <w:t>índice Inmobiliario Fotocasa</w:t>
        </w:r>
      </w:hyperlink>
      <w:r>
        <w:rPr>
          <w:rFonts w:ascii="Open Sans" w:eastAsia="Open Sans" w:hAnsi="Open Sans" w:cs="Open Sans"/>
        </w:rPr>
        <w:t>, tras la del 24% interanual ocurrida en 2018. Aunque ya hace 9 meses que las subidas en este mercado son muy acusadas. Desde marzo de 2022 se producen aumentos de dos dígitos.</w:t>
      </w:r>
    </w:p>
    <w:p w14:paraId="2EC21212" w14:textId="77777777" w:rsidR="005003DF" w:rsidRDefault="005003DF">
      <w:pPr>
        <w:spacing w:line="276" w:lineRule="auto"/>
        <w:ind w:right="4"/>
        <w:jc w:val="both"/>
        <w:rPr>
          <w:rFonts w:ascii="Open Sans" w:eastAsia="Open Sans" w:hAnsi="Open Sans" w:cs="Open Sans"/>
        </w:rPr>
      </w:pPr>
    </w:p>
    <w:p w14:paraId="663BF7BB" w14:textId="77777777" w:rsidR="005003DF" w:rsidRDefault="00000000">
      <w:pPr>
        <w:spacing w:line="276" w:lineRule="auto"/>
        <w:ind w:right="4"/>
        <w:jc w:val="both"/>
        <w:rPr>
          <w:rFonts w:ascii="Open Sans" w:eastAsia="Open Sans" w:hAnsi="Open Sans" w:cs="Open Sans"/>
        </w:rPr>
      </w:pPr>
      <w:r>
        <w:rPr>
          <w:rFonts w:ascii="Open Sans" w:eastAsia="Open Sans" w:hAnsi="Open Sans" w:cs="Open Sans"/>
        </w:rPr>
        <w:t>A partir de entonces, la transformación ha sido muy acelerada, ya que el precio del alquiler mensual ha pasado de los 9 euros el metro cuadrado a casi sobrepasar los 13 euros en 19 meses, en concreto de los 9,96€/m2 de marzo de 2022, a los 12,98€/m2 de septiembre de 2023.</w:t>
      </w:r>
    </w:p>
    <w:p w14:paraId="259BADCE" w14:textId="77777777" w:rsidR="005003DF" w:rsidRDefault="00000000">
      <w:pPr>
        <w:shd w:val="clear" w:color="auto" w:fill="FFFFFF"/>
        <w:spacing w:before="280" w:after="280" w:line="276" w:lineRule="auto"/>
        <w:jc w:val="center"/>
        <w:rPr>
          <w:rFonts w:ascii="Open Sans" w:eastAsia="Open Sans" w:hAnsi="Open Sans" w:cs="Open Sans"/>
          <w:b/>
          <w:color w:val="303AB2"/>
          <w:sz w:val="26"/>
          <w:szCs w:val="26"/>
        </w:rPr>
      </w:pPr>
      <w:r>
        <w:rPr>
          <w:rFonts w:ascii="Open Sans" w:eastAsia="Open Sans" w:hAnsi="Open Sans" w:cs="Open Sans"/>
          <w:b/>
          <w:color w:val="303AB2"/>
          <w:sz w:val="26"/>
          <w:szCs w:val="26"/>
        </w:rPr>
        <w:t>Variación mensual e interanual de los últimos 12 meses</w:t>
      </w:r>
    </w:p>
    <w:p w14:paraId="60678EC0" w14:textId="77777777" w:rsidR="005003DF" w:rsidRDefault="00000000">
      <w:pPr>
        <w:spacing w:after="160" w:line="259" w:lineRule="auto"/>
        <w:rPr>
          <w:rFonts w:ascii="Open Sans" w:eastAsia="Open Sans" w:hAnsi="Open Sans" w:cs="Open Sans"/>
          <w:b/>
          <w:color w:val="303AB2"/>
          <w:sz w:val="26"/>
          <w:szCs w:val="26"/>
        </w:rPr>
      </w:pPr>
      <w:r>
        <w:rPr>
          <w:noProof/>
          <w:sz w:val="22"/>
          <w:szCs w:val="22"/>
        </w:rPr>
        <w:drawing>
          <wp:inline distT="0" distB="0" distL="0" distR="0" wp14:anchorId="44ABB06A" wp14:editId="099B9AAB">
            <wp:extent cx="5847335" cy="2374316"/>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3101" t="6080" r="3068" b="3549"/>
                    <a:stretch>
                      <a:fillRect/>
                    </a:stretch>
                  </pic:blipFill>
                  <pic:spPr>
                    <a:xfrm>
                      <a:off x="0" y="0"/>
                      <a:ext cx="5847335" cy="2374316"/>
                    </a:xfrm>
                    <a:prstGeom prst="rect">
                      <a:avLst/>
                    </a:prstGeom>
                    <a:ln/>
                  </pic:spPr>
                </pic:pic>
              </a:graphicData>
            </a:graphic>
          </wp:inline>
        </w:drawing>
      </w:r>
    </w:p>
    <w:p w14:paraId="7FDC508F" w14:textId="77777777" w:rsidR="005003DF" w:rsidRDefault="005003DF">
      <w:pPr>
        <w:spacing w:line="276" w:lineRule="auto"/>
        <w:ind w:right="4"/>
        <w:rPr>
          <w:rFonts w:ascii="Open Sans Light" w:eastAsia="Open Sans Light" w:hAnsi="Open Sans Light" w:cs="Open Sans Light"/>
          <w:b/>
          <w:color w:val="303AB2"/>
          <w:sz w:val="26"/>
          <w:szCs w:val="26"/>
        </w:rPr>
      </w:pPr>
    </w:p>
    <w:p w14:paraId="310F1988" w14:textId="77777777" w:rsidR="0099100B" w:rsidRDefault="0099100B">
      <w:pPr>
        <w:spacing w:line="276" w:lineRule="auto"/>
        <w:ind w:right="4"/>
        <w:jc w:val="both"/>
        <w:rPr>
          <w:rFonts w:ascii="Open Sans" w:eastAsia="Open Sans" w:hAnsi="Open Sans" w:cs="Open Sans"/>
        </w:rPr>
      </w:pPr>
    </w:p>
    <w:p w14:paraId="420B84F8" w14:textId="0ECB8738" w:rsidR="005003DF"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En el caso del alquiler, </w:t>
      </w:r>
      <w:r>
        <w:rPr>
          <w:rFonts w:ascii="Open Sans" w:eastAsia="Open Sans" w:hAnsi="Open Sans" w:cs="Open Sans"/>
          <w:b/>
        </w:rPr>
        <w:t xml:space="preserve">el coste del arrendamiento se halla un 70% por encima del precio de hace 16 años, </w:t>
      </w:r>
      <w:r>
        <w:rPr>
          <w:rFonts w:ascii="Open Sans" w:eastAsia="Open Sans" w:hAnsi="Open Sans" w:cs="Open Sans"/>
        </w:rPr>
        <w:t>ya que se situaba en los 7,64€/m².</w:t>
      </w:r>
      <w:r>
        <w:rPr>
          <w:rFonts w:ascii="Open Sans" w:eastAsia="Open Sans" w:hAnsi="Open Sans" w:cs="Open Sans"/>
          <w:b/>
        </w:rPr>
        <w:t xml:space="preserve"> </w:t>
      </w:r>
      <w:r>
        <w:rPr>
          <w:rFonts w:ascii="Open Sans" w:eastAsia="Open Sans" w:hAnsi="Open Sans" w:cs="Open Sans"/>
        </w:rPr>
        <w:t xml:space="preserve">Por lo tanto, el coste actual de la vivienda en la región canaria (12,98€/m²) es significativamente mayor al precio del año 2007, cuando de manera unánime en toda España se alcanzaron los mayores precios en la serie histórica. </w:t>
      </w:r>
    </w:p>
    <w:p w14:paraId="4EF90438" w14:textId="77777777" w:rsidR="005003DF" w:rsidRDefault="005003DF">
      <w:pPr>
        <w:spacing w:line="276" w:lineRule="auto"/>
        <w:ind w:right="4"/>
        <w:jc w:val="both"/>
        <w:rPr>
          <w:rFonts w:ascii="Open Sans" w:eastAsia="Open Sans" w:hAnsi="Open Sans" w:cs="Open Sans"/>
        </w:rPr>
      </w:pPr>
    </w:p>
    <w:p w14:paraId="4223C849" w14:textId="77777777" w:rsidR="005003DF" w:rsidRDefault="00000000">
      <w:pPr>
        <w:spacing w:line="276" w:lineRule="auto"/>
        <w:ind w:right="4"/>
        <w:rPr>
          <w:rFonts w:ascii="Open Sans" w:eastAsia="Open Sans" w:hAnsi="Open Sans" w:cs="Open Sans"/>
        </w:rPr>
      </w:pPr>
      <w:r>
        <w:rPr>
          <w:rFonts w:ascii="Open Sans Light" w:eastAsia="Open Sans Light" w:hAnsi="Open Sans Light" w:cs="Open Sans Light"/>
          <w:b/>
          <w:color w:val="303AB2"/>
          <w:sz w:val="26"/>
          <w:szCs w:val="26"/>
        </w:rPr>
        <w:t>Comparativa evolución precio ALQUILER entre Canarias y la media española</w:t>
      </w:r>
    </w:p>
    <w:p w14:paraId="71C78098" w14:textId="77777777" w:rsidR="005003DF" w:rsidRDefault="005003DF">
      <w:pPr>
        <w:spacing w:line="276" w:lineRule="auto"/>
        <w:ind w:right="4"/>
        <w:jc w:val="both"/>
        <w:rPr>
          <w:rFonts w:ascii="Open Sans" w:eastAsia="Open Sans" w:hAnsi="Open Sans" w:cs="Open Sans"/>
        </w:rPr>
      </w:pPr>
    </w:p>
    <w:p w14:paraId="0D9D2C86" w14:textId="77777777" w:rsidR="005003DF" w:rsidRDefault="00000000">
      <w:pPr>
        <w:spacing w:line="276" w:lineRule="auto"/>
        <w:ind w:right="4"/>
        <w:jc w:val="both"/>
        <w:rPr>
          <w:rFonts w:ascii="Open Sans Light" w:eastAsia="Open Sans Light" w:hAnsi="Open Sans Light" w:cs="Open Sans Light"/>
          <w:b/>
          <w:color w:val="303AB2"/>
          <w:sz w:val="26"/>
          <w:szCs w:val="26"/>
        </w:rPr>
      </w:pPr>
      <w:r>
        <w:rPr>
          <w:rFonts w:ascii="Open Sans" w:eastAsia="Open Sans" w:hAnsi="Open Sans" w:cs="Open Sans"/>
        </w:rPr>
        <w:t>En la gráfica se aprecia como la línea de color naranja que representa la tendencia media del precio a nivel nacional, muestra un coste menor al presentado por el comportamiento del precio del arrendamiento en Canarias.</w:t>
      </w:r>
    </w:p>
    <w:p w14:paraId="61C1DA55" w14:textId="77777777" w:rsidR="005003DF" w:rsidRDefault="00000000">
      <w:pPr>
        <w:spacing w:after="160" w:line="259" w:lineRule="auto"/>
        <w:rPr>
          <w:rFonts w:ascii="Open Sans" w:eastAsia="Open Sans" w:hAnsi="Open Sans" w:cs="Open Sans"/>
        </w:rPr>
      </w:pPr>
      <w:r>
        <w:rPr>
          <w:noProof/>
          <w:sz w:val="22"/>
          <w:szCs w:val="22"/>
        </w:rPr>
        <w:drawing>
          <wp:inline distT="0" distB="0" distL="0" distR="0" wp14:anchorId="31894287" wp14:editId="79C9F58E">
            <wp:extent cx="6019800" cy="246461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l="1869" b="30354"/>
                    <a:stretch>
                      <a:fillRect/>
                    </a:stretch>
                  </pic:blipFill>
                  <pic:spPr>
                    <a:xfrm>
                      <a:off x="0" y="0"/>
                      <a:ext cx="6019800" cy="2464615"/>
                    </a:xfrm>
                    <a:prstGeom prst="rect">
                      <a:avLst/>
                    </a:prstGeom>
                    <a:ln/>
                  </pic:spPr>
                </pic:pic>
              </a:graphicData>
            </a:graphic>
          </wp:inline>
        </w:drawing>
      </w:r>
    </w:p>
    <w:p w14:paraId="64E1DDEC" w14:textId="77777777" w:rsidR="005003DF" w:rsidRDefault="005003DF">
      <w:pPr>
        <w:spacing w:line="276" w:lineRule="auto"/>
        <w:ind w:right="4"/>
        <w:jc w:val="both"/>
        <w:rPr>
          <w:rFonts w:ascii="Open Sans" w:eastAsia="Open Sans" w:hAnsi="Open Sans" w:cs="Open Sans"/>
        </w:rPr>
      </w:pPr>
      <w:bookmarkStart w:id="0" w:name="_heading=h.sq2xa3369s4d" w:colFirst="0" w:colLast="0"/>
      <w:bookmarkEnd w:id="0"/>
    </w:p>
    <w:p w14:paraId="480B87EB" w14:textId="77777777" w:rsidR="005003DF" w:rsidRDefault="00000000">
      <w:pPr>
        <w:spacing w:line="276" w:lineRule="auto"/>
        <w:ind w:right="4"/>
        <w:jc w:val="both"/>
        <w:rPr>
          <w:rFonts w:ascii="Open Sans" w:eastAsia="Open Sans" w:hAnsi="Open Sans" w:cs="Open Sans"/>
        </w:rPr>
      </w:pPr>
      <w:r>
        <w:rPr>
          <w:rFonts w:ascii="Open Sans" w:eastAsia="Open Sans" w:hAnsi="Open Sans" w:cs="Open Sans"/>
        </w:rPr>
        <w:t xml:space="preserve">“El precio del alquiler en Canarias alcanza su nivel máximo histórico, con una tendencia alcista. Desde la recuperación de la crisis financiera, en 2015, Canarias sigue la misma tendencia de la media española, pero de una forma más acentuada e intensa y presentando incrementos mucho más acusados. Aunque 2023 marca un hito en la evolución de este mercado con la reducción de la oferta de vivienda en más del 30% es la principal causa que empuja el precio al alza, ya que cada vez la brecha entre oferta y demanda es más considerable.  El furor por vender, la vuelta de las viviendas turísticas al mercado vacacional y la sobrerregulación del mercado, considerada así por los propietarios, han contraído el stock de manera drástica. Esta situación sumada al incremento de la inflación, que influye en las viviendas que salen al mercado, dificulta todavía más el acceso a la vivienda”, explica María Matos, directora de Estudios y Portavoz de </w:t>
      </w:r>
      <w:hyperlink r:id="rId16">
        <w:r>
          <w:rPr>
            <w:rFonts w:ascii="Open Sans" w:eastAsia="Open Sans" w:hAnsi="Open Sans" w:cs="Open Sans"/>
            <w:color w:val="1155CC"/>
            <w:u w:val="single"/>
          </w:rPr>
          <w:t>Fotocasa</w:t>
        </w:r>
      </w:hyperlink>
      <w:r>
        <w:rPr>
          <w:rFonts w:ascii="Open Sans" w:eastAsia="Open Sans" w:hAnsi="Open Sans" w:cs="Open Sans"/>
        </w:rPr>
        <w:t>.</w:t>
      </w:r>
    </w:p>
    <w:p w14:paraId="7741BA73" w14:textId="77777777" w:rsidR="005D06E3" w:rsidRDefault="005D06E3">
      <w:pPr>
        <w:spacing w:line="276" w:lineRule="auto"/>
        <w:ind w:right="-567"/>
        <w:jc w:val="both"/>
        <w:rPr>
          <w:rFonts w:ascii="Open Sans" w:eastAsia="Open Sans" w:hAnsi="Open Sans" w:cs="Open Sans"/>
          <w:b/>
          <w:color w:val="303AB2"/>
          <w:sz w:val="28"/>
          <w:szCs w:val="28"/>
        </w:rPr>
      </w:pPr>
    </w:p>
    <w:p w14:paraId="5FEB72CB" w14:textId="77777777" w:rsidR="005D06E3" w:rsidRDefault="005D06E3">
      <w:pPr>
        <w:spacing w:line="276" w:lineRule="auto"/>
        <w:ind w:right="-567"/>
        <w:jc w:val="both"/>
        <w:rPr>
          <w:rFonts w:ascii="Open Sans" w:eastAsia="Open Sans" w:hAnsi="Open Sans" w:cs="Open Sans"/>
          <w:b/>
          <w:color w:val="303AB2"/>
          <w:sz w:val="28"/>
          <w:szCs w:val="28"/>
        </w:rPr>
      </w:pPr>
    </w:p>
    <w:p w14:paraId="183C725D" w14:textId="77777777" w:rsidR="005D06E3" w:rsidRDefault="005D06E3">
      <w:pPr>
        <w:spacing w:line="276" w:lineRule="auto"/>
        <w:ind w:right="-567"/>
        <w:jc w:val="both"/>
        <w:rPr>
          <w:rFonts w:ascii="Open Sans" w:eastAsia="Open Sans" w:hAnsi="Open Sans" w:cs="Open Sans"/>
          <w:b/>
          <w:color w:val="303AB2"/>
          <w:sz w:val="28"/>
          <w:szCs w:val="28"/>
        </w:rPr>
      </w:pPr>
    </w:p>
    <w:p w14:paraId="7D6A0C66" w14:textId="669FB700" w:rsidR="005003DF"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t>Situación del precio de la vivienda en Las Palmas y Tenerife</w:t>
      </w:r>
    </w:p>
    <w:p w14:paraId="686A9093" w14:textId="77777777" w:rsidR="005003DF" w:rsidRDefault="005003DF">
      <w:pPr>
        <w:spacing w:line="276" w:lineRule="auto"/>
        <w:ind w:right="-567"/>
        <w:jc w:val="both"/>
        <w:rPr>
          <w:rFonts w:ascii="Open Sans" w:eastAsia="Open Sans" w:hAnsi="Open Sans" w:cs="Open Sans"/>
          <w:b/>
          <w:color w:val="303AB2"/>
          <w:sz w:val="28"/>
          <w:szCs w:val="28"/>
        </w:rPr>
      </w:pPr>
    </w:p>
    <w:p w14:paraId="5B394A6A" w14:textId="77777777" w:rsidR="005003DF" w:rsidRDefault="00000000">
      <w:pPr>
        <w:spacing w:line="276" w:lineRule="auto"/>
        <w:ind w:right="4"/>
        <w:jc w:val="both"/>
        <w:rPr>
          <w:rFonts w:ascii="Open Sans" w:eastAsia="Open Sans" w:hAnsi="Open Sans" w:cs="Open Sans"/>
        </w:rPr>
      </w:pPr>
      <w:r>
        <w:rPr>
          <w:rFonts w:ascii="Open Sans" w:eastAsia="Open Sans" w:hAnsi="Open Sans" w:cs="Open Sans"/>
        </w:rPr>
        <w:t>La misma tendencia muestran las capitales de provincia del archipiélago. Las Palmas alcanza su precio máximo de venta, con un aumento interanual del 9,2% y se sitúa en los 2.435 euros el metro cuadrado. Lo que supone que el precio presentado es un 6,3% mayor al de 2006. En el caso de Tenerife, también se bate récord de precio al mostrar un coste por metro cuadrado de 2.130 euros, debido al incremento interanual de más del 20% y sitúa el coste de la vivienda en Tenerife un 11,17% por encima de las cifras registradas en 2006.</w:t>
      </w:r>
    </w:p>
    <w:p w14:paraId="3FE8BDBE" w14:textId="77777777" w:rsidR="005003DF" w:rsidRDefault="005003DF">
      <w:pPr>
        <w:spacing w:line="276" w:lineRule="auto"/>
        <w:ind w:right="4"/>
        <w:jc w:val="both"/>
        <w:rPr>
          <w:rFonts w:ascii="Open Sans" w:eastAsia="Open Sans" w:hAnsi="Open Sans" w:cs="Open Sans"/>
        </w:rPr>
      </w:pPr>
      <w:bookmarkStart w:id="1" w:name="_heading=h.4xd4vbxynavl" w:colFirst="0" w:colLast="0"/>
      <w:bookmarkEnd w:id="1"/>
    </w:p>
    <w:tbl>
      <w:tblPr>
        <w:tblStyle w:val="a"/>
        <w:tblW w:w="9585"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725"/>
        <w:gridCol w:w="1500"/>
        <w:gridCol w:w="1410"/>
        <w:gridCol w:w="1635"/>
        <w:gridCol w:w="1365"/>
        <w:gridCol w:w="1950"/>
      </w:tblGrid>
      <w:tr w:rsidR="005003DF" w14:paraId="18EE8FB1" w14:textId="77777777" w:rsidTr="005003DF">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725" w:type="dxa"/>
            <w:shd w:val="clear" w:color="auto" w:fill="1DBDC5"/>
          </w:tcPr>
          <w:p w14:paraId="5EC3F7D1" w14:textId="77777777" w:rsidR="005003DF" w:rsidRDefault="00000000">
            <w:pPr>
              <w:rPr>
                <w:rFonts w:ascii="Open Sans" w:eastAsia="Open Sans" w:hAnsi="Open Sans" w:cs="Open Sans"/>
                <w:sz w:val="22"/>
                <w:szCs w:val="22"/>
              </w:rPr>
            </w:pPr>
            <w:r>
              <w:rPr>
                <w:rFonts w:ascii="Open Sans" w:eastAsia="Open Sans" w:hAnsi="Open Sans" w:cs="Open Sans"/>
                <w:sz w:val="22"/>
                <w:szCs w:val="22"/>
              </w:rPr>
              <w:t xml:space="preserve">   VENTA</w:t>
            </w:r>
          </w:p>
        </w:tc>
        <w:tc>
          <w:tcPr>
            <w:tcW w:w="1500" w:type="dxa"/>
            <w:shd w:val="clear" w:color="auto" w:fill="1DBDC5"/>
          </w:tcPr>
          <w:p w14:paraId="1F06E5F1"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Sep. 2023</w:t>
            </w:r>
          </w:p>
          <w:p w14:paraId="66B0204C"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c>
          <w:tcPr>
            <w:tcW w:w="1410" w:type="dxa"/>
            <w:shd w:val="clear" w:color="auto" w:fill="1DBDC5"/>
          </w:tcPr>
          <w:p w14:paraId="0DD3E3F8"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w:t>
            </w:r>
          </w:p>
        </w:tc>
        <w:tc>
          <w:tcPr>
            <w:tcW w:w="1635" w:type="dxa"/>
            <w:shd w:val="clear" w:color="auto" w:fill="1DBDC5"/>
          </w:tcPr>
          <w:p w14:paraId="14DD6B33"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Mes valor máximo</w:t>
            </w:r>
          </w:p>
        </w:tc>
        <w:tc>
          <w:tcPr>
            <w:tcW w:w="1365" w:type="dxa"/>
            <w:shd w:val="clear" w:color="auto" w:fill="1DBDC5"/>
          </w:tcPr>
          <w:p w14:paraId="0D664FA8"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2006</w:t>
            </w:r>
          </w:p>
        </w:tc>
        <w:tc>
          <w:tcPr>
            <w:tcW w:w="1950" w:type="dxa"/>
            <w:shd w:val="clear" w:color="auto" w:fill="1DBDC5"/>
          </w:tcPr>
          <w:p w14:paraId="290AA87D"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Acumulativo 2006 vs. 2023</w:t>
            </w:r>
          </w:p>
        </w:tc>
      </w:tr>
      <w:tr w:rsidR="005003DF" w14:paraId="55F49093" w14:textId="77777777" w:rsidTr="005003D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25" w:type="dxa"/>
            <w:shd w:val="clear" w:color="auto" w:fill="1DBDC5"/>
            <w:vAlign w:val="bottom"/>
          </w:tcPr>
          <w:p w14:paraId="130B2955" w14:textId="77777777" w:rsidR="005003DF" w:rsidRDefault="00000000">
            <w:pPr>
              <w:rPr>
                <w:rFonts w:ascii="Open Sans" w:eastAsia="Open Sans" w:hAnsi="Open Sans" w:cs="Open Sans"/>
                <w:sz w:val="22"/>
                <w:szCs w:val="22"/>
              </w:rPr>
            </w:pPr>
            <w:r>
              <w:rPr>
                <w:rFonts w:ascii="Open Sans" w:eastAsia="Open Sans" w:hAnsi="Open Sans" w:cs="Open Sans"/>
                <w:sz w:val="22"/>
                <w:szCs w:val="22"/>
              </w:rPr>
              <w:t>Las Palmas</w:t>
            </w:r>
          </w:p>
        </w:tc>
        <w:tc>
          <w:tcPr>
            <w:tcW w:w="1500" w:type="dxa"/>
            <w:vAlign w:val="bottom"/>
          </w:tcPr>
          <w:p w14:paraId="2E3D65EA"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2.435 €</w:t>
            </w:r>
          </w:p>
        </w:tc>
        <w:tc>
          <w:tcPr>
            <w:tcW w:w="1410" w:type="dxa"/>
            <w:vAlign w:val="bottom"/>
          </w:tcPr>
          <w:p w14:paraId="047B9927"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9,2%</w:t>
            </w:r>
          </w:p>
        </w:tc>
        <w:tc>
          <w:tcPr>
            <w:tcW w:w="1635" w:type="dxa"/>
            <w:vAlign w:val="bottom"/>
          </w:tcPr>
          <w:p w14:paraId="14AF2A2A"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sept-23</w:t>
            </w:r>
          </w:p>
        </w:tc>
        <w:tc>
          <w:tcPr>
            <w:tcW w:w="1365" w:type="dxa"/>
            <w:vAlign w:val="bottom"/>
          </w:tcPr>
          <w:p w14:paraId="1EF13B31"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2.291</w:t>
            </w:r>
          </w:p>
        </w:tc>
        <w:tc>
          <w:tcPr>
            <w:tcW w:w="1950" w:type="dxa"/>
            <w:vAlign w:val="bottom"/>
          </w:tcPr>
          <w:p w14:paraId="2778878A"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w:t>
            </w:r>
          </w:p>
        </w:tc>
      </w:tr>
      <w:tr w:rsidR="005003DF" w14:paraId="4A2BDF2F" w14:textId="77777777" w:rsidTr="005003DF">
        <w:trPr>
          <w:trHeight w:val="212"/>
        </w:trPr>
        <w:tc>
          <w:tcPr>
            <w:cnfStyle w:val="001000000000" w:firstRow="0" w:lastRow="0" w:firstColumn="1" w:lastColumn="0" w:oddVBand="0" w:evenVBand="0" w:oddHBand="0" w:evenHBand="0" w:firstRowFirstColumn="0" w:firstRowLastColumn="0" w:lastRowFirstColumn="0" w:lastRowLastColumn="0"/>
            <w:tcW w:w="1725" w:type="dxa"/>
            <w:shd w:val="clear" w:color="auto" w:fill="1DBDC5"/>
            <w:vAlign w:val="bottom"/>
          </w:tcPr>
          <w:p w14:paraId="225B3045" w14:textId="77777777" w:rsidR="005003DF" w:rsidRDefault="00000000">
            <w:pPr>
              <w:rPr>
                <w:rFonts w:ascii="Open Sans" w:eastAsia="Open Sans" w:hAnsi="Open Sans" w:cs="Open Sans"/>
                <w:sz w:val="22"/>
                <w:szCs w:val="22"/>
              </w:rPr>
            </w:pPr>
            <w:r>
              <w:rPr>
                <w:rFonts w:ascii="Open Sans" w:eastAsia="Open Sans" w:hAnsi="Open Sans" w:cs="Open Sans"/>
                <w:sz w:val="22"/>
                <w:szCs w:val="22"/>
              </w:rPr>
              <w:t>Santa Cruz de Tenerife</w:t>
            </w:r>
          </w:p>
        </w:tc>
        <w:tc>
          <w:tcPr>
            <w:tcW w:w="1500" w:type="dxa"/>
            <w:vAlign w:val="bottom"/>
          </w:tcPr>
          <w:p w14:paraId="1F578AE1"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2.130 €</w:t>
            </w:r>
          </w:p>
        </w:tc>
        <w:tc>
          <w:tcPr>
            <w:tcW w:w="1410" w:type="dxa"/>
            <w:vAlign w:val="bottom"/>
          </w:tcPr>
          <w:p w14:paraId="7C779BF9"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21,3%</w:t>
            </w:r>
          </w:p>
        </w:tc>
        <w:tc>
          <w:tcPr>
            <w:tcW w:w="1635" w:type="dxa"/>
            <w:vAlign w:val="bottom"/>
          </w:tcPr>
          <w:p w14:paraId="13A78F2E"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sept-23</w:t>
            </w:r>
          </w:p>
        </w:tc>
        <w:tc>
          <w:tcPr>
            <w:tcW w:w="1365" w:type="dxa"/>
            <w:vAlign w:val="bottom"/>
          </w:tcPr>
          <w:p w14:paraId="1E2C8498"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1.916</w:t>
            </w:r>
          </w:p>
        </w:tc>
        <w:tc>
          <w:tcPr>
            <w:tcW w:w="1950" w:type="dxa"/>
            <w:vAlign w:val="bottom"/>
          </w:tcPr>
          <w:p w14:paraId="2CE78D7E"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11,17%</w:t>
            </w:r>
          </w:p>
        </w:tc>
      </w:tr>
    </w:tbl>
    <w:p w14:paraId="101DE1B3" w14:textId="77777777" w:rsidR="005003DF" w:rsidRDefault="005003DF">
      <w:pPr>
        <w:spacing w:line="276" w:lineRule="auto"/>
        <w:ind w:right="4"/>
        <w:jc w:val="both"/>
        <w:rPr>
          <w:rFonts w:ascii="Open Sans" w:eastAsia="Open Sans" w:hAnsi="Open Sans" w:cs="Open Sans"/>
        </w:rPr>
      </w:pPr>
      <w:bookmarkStart w:id="2" w:name="_heading=h.70dwglsdi827" w:colFirst="0" w:colLast="0"/>
      <w:bookmarkEnd w:id="2"/>
    </w:p>
    <w:p w14:paraId="65683869" w14:textId="77777777" w:rsidR="005003DF" w:rsidRDefault="00000000">
      <w:pPr>
        <w:spacing w:line="276" w:lineRule="auto"/>
        <w:ind w:right="4"/>
        <w:jc w:val="both"/>
        <w:rPr>
          <w:rFonts w:ascii="Open Sans Light" w:eastAsia="Open Sans Light" w:hAnsi="Open Sans Light" w:cs="Open Sans Light"/>
          <w:b/>
          <w:color w:val="303AB2"/>
        </w:rPr>
      </w:pPr>
      <w:r>
        <w:rPr>
          <w:rFonts w:ascii="Open Sans" w:eastAsia="Open Sans" w:hAnsi="Open Sans" w:cs="Open Sans"/>
        </w:rPr>
        <w:t>En el mercado del arrendamiento la tendencia es similar pero todavía más acusada. Las Palmas alcanza su precio máximo de alquiler, con un aumento interanual del 21,5% y se sitúa en los 13,46 euros el metro cuadrado. Lo que supone que el precio presentado es un 83% superior al de 2006. En el caso de Tenerife, también se bate récord de precio al mostrar un coste por metro cuadrado de 11,89 euros, debido al incremento interanual del 19,5% y situar el coste de la vivienda en alquiler en Tenerife un 59,3% por encima de las cifras registradas en 2006.</w:t>
      </w:r>
    </w:p>
    <w:p w14:paraId="6A4910AC" w14:textId="77777777" w:rsidR="005003DF" w:rsidRDefault="005003DF">
      <w:pPr>
        <w:spacing w:line="276" w:lineRule="auto"/>
        <w:ind w:right="4"/>
        <w:jc w:val="both"/>
        <w:rPr>
          <w:rFonts w:ascii="Open Sans Light" w:eastAsia="Open Sans Light" w:hAnsi="Open Sans Light" w:cs="Open Sans Light"/>
          <w:b/>
          <w:color w:val="303AB2"/>
        </w:rPr>
      </w:pPr>
      <w:bookmarkStart w:id="3" w:name="_heading=h.gjdgxs" w:colFirst="0" w:colLast="0"/>
      <w:bookmarkEnd w:id="3"/>
    </w:p>
    <w:tbl>
      <w:tblPr>
        <w:tblStyle w:val="a0"/>
        <w:tblW w:w="9600"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665"/>
        <w:gridCol w:w="1485"/>
        <w:gridCol w:w="1470"/>
        <w:gridCol w:w="1695"/>
        <w:gridCol w:w="1245"/>
        <w:gridCol w:w="2040"/>
      </w:tblGrid>
      <w:tr w:rsidR="005003DF" w14:paraId="1F54AC4E" w14:textId="77777777" w:rsidTr="005003DF">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665" w:type="dxa"/>
            <w:shd w:val="clear" w:color="auto" w:fill="1DBDC5"/>
          </w:tcPr>
          <w:p w14:paraId="10119258" w14:textId="77777777" w:rsidR="005003DF" w:rsidRDefault="00000000">
            <w:pPr>
              <w:rPr>
                <w:rFonts w:ascii="Open Sans" w:eastAsia="Open Sans" w:hAnsi="Open Sans" w:cs="Open Sans"/>
                <w:sz w:val="20"/>
                <w:szCs w:val="20"/>
              </w:rPr>
            </w:pPr>
            <w:r>
              <w:rPr>
                <w:rFonts w:ascii="Open Sans" w:eastAsia="Open Sans" w:hAnsi="Open Sans" w:cs="Open Sans"/>
                <w:sz w:val="22"/>
                <w:szCs w:val="22"/>
              </w:rPr>
              <w:t xml:space="preserve">   </w:t>
            </w:r>
            <w:r>
              <w:rPr>
                <w:rFonts w:ascii="Open Sans" w:eastAsia="Open Sans" w:hAnsi="Open Sans" w:cs="Open Sans"/>
                <w:sz w:val="20"/>
                <w:szCs w:val="20"/>
              </w:rPr>
              <w:t>ALQUILER</w:t>
            </w:r>
          </w:p>
        </w:tc>
        <w:tc>
          <w:tcPr>
            <w:tcW w:w="1485" w:type="dxa"/>
            <w:shd w:val="clear" w:color="auto" w:fill="1DBDC5"/>
          </w:tcPr>
          <w:p w14:paraId="0D27F71D"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Sep. 2023</w:t>
            </w:r>
          </w:p>
          <w:p w14:paraId="513FCF67"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c>
          <w:tcPr>
            <w:tcW w:w="1470" w:type="dxa"/>
            <w:shd w:val="clear" w:color="auto" w:fill="1DBDC5"/>
          </w:tcPr>
          <w:p w14:paraId="18048148"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w:t>
            </w:r>
          </w:p>
        </w:tc>
        <w:tc>
          <w:tcPr>
            <w:tcW w:w="1695" w:type="dxa"/>
            <w:shd w:val="clear" w:color="auto" w:fill="1DBDC5"/>
          </w:tcPr>
          <w:p w14:paraId="7FE058FB"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Mes valor máximo</w:t>
            </w:r>
          </w:p>
        </w:tc>
        <w:tc>
          <w:tcPr>
            <w:tcW w:w="1245" w:type="dxa"/>
            <w:shd w:val="clear" w:color="auto" w:fill="1DBDC5"/>
          </w:tcPr>
          <w:p w14:paraId="5CC28D5E"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2006</w:t>
            </w:r>
          </w:p>
        </w:tc>
        <w:tc>
          <w:tcPr>
            <w:tcW w:w="2040" w:type="dxa"/>
            <w:shd w:val="clear" w:color="auto" w:fill="1DBDC5"/>
          </w:tcPr>
          <w:p w14:paraId="2EB6367A" w14:textId="77777777" w:rsidR="005003D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Acumulativo 2006 vs. 2023</w:t>
            </w:r>
          </w:p>
        </w:tc>
      </w:tr>
      <w:tr w:rsidR="005003DF" w14:paraId="05769727" w14:textId="77777777" w:rsidTr="005003D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65" w:type="dxa"/>
            <w:shd w:val="clear" w:color="auto" w:fill="1DBDC5"/>
            <w:vAlign w:val="bottom"/>
          </w:tcPr>
          <w:p w14:paraId="0E62F8D7" w14:textId="77777777" w:rsidR="005003DF" w:rsidRDefault="00000000">
            <w:pPr>
              <w:rPr>
                <w:rFonts w:ascii="Open Sans" w:eastAsia="Open Sans" w:hAnsi="Open Sans" w:cs="Open Sans"/>
                <w:sz w:val="22"/>
                <w:szCs w:val="22"/>
              </w:rPr>
            </w:pPr>
            <w:r>
              <w:rPr>
                <w:rFonts w:ascii="Open Sans" w:eastAsia="Open Sans" w:hAnsi="Open Sans" w:cs="Open Sans"/>
                <w:sz w:val="22"/>
                <w:szCs w:val="22"/>
              </w:rPr>
              <w:t>Las Palmas</w:t>
            </w:r>
          </w:p>
        </w:tc>
        <w:tc>
          <w:tcPr>
            <w:tcW w:w="1485" w:type="dxa"/>
            <w:vAlign w:val="bottom"/>
          </w:tcPr>
          <w:p w14:paraId="05F1150B"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13,46 €</w:t>
            </w:r>
          </w:p>
        </w:tc>
        <w:tc>
          <w:tcPr>
            <w:tcW w:w="1470" w:type="dxa"/>
            <w:vAlign w:val="bottom"/>
          </w:tcPr>
          <w:p w14:paraId="0CC0FEAC"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21,5%</w:t>
            </w:r>
          </w:p>
        </w:tc>
        <w:tc>
          <w:tcPr>
            <w:tcW w:w="1695" w:type="dxa"/>
            <w:vAlign w:val="bottom"/>
          </w:tcPr>
          <w:p w14:paraId="62F6BE63"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sept-23</w:t>
            </w:r>
          </w:p>
        </w:tc>
        <w:tc>
          <w:tcPr>
            <w:tcW w:w="1245" w:type="dxa"/>
            <w:vAlign w:val="bottom"/>
          </w:tcPr>
          <w:p w14:paraId="2EF2B4C2"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7,33</w:t>
            </w:r>
          </w:p>
        </w:tc>
        <w:tc>
          <w:tcPr>
            <w:tcW w:w="2040" w:type="dxa"/>
            <w:vAlign w:val="bottom"/>
          </w:tcPr>
          <w:p w14:paraId="300D3352" w14:textId="77777777" w:rsidR="005003D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83,6%</w:t>
            </w:r>
          </w:p>
        </w:tc>
      </w:tr>
      <w:tr w:rsidR="005003DF" w14:paraId="372EA57F" w14:textId="77777777" w:rsidTr="005003DF">
        <w:trPr>
          <w:trHeight w:val="212"/>
        </w:trPr>
        <w:tc>
          <w:tcPr>
            <w:cnfStyle w:val="001000000000" w:firstRow="0" w:lastRow="0" w:firstColumn="1" w:lastColumn="0" w:oddVBand="0" w:evenVBand="0" w:oddHBand="0" w:evenHBand="0" w:firstRowFirstColumn="0" w:firstRowLastColumn="0" w:lastRowFirstColumn="0" w:lastRowLastColumn="0"/>
            <w:tcW w:w="1665" w:type="dxa"/>
            <w:shd w:val="clear" w:color="auto" w:fill="1DBDC5"/>
            <w:vAlign w:val="bottom"/>
          </w:tcPr>
          <w:p w14:paraId="319155C9" w14:textId="77777777" w:rsidR="005003DF" w:rsidRDefault="00000000">
            <w:pPr>
              <w:rPr>
                <w:rFonts w:ascii="Open Sans" w:eastAsia="Open Sans" w:hAnsi="Open Sans" w:cs="Open Sans"/>
                <w:sz w:val="22"/>
                <w:szCs w:val="22"/>
              </w:rPr>
            </w:pPr>
            <w:r>
              <w:rPr>
                <w:rFonts w:ascii="Open Sans" w:eastAsia="Open Sans" w:hAnsi="Open Sans" w:cs="Open Sans"/>
                <w:sz w:val="22"/>
                <w:szCs w:val="22"/>
              </w:rPr>
              <w:t>Santa Cruz de Tenerife</w:t>
            </w:r>
          </w:p>
        </w:tc>
        <w:tc>
          <w:tcPr>
            <w:tcW w:w="1485" w:type="dxa"/>
            <w:vAlign w:val="bottom"/>
          </w:tcPr>
          <w:p w14:paraId="2F94D6B7"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11,89 €</w:t>
            </w:r>
          </w:p>
        </w:tc>
        <w:tc>
          <w:tcPr>
            <w:tcW w:w="1470" w:type="dxa"/>
            <w:vAlign w:val="bottom"/>
          </w:tcPr>
          <w:p w14:paraId="7BFDE406"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19,5%</w:t>
            </w:r>
          </w:p>
        </w:tc>
        <w:tc>
          <w:tcPr>
            <w:tcW w:w="1695" w:type="dxa"/>
            <w:vAlign w:val="bottom"/>
          </w:tcPr>
          <w:p w14:paraId="5621A733"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sept- 23</w:t>
            </w:r>
          </w:p>
        </w:tc>
        <w:tc>
          <w:tcPr>
            <w:tcW w:w="1245" w:type="dxa"/>
            <w:vAlign w:val="bottom"/>
          </w:tcPr>
          <w:p w14:paraId="64183474"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7,46</w:t>
            </w:r>
          </w:p>
        </w:tc>
        <w:tc>
          <w:tcPr>
            <w:tcW w:w="2040" w:type="dxa"/>
            <w:vAlign w:val="bottom"/>
          </w:tcPr>
          <w:p w14:paraId="0FA139AF" w14:textId="77777777" w:rsidR="005003D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59,3%</w:t>
            </w:r>
          </w:p>
        </w:tc>
      </w:tr>
    </w:tbl>
    <w:p w14:paraId="138FD873" w14:textId="77777777" w:rsidR="005003DF" w:rsidRDefault="005003DF">
      <w:pPr>
        <w:spacing w:line="276" w:lineRule="auto"/>
        <w:ind w:right="-433"/>
        <w:jc w:val="right"/>
        <w:rPr>
          <w:rFonts w:ascii="Open Sans Light" w:eastAsia="Open Sans Light" w:hAnsi="Open Sans Light" w:cs="Open Sans Light"/>
          <w:b/>
          <w:color w:val="303AB2"/>
        </w:rPr>
      </w:pPr>
    </w:p>
    <w:p w14:paraId="106F690E" w14:textId="77777777" w:rsidR="005003DF" w:rsidRDefault="005003DF">
      <w:pPr>
        <w:spacing w:line="276" w:lineRule="auto"/>
        <w:ind w:right="-433"/>
        <w:jc w:val="right"/>
        <w:rPr>
          <w:rFonts w:ascii="Open Sans Light" w:eastAsia="Open Sans Light" w:hAnsi="Open Sans Light" w:cs="Open Sans Light"/>
          <w:b/>
          <w:color w:val="303AB2"/>
        </w:rPr>
      </w:pPr>
    </w:p>
    <w:p w14:paraId="1D1DF72F" w14:textId="77777777" w:rsidR="005003DF" w:rsidRDefault="00000000" w:rsidP="000C6C77">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1A08949" w14:textId="77777777" w:rsidR="005003DF" w:rsidRDefault="00000000" w:rsidP="000C6C77">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w:t>
      </w:r>
      <w:r>
        <w:rPr>
          <w:rFonts w:ascii="Open Sans" w:eastAsia="Open Sans" w:hAnsi="Open Sans" w:cs="Open Sans"/>
          <w:sz w:val="22"/>
          <w:szCs w:val="22"/>
        </w:rPr>
        <w:lastRenderedPageBreak/>
        <w:t xml:space="preserve">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4" w:name="_heading=h.2s8eyo1" w:colFirst="0" w:colLast="0"/>
    <w:bookmarkEnd w:id="4"/>
    <w:p w14:paraId="26BF8CBD" w14:textId="77777777" w:rsidR="005003DF" w:rsidRDefault="00000000" w:rsidP="000C6C77">
      <w:pPr>
        <w:shd w:val="clear" w:color="auto" w:fill="FFFFFF"/>
        <w:spacing w:before="280" w:after="280" w:line="276" w:lineRule="auto"/>
        <w:jc w:val="both"/>
        <w:rPr>
          <w:rFonts w:ascii="Open Sans" w:eastAsia="Open Sans" w:hAnsi="Open Sans" w:cs="Open Sans"/>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1D86F29F" w14:textId="77777777" w:rsidR="005003DF" w:rsidRDefault="00000000" w:rsidP="000C6C77">
      <w:pPr>
        <w:shd w:val="clear" w:color="auto" w:fill="FFFFFF"/>
        <w:spacing w:before="280" w:after="280" w:line="276" w:lineRule="auto"/>
        <w:jc w:val="both"/>
        <w:rPr>
          <w:rFonts w:ascii="Open Sans" w:eastAsia="Open Sans" w:hAnsi="Open Sans" w:cs="Open Sans"/>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5D168DEF" w14:textId="77777777" w:rsidR="005003DF" w:rsidRDefault="00000000" w:rsidP="000C6C77">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54FF14D" w14:textId="77777777" w:rsidR="005003DF" w:rsidRDefault="00000000" w:rsidP="000C6C77">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6E8EAE5" w14:textId="77777777" w:rsidR="005003DF" w:rsidRDefault="00000000" w:rsidP="000C6C77">
      <w:pPr>
        <w:spacing w:before="143" w:after="200"/>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0881773" w14:textId="77777777" w:rsidR="005003DF" w:rsidRDefault="00000000" w:rsidP="000C6C77">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10 países. El conjunto de sus plataformas locales recibe un promedio de 3.000 millones de visitas cada mes. </w:t>
      </w:r>
    </w:p>
    <w:p w14:paraId="0FF882D4" w14:textId="77777777" w:rsidR="005003DF" w:rsidRDefault="00000000" w:rsidP="000C6C77">
      <w:pPr>
        <w:spacing w:line="276" w:lineRule="auto"/>
        <w:jc w:val="right"/>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4BBFAFA5" w14:textId="77777777" w:rsidR="005003DF" w:rsidRDefault="005003DF" w:rsidP="000C6C77">
      <w:pPr>
        <w:spacing w:line="276" w:lineRule="auto"/>
        <w:jc w:val="right"/>
        <w:rPr>
          <w:rFonts w:ascii="Open Sans" w:eastAsia="Open Sans" w:hAnsi="Open Sans" w:cs="Open Sans"/>
        </w:rPr>
      </w:pPr>
    </w:p>
    <w:p w14:paraId="13C2225D" w14:textId="77777777" w:rsidR="005003DF" w:rsidRDefault="00000000" w:rsidP="000C6C77">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9ACFFF6" w14:textId="77777777" w:rsidR="005003DF" w:rsidRDefault="00000000" w:rsidP="000C6C77">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CE4405C" w14:textId="77777777" w:rsidR="005003DF" w:rsidRDefault="00000000" w:rsidP="000C6C77">
      <w:pPr>
        <w:shd w:val="clear" w:color="auto" w:fill="FFFFFF"/>
        <w:spacing w:line="276" w:lineRule="auto"/>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7B85C18A" w14:textId="77777777" w:rsidR="005003DF" w:rsidRDefault="00000000" w:rsidP="000C6C77">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555ECD35" w14:textId="77777777" w:rsidR="005003DF" w:rsidRDefault="005003DF" w:rsidP="000C6C77">
      <w:pPr>
        <w:spacing w:line="276" w:lineRule="auto"/>
        <w:rPr>
          <w:rFonts w:ascii="Open Sans Light" w:eastAsia="Open Sans Light" w:hAnsi="Open Sans Light" w:cs="Open Sans Light"/>
          <w:b/>
          <w:color w:val="303AB2"/>
          <w:sz w:val="22"/>
          <w:szCs w:val="22"/>
        </w:rPr>
      </w:pPr>
    </w:p>
    <w:p w14:paraId="30F350AF" w14:textId="77777777" w:rsidR="005003DF" w:rsidRDefault="00000000" w:rsidP="000C6C77">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16B08AB" w14:textId="77777777" w:rsidR="005003DF" w:rsidRDefault="00000000" w:rsidP="000C6C77">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238395A" w14:textId="77777777" w:rsidR="005003DF" w:rsidRPr="005D06E3" w:rsidRDefault="00000000" w:rsidP="000C6C77">
      <w:pPr>
        <w:shd w:val="clear" w:color="auto" w:fill="FFFFFF"/>
        <w:spacing w:line="276" w:lineRule="auto"/>
        <w:rPr>
          <w:rFonts w:ascii="Open Sans" w:eastAsia="Open Sans" w:hAnsi="Open Sans" w:cs="Open Sans"/>
          <w:color w:val="0000FF"/>
          <w:sz w:val="22"/>
          <w:szCs w:val="22"/>
          <w:u w:val="single"/>
          <w:lang w:val="en-US"/>
        </w:rPr>
      </w:pPr>
      <w:hyperlink r:id="rId27">
        <w:r w:rsidRPr="005D06E3">
          <w:rPr>
            <w:rFonts w:ascii="Open Sans" w:eastAsia="Open Sans" w:hAnsi="Open Sans" w:cs="Open Sans"/>
            <w:color w:val="0000FF"/>
            <w:sz w:val="22"/>
            <w:szCs w:val="22"/>
            <w:u w:val="single"/>
            <w:lang w:val="en-US"/>
          </w:rPr>
          <w:t>rtorne@llorenteycuenca.com</w:t>
        </w:r>
      </w:hyperlink>
      <w:r w:rsidRPr="005D06E3">
        <w:rPr>
          <w:rFonts w:ascii="Open Sans" w:eastAsia="Open Sans" w:hAnsi="Open Sans" w:cs="Open Sans"/>
          <w:color w:val="0000FF"/>
          <w:sz w:val="22"/>
          <w:szCs w:val="22"/>
          <w:lang w:val="en-US"/>
        </w:rPr>
        <w:tab/>
      </w:r>
      <w:r w:rsidRPr="005D06E3">
        <w:rPr>
          <w:rFonts w:ascii="Open Sans" w:eastAsia="Open Sans" w:hAnsi="Open Sans" w:cs="Open Sans"/>
          <w:color w:val="0000FF"/>
          <w:sz w:val="22"/>
          <w:szCs w:val="22"/>
          <w:lang w:val="en-US"/>
        </w:rPr>
        <w:tab/>
      </w:r>
      <w:r w:rsidRPr="005D06E3">
        <w:rPr>
          <w:rFonts w:ascii="Open Sans" w:eastAsia="Open Sans" w:hAnsi="Open Sans" w:cs="Open Sans"/>
          <w:color w:val="0000FF"/>
          <w:sz w:val="22"/>
          <w:szCs w:val="22"/>
          <w:lang w:val="en-US"/>
        </w:rPr>
        <w:tab/>
      </w:r>
    </w:p>
    <w:p w14:paraId="41FCF223" w14:textId="77777777" w:rsidR="005003DF" w:rsidRPr="005D06E3" w:rsidRDefault="00000000" w:rsidP="000C6C77">
      <w:pPr>
        <w:shd w:val="clear" w:color="auto" w:fill="FFFFFF"/>
        <w:spacing w:line="276" w:lineRule="auto"/>
        <w:rPr>
          <w:rFonts w:ascii="Open Sans" w:eastAsia="Open Sans" w:hAnsi="Open Sans" w:cs="Open Sans"/>
          <w:color w:val="000000"/>
          <w:sz w:val="22"/>
          <w:szCs w:val="22"/>
          <w:lang w:val="en-US"/>
        </w:rPr>
      </w:pPr>
      <w:r w:rsidRPr="005D06E3">
        <w:rPr>
          <w:rFonts w:ascii="Open Sans" w:eastAsia="Open Sans" w:hAnsi="Open Sans" w:cs="Open Sans"/>
          <w:color w:val="000000"/>
          <w:sz w:val="22"/>
          <w:szCs w:val="22"/>
          <w:lang w:val="en-US"/>
        </w:rPr>
        <w:t xml:space="preserve">638 68 19 85      </w:t>
      </w:r>
      <w:r w:rsidRPr="005D06E3">
        <w:rPr>
          <w:rFonts w:ascii="Open Sans" w:eastAsia="Open Sans" w:hAnsi="Open Sans" w:cs="Open Sans"/>
          <w:color w:val="000000"/>
          <w:sz w:val="22"/>
          <w:szCs w:val="22"/>
          <w:lang w:val="en-US"/>
        </w:rPr>
        <w:tab/>
      </w:r>
      <w:r w:rsidRPr="005D06E3">
        <w:rPr>
          <w:rFonts w:ascii="Open Sans" w:eastAsia="Open Sans" w:hAnsi="Open Sans" w:cs="Open Sans"/>
          <w:color w:val="000000"/>
          <w:sz w:val="22"/>
          <w:szCs w:val="22"/>
          <w:lang w:val="en-US"/>
        </w:rPr>
        <w:tab/>
      </w:r>
      <w:r w:rsidRPr="005D06E3">
        <w:rPr>
          <w:rFonts w:ascii="Open Sans" w:eastAsia="Open Sans" w:hAnsi="Open Sans" w:cs="Open Sans"/>
          <w:color w:val="000000"/>
          <w:sz w:val="22"/>
          <w:szCs w:val="22"/>
          <w:lang w:val="en-US"/>
        </w:rPr>
        <w:tab/>
      </w:r>
      <w:r w:rsidRPr="005D06E3">
        <w:rPr>
          <w:rFonts w:ascii="Open Sans" w:eastAsia="Open Sans" w:hAnsi="Open Sans" w:cs="Open Sans"/>
          <w:color w:val="000000"/>
          <w:sz w:val="22"/>
          <w:szCs w:val="22"/>
          <w:lang w:val="en-US"/>
        </w:rPr>
        <w:tab/>
      </w:r>
      <w:r w:rsidRPr="005D06E3">
        <w:rPr>
          <w:rFonts w:ascii="Open Sans" w:eastAsia="Open Sans" w:hAnsi="Open Sans" w:cs="Open Sans"/>
          <w:color w:val="000000"/>
          <w:sz w:val="22"/>
          <w:szCs w:val="22"/>
          <w:lang w:val="en-US"/>
        </w:rPr>
        <w:tab/>
      </w:r>
      <w:r w:rsidRPr="005D06E3">
        <w:rPr>
          <w:rFonts w:ascii="Open Sans" w:eastAsia="Open Sans" w:hAnsi="Open Sans" w:cs="Open Sans"/>
          <w:color w:val="000000"/>
          <w:sz w:val="22"/>
          <w:szCs w:val="22"/>
          <w:lang w:val="en-US"/>
        </w:rPr>
        <w:tab/>
      </w:r>
      <w:r w:rsidRPr="005D06E3">
        <w:rPr>
          <w:rFonts w:ascii="Open Sans" w:eastAsia="Open Sans" w:hAnsi="Open Sans" w:cs="Open Sans"/>
          <w:color w:val="000000"/>
          <w:sz w:val="22"/>
          <w:szCs w:val="22"/>
          <w:lang w:val="en-US"/>
        </w:rPr>
        <w:tab/>
      </w:r>
    </w:p>
    <w:p w14:paraId="1FE1EFC9" w14:textId="77777777" w:rsidR="005003DF" w:rsidRPr="005D06E3" w:rsidRDefault="00000000" w:rsidP="000C6C77">
      <w:pPr>
        <w:shd w:val="clear" w:color="auto" w:fill="FFFFFF"/>
        <w:rPr>
          <w:rFonts w:ascii="Arial" w:eastAsia="Arial" w:hAnsi="Arial" w:cs="Arial"/>
          <w:color w:val="222222"/>
          <w:sz w:val="22"/>
          <w:szCs w:val="22"/>
          <w:lang w:val="en-US"/>
        </w:rPr>
      </w:pPr>
      <w:r w:rsidRPr="005D06E3">
        <w:rPr>
          <w:rFonts w:ascii="Arial" w:eastAsia="Arial" w:hAnsi="Arial" w:cs="Arial"/>
          <w:color w:val="222222"/>
          <w:sz w:val="22"/>
          <w:szCs w:val="22"/>
          <w:lang w:val="en-US"/>
        </w:rPr>
        <w:tab/>
      </w:r>
      <w:r w:rsidRPr="005D06E3">
        <w:rPr>
          <w:rFonts w:ascii="Arial" w:eastAsia="Arial" w:hAnsi="Arial" w:cs="Arial"/>
          <w:color w:val="222222"/>
          <w:sz w:val="22"/>
          <w:szCs w:val="22"/>
          <w:lang w:val="en-US"/>
        </w:rPr>
        <w:tab/>
      </w:r>
      <w:r w:rsidRPr="005D06E3">
        <w:rPr>
          <w:rFonts w:ascii="Arial" w:eastAsia="Arial" w:hAnsi="Arial" w:cs="Arial"/>
          <w:color w:val="222222"/>
          <w:sz w:val="22"/>
          <w:szCs w:val="22"/>
          <w:lang w:val="en-US"/>
        </w:rPr>
        <w:tab/>
      </w:r>
      <w:r w:rsidRPr="005D06E3">
        <w:rPr>
          <w:rFonts w:ascii="Arial" w:eastAsia="Arial" w:hAnsi="Arial" w:cs="Arial"/>
          <w:color w:val="222222"/>
          <w:sz w:val="22"/>
          <w:szCs w:val="22"/>
          <w:lang w:val="en-US"/>
        </w:rPr>
        <w:tab/>
      </w:r>
      <w:r w:rsidRPr="005D06E3">
        <w:rPr>
          <w:rFonts w:ascii="Arial" w:eastAsia="Arial" w:hAnsi="Arial" w:cs="Arial"/>
          <w:color w:val="222222"/>
          <w:sz w:val="22"/>
          <w:szCs w:val="22"/>
          <w:lang w:val="en-US"/>
        </w:rPr>
        <w:tab/>
      </w:r>
      <w:r w:rsidRPr="005D06E3">
        <w:rPr>
          <w:rFonts w:ascii="Arial" w:eastAsia="Arial" w:hAnsi="Arial" w:cs="Arial"/>
          <w:color w:val="222222"/>
          <w:sz w:val="22"/>
          <w:szCs w:val="22"/>
          <w:lang w:val="en-US"/>
        </w:rPr>
        <w:tab/>
      </w:r>
      <w:r w:rsidRPr="005D06E3">
        <w:rPr>
          <w:rFonts w:ascii="Arial" w:eastAsia="Arial" w:hAnsi="Arial" w:cs="Arial"/>
          <w:color w:val="222222"/>
          <w:sz w:val="22"/>
          <w:szCs w:val="22"/>
          <w:lang w:val="en-US"/>
        </w:rPr>
        <w:tab/>
        <w:t xml:space="preserve">     </w:t>
      </w:r>
    </w:p>
    <w:p w14:paraId="39B8ACB0" w14:textId="77777777" w:rsidR="005003DF" w:rsidRPr="005D06E3" w:rsidRDefault="00000000" w:rsidP="000C6C77">
      <w:pPr>
        <w:shd w:val="clear" w:color="auto" w:fill="FFFFFF"/>
        <w:rPr>
          <w:rFonts w:ascii="Open Sans" w:eastAsia="Open Sans" w:hAnsi="Open Sans" w:cs="Open Sans"/>
          <w:b/>
          <w:color w:val="000000"/>
          <w:sz w:val="22"/>
          <w:szCs w:val="22"/>
          <w:lang w:val="en-US"/>
        </w:rPr>
      </w:pPr>
      <w:r w:rsidRPr="005D06E3">
        <w:rPr>
          <w:rFonts w:ascii="Open Sans" w:eastAsia="Open Sans" w:hAnsi="Open Sans" w:cs="Open Sans"/>
          <w:b/>
          <w:color w:val="000000"/>
          <w:sz w:val="22"/>
          <w:szCs w:val="22"/>
          <w:lang w:val="en-US"/>
        </w:rPr>
        <w:t>Fanny Merino</w:t>
      </w:r>
    </w:p>
    <w:p w14:paraId="7CC5BE64" w14:textId="77777777" w:rsidR="005003DF" w:rsidRPr="005D06E3" w:rsidRDefault="00000000" w:rsidP="000C6C77">
      <w:pPr>
        <w:shd w:val="clear" w:color="auto" w:fill="FFFFFF"/>
        <w:rPr>
          <w:rFonts w:ascii="Open Sans" w:eastAsia="Open Sans" w:hAnsi="Open Sans" w:cs="Open Sans"/>
          <w:b/>
          <w:color w:val="000000"/>
          <w:sz w:val="22"/>
          <w:szCs w:val="22"/>
          <w:lang w:val="en-US"/>
        </w:rPr>
      </w:pPr>
      <w:hyperlink r:id="rId28">
        <w:r w:rsidRPr="005D06E3">
          <w:rPr>
            <w:rFonts w:ascii="Open Sans" w:eastAsia="Open Sans" w:hAnsi="Open Sans" w:cs="Open Sans"/>
            <w:color w:val="0000FF"/>
            <w:sz w:val="22"/>
            <w:szCs w:val="22"/>
            <w:u w:val="single"/>
            <w:lang w:val="en-US"/>
          </w:rPr>
          <w:t>emerino@llorenteycuenca.com</w:t>
        </w:r>
      </w:hyperlink>
      <w:r w:rsidRPr="005D06E3">
        <w:rPr>
          <w:rFonts w:ascii="Open Sans" w:eastAsia="Open Sans" w:hAnsi="Open Sans" w:cs="Open Sans"/>
          <w:color w:val="0000FF"/>
          <w:sz w:val="22"/>
          <w:szCs w:val="22"/>
          <w:lang w:val="en-US"/>
        </w:rPr>
        <w:tab/>
      </w:r>
      <w:r w:rsidRPr="005D06E3">
        <w:rPr>
          <w:rFonts w:ascii="Open Sans" w:eastAsia="Open Sans" w:hAnsi="Open Sans" w:cs="Open Sans"/>
          <w:color w:val="0000FF"/>
          <w:sz w:val="22"/>
          <w:szCs w:val="22"/>
          <w:lang w:val="en-US"/>
        </w:rPr>
        <w:tab/>
      </w:r>
    </w:p>
    <w:p w14:paraId="4925F618" w14:textId="77777777" w:rsidR="005003DF" w:rsidRPr="005D06E3" w:rsidRDefault="00000000" w:rsidP="000C6C77">
      <w:pPr>
        <w:shd w:val="clear" w:color="auto" w:fill="FFFFFF"/>
        <w:rPr>
          <w:rFonts w:ascii="Open Sans" w:eastAsia="Open Sans" w:hAnsi="Open Sans" w:cs="Open Sans"/>
          <w:color w:val="000000"/>
          <w:sz w:val="22"/>
          <w:szCs w:val="22"/>
          <w:lang w:val="en-US"/>
        </w:rPr>
      </w:pPr>
      <w:r w:rsidRPr="005D06E3">
        <w:rPr>
          <w:rFonts w:ascii="Open Sans" w:eastAsia="Open Sans" w:hAnsi="Open Sans" w:cs="Open Sans"/>
          <w:color w:val="000000"/>
          <w:sz w:val="22"/>
          <w:szCs w:val="22"/>
          <w:lang w:val="en-US"/>
        </w:rPr>
        <w:t>663 35 69 75 </w:t>
      </w:r>
    </w:p>
    <w:p w14:paraId="505EC29F" w14:textId="77777777" w:rsidR="005003DF" w:rsidRPr="005D06E3" w:rsidRDefault="005003DF" w:rsidP="000C6C77">
      <w:pPr>
        <w:shd w:val="clear" w:color="auto" w:fill="FFFFFF"/>
        <w:rPr>
          <w:rFonts w:ascii="Open Sans" w:eastAsia="Open Sans" w:hAnsi="Open Sans" w:cs="Open Sans"/>
          <w:color w:val="000000"/>
          <w:sz w:val="22"/>
          <w:szCs w:val="22"/>
          <w:lang w:val="en-US"/>
        </w:rPr>
      </w:pPr>
    </w:p>
    <w:p w14:paraId="5429A1CF" w14:textId="77777777" w:rsidR="005003DF" w:rsidRDefault="005003DF" w:rsidP="00ED0D34">
      <w:pPr>
        <w:spacing w:line="276" w:lineRule="auto"/>
        <w:jc w:val="center"/>
        <w:rPr>
          <w:rFonts w:ascii="Open Sans" w:eastAsia="Open Sans" w:hAnsi="Open Sans" w:cs="Open Sans"/>
          <w:color w:val="000000"/>
          <w:sz w:val="21"/>
          <w:szCs w:val="21"/>
        </w:rPr>
      </w:pPr>
    </w:p>
    <w:sectPr w:rsidR="005003DF">
      <w:footerReference w:type="default" r:id="rId29"/>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5DDE" w14:textId="77777777" w:rsidR="008A0F3E" w:rsidRDefault="008A0F3E">
      <w:r>
        <w:separator/>
      </w:r>
    </w:p>
  </w:endnote>
  <w:endnote w:type="continuationSeparator" w:id="0">
    <w:p w14:paraId="45C377F8" w14:textId="77777777" w:rsidR="008A0F3E" w:rsidRDefault="008A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D056" w14:textId="77777777" w:rsidR="005003D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0BE2CE1" wp14:editId="1ACC6C63">
          <wp:simplePos x="0" y="0"/>
          <wp:positionH relativeFrom="column">
            <wp:posOffset>-1068067</wp:posOffset>
          </wp:positionH>
          <wp:positionV relativeFrom="paragraph">
            <wp:posOffset>174608</wp:posOffset>
          </wp:positionV>
          <wp:extent cx="7670550" cy="45131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01BA" w14:textId="77777777" w:rsidR="008A0F3E" w:rsidRDefault="008A0F3E">
      <w:r>
        <w:separator/>
      </w:r>
    </w:p>
  </w:footnote>
  <w:footnote w:type="continuationSeparator" w:id="0">
    <w:p w14:paraId="5E109C7B" w14:textId="77777777" w:rsidR="008A0F3E" w:rsidRDefault="008A0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D35BC"/>
    <w:multiLevelType w:val="multilevel"/>
    <w:tmpl w:val="38300BCC"/>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750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DF"/>
    <w:rsid w:val="000C6C77"/>
    <w:rsid w:val="00484379"/>
    <w:rsid w:val="005003DF"/>
    <w:rsid w:val="005D06E3"/>
    <w:rsid w:val="008A0F3E"/>
    <w:rsid w:val="0099100B"/>
    <w:rsid w:val="00ED0D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C804"/>
  <w15:docId w15:val="{E195B1BB-635F-4749-947A-9A5851BC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precio-vivienda" TargetMode="External"/><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www.fotocasa.e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2.png"/><Relationship Id="rId19" Type="http://schemas.openxmlformats.org/officeDocument/2006/relationships/hyperlink" Target="https://www.fotocasa.es/es/quienes-som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i1SxA0lLYlVEXJaMLWgyHIYEZA==">CgMxLjAyDmguc3EyeGEzMzY5czRkMghoLmdqZGd4czIIaC5namRneHMyDmguNHhkNHZieHluYXZsMg5oLjcwZHdnbHNkaTgyNzIIaC5namRneHMyCGguZ2pkZ3hzMgloLjJzOGV5bzE4AHIhMXJDQkxDTVBrSDctaVZzNWFwMUstaVZFUlB6MVpoaWU1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1506</Words>
  <Characters>8285</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7</cp:revision>
  <cp:lastPrinted>2023-10-18T07:26:00Z</cp:lastPrinted>
  <dcterms:created xsi:type="dcterms:W3CDTF">2023-10-18T07:25:00Z</dcterms:created>
  <dcterms:modified xsi:type="dcterms:W3CDTF">2023-10-18T08:20:00Z</dcterms:modified>
</cp:coreProperties>
</file>