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F1C20" w:rsidRPr="00297100" w:rsidRDefault="00000000">
      <w:pPr>
        <w:spacing w:line="276" w:lineRule="auto"/>
        <w:ind w:right="-574"/>
        <w:jc w:val="center"/>
        <w:rPr>
          <w:rFonts w:ascii="National" w:eastAsia="National" w:hAnsi="National" w:cs="National"/>
          <w:b/>
          <w:color w:val="1DBDC5"/>
          <w:sz w:val="28"/>
          <w:szCs w:val="28"/>
        </w:rPr>
      </w:pPr>
      <w:r w:rsidRPr="00297100">
        <w:rPr>
          <w:rFonts w:ascii="National" w:eastAsia="National" w:hAnsi="National" w:cs="National"/>
          <w:b/>
          <w:color w:val="1DBDC5"/>
          <w:sz w:val="28"/>
          <w:szCs w:val="28"/>
        </w:rPr>
        <w:t>PERFIL DEL HIPOTECADO ESPAÑOL EN EL PRIMER SEMESTRE DE 2023</w:t>
      </w:r>
    </w:p>
    <w:p w14:paraId="00000002" w14:textId="77777777" w:rsidR="009F1C20" w:rsidRDefault="00000000">
      <w:pPr>
        <w:shd w:val="clear" w:color="auto" w:fill="FFFFFF"/>
        <w:ind w:right="-574"/>
        <w:jc w:val="center"/>
        <w:rPr>
          <w:rFonts w:ascii="National" w:eastAsia="National" w:hAnsi="National" w:cs="National"/>
          <w:b/>
          <w:color w:val="303AB2"/>
          <w:sz w:val="48"/>
          <w:szCs w:val="48"/>
        </w:rPr>
      </w:pPr>
      <w:r>
        <w:rPr>
          <w:rFonts w:ascii="National" w:eastAsia="National" w:hAnsi="National" w:cs="National"/>
          <w:b/>
          <w:color w:val="303AB2"/>
          <w:sz w:val="48"/>
          <w:szCs w:val="48"/>
        </w:rPr>
        <w:t>Se incrementa el porcentaje de compradores que no necesita hipoteca: el 32% de los españoles compra sin financiación</w:t>
      </w:r>
    </w:p>
    <w:p w14:paraId="00000003" w14:textId="77777777" w:rsidR="009F1C20" w:rsidRDefault="009F1C20">
      <w:pPr>
        <w:spacing w:line="276" w:lineRule="auto"/>
        <w:ind w:right="-574"/>
        <w:rPr>
          <w:rFonts w:ascii="Open Sans" w:eastAsia="Open Sans" w:hAnsi="Open Sans" w:cs="Open Sans"/>
          <w:sz w:val="22"/>
          <w:szCs w:val="22"/>
          <w:highlight w:val="yellow"/>
        </w:rPr>
      </w:pPr>
    </w:p>
    <w:p w14:paraId="00000004" w14:textId="77777777" w:rsidR="009F1C20"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En un año se han incrementado en cinco puntos porcentuales los españoles que no necesitan financiación para comprar: pasan del 27% en 2022 al 32% en 2023</w:t>
      </w:r>
    </w:p>
    <w:p w14:paraId="00000005" w14:textId="77777777" w:rsidR="009F1C20"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Un 18% de quien no necesitó hipoteca se valió de sus propios ahorros, un 8% tuvo ayuda familiar y un 6% pudo comprar gracias a la venta de su vivienda</w:t>
      </w:r>
    </w:p>
    <w:p w14:paraId="00000006" w14:textId="77777777" w:rsidR="009F1C20"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Aumenta el volumen de españoles que puede pagar la vivienda gracias a sus ahorros: del 15% en 2022 al 18% en 2023</w:t>
      </w:r>
    </w:p>
    <w:p w14:paraId="00000007" w14:textId="18FF2D0E" w:rsidR="009F1C20" w:rsidRPr="0099590E" w:rsidRDefault="0099590E">
      <w:pPr>
        <w:numPr>
          <w:ilvl w:val="0"/>
          <w:numId w:val="1"/>
        </w:numPr>
        <w:pBdr>
          <w:top w:val="nil"/>
          <w:left w:val="nil"/>
          <w:bottom w:val="nil"/>
          <w:right w:val="nil"/>
          <w:between w:val="nil"/>
        </w:pBdr>
        <w:spacing w:line="276" w:lineRule="auto"/>
        <w:ind w:right="-574"/>
        <w:jc w:val="both"/>
        <w:rPr>
          <w:rFonts w:ascii="Open Sans" w:eastAsia="Open Sans" w:hAnsi="Open Sans" w:cs="Open Sans"/>
          <w:b/>
          <w:sz w:val="22"/>
          <w:szCs w:val="22"/>
        </w:rPr>
      </w:pPr>
      <w:hyperlink r:id="rId8" w:history="1">
        <w:r w:rsidR="00000000" w:rsidRPr="0099590E">
          <w:rPr>
            <w:rStyle w:val="Hipervnculo"/>
            <w:rFonts w:ascii="Open Sans" w:eastAsia="Open Sans" w:hAnsi="Open Sans" w:cs="Open Sans"/>
            <w:b/>
            <w:sz w:val="22"/>
            <w:szCs w:val="22"/>
          </w:rPr>
          <w:t>Aquí se puede ver un vídeo con las declaraciones de la directora de Estudios</w:t>
        </w:r>
      </w:hyperlink>
    </w:p>
    <w:p w14:paraId="00000008" w14:textId="77777777" w:rsidR="009F1C20" w:rsidRDefault="009F1C20">
      <w:pPr>
        <w:pBdr>
          <w:top w:val="nil"/>
          <w:left w:val="nil"/>
          <w:bottom w:val="nil"/>
          <w:right w:val="nil"/>
          <w:between w:val="nil"/>
        </w:pBdr>
        <w:spacing w:line="276" w:lineRule="auto"/>
        <w:ind w:right="-574"/>
        <w:jc w:val="both"/>
        <w:rPr>
          <w:rFonts w:ascii="Open Sans" w:eastAsia="Open Sans" w:hAnsi="Open Sans" w:cs="Open Sans"/>
          <w:color w:val="FF0000"/>
          <w:sz w:val="22"/>
          <w:szCs w:val="22"/>
        </w:rPr>
      </w:pPr>
    </w:p>
    <w:p w14:paraId="00000009" w14:textId="4089AE67" w:rsidR="009F1C20" w:rsidRDefault="00000000">
      <w:pPr>
        <w:spacing w:line="276" w:lineRule="auto"/>
        <w:ind w:right="-574"/>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99590E">
        <w:rPr>
          <w:rFonts w:ascii="Open Sans Light" w:eastAsia="Open Sans Light" w:hAnsi="Open Sans Light" w:cs="Open Sans Light"/>
          <w:b/>
          <w:color w:val="303AB2"/>
        </w:rPr>
        <w:t>16</w:t>
      </w:r>
      <w:r>
        <w:rPr>
          <w:rFonts w:ascii="Open Sans Light" w:eastAsia="Open Sans Light" w:hAnsi="Open Sans Light" w:cs="Open Sans Light"/>
          <w:b/>
          <w:color w:val="303AB2"/>
        </w:rPr>
        <w:t xml:space="preserve"> de octubre de 2023</w:t>
      </w:r>
    </w:p>
    <w:p w14:paraId="0000000A" w14:textId="77777777" w:rsidR="009F1C20" w:rsidRDefault="009F1C20">
      <w:pPr>
        <w:spacing w:line="276" w:lineRule="auto"/>
        <w:ind w:right="-574"/>
        <w:jc w:val="both"/>
        <w:rPr>
          <w:rFonts w:ascii="Open Sans" w:eastAsia="Open Sans" w:hAnsi="Open Sans" w:cs="Open Sans"/>
          <w:color w:val="000000"/>
          <w:sz w:val="22"/>
          <w:szCs w:val="22"/>
        </w:rPr>
      </w:pPr>
    </w:p>
    <w:p w14:paraId="0000000B" w14:textId="2A5644A3" w:rsidR="009F1C20"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el pr</w:t>
      </w:r>
      <w:r>
        <w:rPr>
          <w:rFonts w:ascii="Open Sans" w:eastAsia="Open Sans" w:hAnsi="Open Sans" w:cs="Open Sans"/>
          <w:sz w:val="22"/>
          <w:szCs w:val="22"/>
        </w:rPr>
        <w:t xml:space="preserve">imer semestre de </w:t>
      </w:r>
      <w:r>
        <w:rPr>
          <w:rFonts w:ascii="Open Sans" w:eastAsia="Open Sans" w:hAnsi="Open Sans" w:cs="Open Sans"/>
          <w:color w:val="000000"/>
          <w:sz w:val="22"/>
          <w:szCs w:val="22"/>
        </w:rPr>
        <w:t xml:space="preserve">2023, el mercado de compra de vivienda está registrando un leve descenso de actividad, ya que el porcentaje de particulares que compró o trató de comprar durante el último año descendió del 16% registrado el año anterior, al 14% actual. Si tomamos únicamente a aquellos que realmente culminaron su propósito y adquirieron un inmueble el porcentaje se sitúa en el 4% de los españoles. De esos compradores efectivos, el 32% no tuvo necesidad de recurrir a una hipoteca. Cabe destacar que </w:t>
      </w:r>
      <w:r>
        <w:rPr>
          <w:rFonts w:ascii="Open Sans" w:eastAsia="Open Sans" w:hAnsi="Open Sans" w:cs="Open Sans"/>
          <w:b/>
          <w:color w:val="000000"/>
          <w:sz w:val="22"/>
          <w:szCs w:val="22"/>
        </w:rPr>
        <w:t>esta cifra es cinco puntos más alta que la registrada en 2022</w:t>
      </w:r>
      <w:r>
        <w:rPr>
          <w:rFonts w:ascii="Open Sans" w:eastAsia="Open Sans" w:hAnsi="Open Sans" w:cs="Open Sans"/>
          <w:color w:val="000000"/>
          <w:sz w:val="22"/>
          <w:szCs w:val="22"/>
        </w:rPr>
        <w:t xml:space="preserve">, cuando era del 27%. Esta es una de las principales conclusiones del informe </w:t>
      </w:r>
      <w:r w:rsidR="00297100">
        <w:rPr>
          <w:rFonts w:ascii="Open Sans" w:eastAsia="Open Sans" w:hAnsi="Open Sans" w:cs="Open Sans"/>
          <w:color w:val="000000"/>
          <w:sz w:val="22"/>
          <w:szCs w:val="22"/>
        </w:rPr>
        <w:t>“</w:t>
      </w:r>
      <w:r w:rsidRPr="0099590E">
        <w:rPr>
          <w:rFonts w:ascii="Open Sans" w:eastAsia="Open Sans" w:hAnsi="Open Sans" w:cs="Open Sans"/>
          <w:b/>
          <w:bCs/>
          <w:i/>
          <w:color w:val="000000"/>
          <w:sz w:val="22"/>
          <w:szCs w:val="22"/>
        </w:rPr>
        <w:t xml:space="preserve">Perfil del hipotecado español en </w:t>
      </w:r>
      <w:r w:rsidRPr="0099590E">
        <w:rPr>
          <w:rFonts w:ascii="Open Sans" w:eastAsia="Open Sans" w:hAnsi="Open Sans" w:cs="Open Sans"/>
          <w:b/>
          <w:bCs/>
          <w:i/>
          <w:sz w:val="22"/>
          <w:szCs w:val="22"/>
        </w:rPr>
        <w:t>el primer semestre de</w:t>
      </w:r>
      <w:r w:rsidRPr="0099590E">
        <w:rPr>
          <w:rFonts w:ascii="Open Sans" w:eastAsia="Open Sans" w:hAnsi="Open Sans" w:cs="Open Sans"/>
          <w:b/>
          <w:bCs/>
          <w:i/>
          <w:color w:val="000000"/>
          <w:sz w:val="22"/>
          <w:szCs w:val="22"/>
        </w:rPr>
        <w:t xml:space="preserve"> 2023</w:t>
      </w:r>
      <w:r>
        <w:rPr>
          <w:rFonts w:ascii="Open Sans" w:eastAsia="Open Sans" w:hAnsi="Open Sans" w:cs="Open Sans"/>
          <w:color w:val="000000"/>
          <w:sz w:val="22"/>
          <w:szCs w:val="22"/>
        </w:rPr>
        <w:t xml:space="preserve">”, realizado por el portal inmobiliario </w:t>
      </w:r>
      <w:hyperlink r:id="rId9">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w:t>
      </w:r>
    </w:p>
    <w:p w14:paraId="0000000C" w14:textId="77777777" w:rsidR="009F1C20" w:rsidRDefault="009F1C20">
      <w:pPr>
        <w:spacing w:line="276" w:lineRule="auto"/>
        <w:ind w:right="-574"/>
        <w:jc w:val="both"/>
        <w:rPr>
          <w:rFonts w:ascii="Open Sans" w:eastAsia="Open Sans" w:hAnsi="Open Sans" w:cs="Open Sans"/>
          <w:color w:val="000000"/>
          <w:sz w:val="22"/>
          <w:szCs w:val="22"/>
        </w:rPr>
      </w:pPr>
    </w:p>
    <w:p w14:paraId="0000000D" w14:textId="77777777" w:rsidR="009F1C20"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Si se desgrana este 32% de españoles que no necesita hipoteca se ve que un </w:t>
      </w:r>
      <w:r>
        <w:rPr>
          <w:rFonts w:ascii="Open Sans" w:eastAsia="Open Sans" w:hAnsi="Open Sans" w:cs="Open Sans"/>
          <w:b/>
          <w:color w:val="000000"/>
          <w:sz w:val="22"/>
          <w:szCs w:val="22"/>
        </w:rPr>
        <w:t>18% se valió de sus propios ahorros, un 8% resolvió la compra de la vivienda con ayuda de familiares y el 6% afrontó la compra gracias a la venta de una antigua vivienda</w:t>
      </w:r>
      <w:r>
        <w:rPr>
          <w:rFonts w:ascii="Open Sans" w:eastAsia="Open Sans" w:hAnsi="Open Sans" w:cs="Open Sans"/>
          <w:color w:val="000000"/>
          <w:sz w:val="22"/>
          <w:szCs w:val="22"/>
        </w:rPr>
        <w:t xml:space="preserve">. </w:t>
      </w:r>
    </w:p>
    <w:p w14:paraId="0000000E" w14:textId="77777777" w:rsidR="009F1C20" w:rsidRDefault="009F1C20">
      <w:pPr>
        <w:spacing w:line="276" w:lineRule="auto"/>
        <w:ind w:right="-574"/>
        <w:jc w:val="both"/>
        <w:rPr>
          <w:rFonts w:ascii="Open Sans" w:eastAsia="Open Sans" w:hAnsi="Open Sans" w:cs="Open Sans"/>
          <w:sz w:val="22"/>
          <w:szCs w:val="22"/>
        </w:rPr>
      </w:pPr>
    </w:p>
    <w:p w14:paraId="0000000F" w14:textId="77777777" w:rsidR="009F1C20"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“Como consecuencia de la elevación de los tipos de interés, el coste de los préstamos hipotecarios aumenta y los requisitos para acceder a ellos se endurecen, por lo que el comprador que se hipoteca también varía. El mercado hipotecario expulsa a las rentas más bajas y vulnerables y solo deja opción a los perfiles más solventes y con menos debilidades frente a la nueva política monetaria más restrictiva de la eurozona. De esta </w:t>
      </w:r>
      <w:r>
        <w:rPr>
          <w:rFonts w:ascii="Open Sans" w:eastAsia="Open Sans" w:hAnsi="Open Sans" w:cs="Open Sans"/>
          <w:sz w:val="22"/>
          <w:szCs w:val="22"/>
        </w:rPr>
        <w:lastRenderedPageBreak/>
        <w:t xml:space="preserve">forma, los ciudadanos están buscando otras fórmulas de acceso a la vivienda en compra, sin pasar por las entidades financieras, ya que un volumen importante ha dejado de considerar atractivas las ofertas financieras, en comparación con las de hace un año”, explica María Matos, directora de Estudios y portavoz de </w:t>
      </w:r>
      <w:hyperlink r:id="rId10">
        <w:r>
          <w:rPr>
            <w:rFonts w:ascii="Open Sans" w:eastAsia="Open Sans" w:hAnsi="Open Sans" w:cs="Open Sans"/>
            <w:color w:val="1155CC"/>
            <w:sz w:val="22"/>
            <w:szCs w:val="22"/>
            <w:u w:val="single"/>
          </w:rPr>
          <w:t>Fotocasa</w:t>
        </w:r>
      </w:hyperlink>
      <w:r>
        <w:rPr>
          <w:rFonts w:ascii="Open Sans" w:eastAsia="Open Sans" w:hAnsi="Open Sans" w:cs="Open Sans"/>
          <w:sz w:val="22"/>
          <w:szCs w:val="22"/>
        </w:rPr>
        <w:t>.</w:t>
      </w:r>
    </w:p>
    <w:p w14:paraId="66C4258A" w14:textId="77777777" w:rsidR="0099590E" w:rsidRDefault="0099590E">
      <w:pPr>
        <w:spacing w:line="276" w:lineRule="auto"/>
        <w:ind w:right="-574"/>
        <w:jc w:val="both"/>
        <w:rPr>
          <w:rFonts w:ascii="Open Sans" w:eastAsia="Open Sans" w:hAnsi="Open Sans" w:cs="Open Sans"/>
          <w:sz w:val="22"/>
          <w:szCs w:val="22"/>
        </w:rPr>
      </w:pPr>
    </w:p>
    <w:p w14:paraId="0D17DEF9" w14:textId="5906428D" w:rsidR="0099590E" w:rsidRPr="0099590E" w:rsidRDefault="0099590E" w:rsidP="0099590E">
      <w:pPr>
        <w:spacing w:line="276" w:lineRule="auto"/>
        <w:ind w:right="-574"/>
        <w:jc w:val="center"/>
        <w:rPr>
          <w:rFonts w:ascii="Open Sans" w:eastAsia="Open Sans" w:hAnsi="Open Sans" w:cs="Open Sans"/>
          <w:b/>
          <w:bCs/>
          <w:sz w:val="22"/>
          <w:szCs w:val="22"/>
        </w:rPr>
      </w:pPr>
      <w:hyperlink r:id="rId11" w:history="1">
        <w:r w:rsidRPr="0099590E">
          <w:rPr>
            <w:rStyle w:val="Hipervnculo"/>
            <w:rFonts w:ascii="Open Sans" w:eastAsia="Open Sans" w:hAnsi="Open Sans" w:cs="Open Sans"/>
            <w:b/>
            <w:bCs/>
            <w:sz w:val="22"/>
            <w:szCs w:val="22"/>
          </w:rPr>
          <w:t>Declaraciones de la directora de Estudios de Fotocasa, María Matos</w:t>
        </w:r>
      </w:hyperlink>
    </w:p>
    <w:p w14:paraId="7ABA0DBA" w14:textId="77777777" w:rsidR="0099590E" w:rsidRDefault="0099590E">
      <w:pPr>
        <w:spacing w:line="276" w:lineRule="auto"/>
        <w:ind w:right="-574"/>
        <w:jc w:val="both"/>
        <w:rPr>
          <w:rFonts w:ascii="Open Sans" w:eastAsia="Open Sans" w:hAnsi="Open Sans" w:cs="Open Sans"/>
          <w:sz w:val="22"/>
          <w:szCs w:val="22"/>
        </w:rPr>
      </w:pPr>
    </w:p>
    <w:p w14:paraId="7E2D2A62" w14:textId="06BC1EE1" w:rsidR="0099590E" w:rsidRDefault="0099590E">
      <w:pPr>
        <w:spacing w:line="276" w:lineRule="auto"/>
        <w:ind w:right="-574"/>
        <w:jc w:val="both"/>
        <w:rPr>
          <w:rFonts w:ascii="Open Sans" w:eastAsia="Open Sans" w:hAnsi="Open Sans" w:cs="Open Sans"/>
          <w:sz w:val="22"/>
          <w:szCs w:val="22"/>
        </w:rPr>
      </w:pPr>
      <w:r>
        <w:rPr>
          <w:noProof/>
        </w:rPr>
        <w:drawing>
          <wp:inline distT="0" distB="0" distL="0" distR="0" wp14:anchorId="79F94E10" wp14:editId="36CD0478">
            <wp:extent cx="5396230" cy="3070225"/>
            <wp:effectExtent l="0" t="0" r="0" b="0"/>
            <wp:docPr id="24598363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83632" name="Imagen 1" descr="Interfaz de usuario gráfica, Aplicación&#10;&#10;Descripción generada automáticamente"/>
                    <pic:cNvPicPr/>
                  </pic:nvPicPr>
                  <pic:blipFill>
                    <a:blip r:embed="rId12"/>
                    <a:stretch>
                      <a:fillRect/>
                    </a:stretch>
                  </pic:blipFill>
                  <pic:spPr>
                    <a:xfrm>
                      <a:off x="0" y="0"/>
                      <a:ext cx="5396230" cy="3070225"/>
                    </a:xfrm>
                    <a:prstGeom prst="rect">
                      <a:avLst/>
                    </a:prstGeom>
                  </pic:spPr>
                </pic:pic>
              </a:graphicData>
            </a:graphic>
          </wp:inline>
        </w:drawing>
      </w:r>
    </w:p>
    <w:p w14:paraId="00000010" w14:textId="77777777" w:rsidR="009F1C20" w:rsidRDefault="009F1C20">
      <w:pPr>
        <w:spacing w:line="276" w:lineRule="auto"/>
        <w:ind w:right="-574"/>
        <w:jc w:val="both"/>
        <w:rPr>
          <w:rFonts w:ascii="Open Sans" w:eastAsia="Open Sans" w:hAnsi="Open Sans" w:cs="Open Sans"/>
          <w:sz w:val="22"/>
          <w:szCs w:val="22"/>
        </w:rPr>
      </w:pPr>
    </w:p>
    <w:p w14:paraId="00000011" w14:textId="77777777" w:rsidR="009F1C20"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De esta forma, en tan solo un año se produce un aumento de cinco puntos en el volumen de compradores que deciden comprar sin hipoteca. Los ciudadanos están buscando otras fórmulas de acceso a la vivienda en compra, sin pasar por las entidades financieras. Para ello, aumenta la capacidad de ahorro de los hipotecados para asumir los pagos iniciales, se sirven de ayuda familiar y de la venta de su vivienda antigua.</w:t>
      </w:r>
    </w:p>
    <w:p w14:paraId="00000013" w14:textId="77777777" w:rsidR="009F1C20" w:rsidRDefault="009F1C20">
      <w:pPr>
        <w:spacing w:line="276" w:lineRule="auto"/>
        <w:ind w:right="-574"/>
        <w:jc w:val="both"/>
        <w:rPr>
          <w:rFonts w:ascii="Open Sans" w:eastAsia="Open Sans" w:hAnsi="Open Sans" w:cs="Open Sans"/>
          <w:color w:val="000000"/>
          <w:sz w:val="22"/>
          <w:szCs w:val="22"/>
        </w:rPr>
      </w:pPr>
    </w:p>
    <w:p w14:paraId="00000014" w14:textId="77777777" w:rsidR="009F1C20" w:rsidRDefault="00000000">
      <w:pP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Estos datos suponen que, por el contrario, el 68% de los compradores tuvieron que firmar una hipoteca para poder llevar a cabo la compra. Se trata de un porcentaje notablemente menor al registrado doce meses antes, cuando ascendió hasta el 73%. Ese porcentaje del 68% se compone de un 56% que recibió solo financiación bancaria mientras que otro 13% necesitó, además del préstamo hipotecario, la ayuda familiar para efectuar la compra.</w:t>
      </w:r>
    </w:p>
    <w:p w14:paraId="00000015" w14:textId="77777777" w:rsidR="009F1C20" w:rsidRDefault="00000000">
      <w:pPr>
        <w:spacing w:line="276" w:lineRule="auto"/>
        <w:ind w:right="-574"/>
        <w:jc w:val="both"/>
        <w:rPr>
          <w:rFonts w:ascii="Open Sans" w:eastAsia="Open Sans" w:hAnsi="Open Sans" w:cs="Open Sans"/>
          <w:color w:val="000000"/>
          <w:sz w:val="22"/>
          <w:szCs w:val="22"/>
        </w:rPr>
      </w:pPr>
      <w:r>
        <w:rPr>
          <w:noProof/>
        </w:rPr>
        <w:lastRenderedPageBreak/>
        <w:drawing>
          <wp:inline distT="0" distB="0" distL="0" distR="0">
            <wp:extent cx="5918209" cy="3374870"/>
            <wp:effectExtent l="0" t="0" r="0" b="0"/>
            <wp:docPr id="2025152988" name="image3.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Diagrama&#10;&#10;Descripción generada automáticamente"/>
                    <pic:cNvPicPr preferRelativeResize="0"/>
                  </pic:nvPicPr>
                  <pic:blipFill>
                    <a:blip r:embed="rId13"/>
                    <a:srcRect/>
                    <a:stretch>
                      <a:fillRect/>
                    </a:stretch>
                  </pic:blipFill>
                  <pic:spPr>
                    <a:xfrm>
                      <a:off x="0" y="0"/>
                      <a:ext cx="5918209" cy="3374870"/>
                    </a:xfrm>
                    <a:prstGeom prst="rect">
                      <a:avLst/>
                    </a:prstGeom>
                    <a:ln/>
                  </pic:spPr>
                </pic:pic>
              </a:graphicData>
            </a:graphic>
          </wp:inline>
        </w:drawing>
      </w:r>
    </w:p>
    <w:p w14:paraId="00000016" w14:textId="77777777" w:rsidR="009F1C20" w:rsidRDefault="009F1C20">
      <w:pPr>
        <w:spacing w:line="276" w:lineRule="auto"/>
        <w:ind w:right="-574"/>
        <w:jc w:val="both"/>
        <w:rPr>
          <w:rFonts w:ascii="Open Sans" w:eastAsia="Open Sans" w:hAnsi="Open Sans" w:cs="Open Sans"/>
          <w:color w:val="000000"/>
          <w:sz w:val="22"/>
          <w:szCs w:val="22"/>
        </w:rPr>
      </w:pPr>
    </w:p>
    <w:p w14:paraId="00000017" w14:textId="77777777" w:rsidR="009F1C20" w:rsidRDefault="00000000">
      <w:pPr>
        <w:spacing w:line="276" w:lineRule="auto"/>
        <w:ind w:right="-574"/>
        <w:jc w:val="both"/>
        <w:rPr>
          <w:rFonts w:ascii="Open Sans" w:eastAsia="Open Sans" w:hAnsi="Open Sans" w:cs="Open Sans"/>
          <w:b/>
          <w:color w:val="000000"/>
          <w:sz w:val="22"/>
          <w:szCs w:val="22"/>
        </w:rPr>
      </w:pPr>
      <w:r>
        <w:rPr>
          <w:rFonts w:ascii="Open Sans" w:eastAsia="Open Sans" w:hAnsi="Open Sans" w:cs="Open Sans"/>
          <w:color w:val="000000"/>
          <w:sz w:val="22"/>
          <w:szCs w:val="22"/>
        </w:rPr>
        <w:t xml:space="preserve">Existen algunas diferencias significativas respecto al año anterior, con un incremento de cinco puntos de los que no necesitan recurrir a una hipoteca para comprar una vivienda. También </w:t>
      </w:r>
      <w:r>
        <w:rPr>
          <w:rFonts w:ascii="Open Sans" w:eastAsia="Open Sans" w:hAnsi="Open Sans" w:cs="Open Sans"/>
          <w:b/>
          <w:color w:val="000000"/>
          <w:sz w:val="22"/>
          <w:szCs w:val="22"/>
        </w:rPr>
        <w:t xml:space="preserve">llama la atención la subida en tres puntos porcentuales (del 15% al 18%) de los que son capaces de materializar la adquisición basándose únicamente en sus propios ahorros. </w:t>
      </w:r>
      <w:r>
        <w:rPr>
          <w:rFonts w:ascii="Open Sans" w:eastAsia="Open Sans" w:hAnsi="Open Sans" w:cs="Open Sans"/>
          <w:color w:val="000000"/>
          <w:sz w:val="22"/>
          <w:szCs w:val="22"/>
        </w:rPr>
        <w:t xml:space="preserve">El dato que se refiere a los compradores por la vía de su propio ahorro revela que en la sociedad sigue existiendo esa capacidad. Este fenómeno de ‘hucha llena’ puede obedecer al hecho de que todavía existe ese colchón que muchas familias pudieron generar a lo largo de los periodos de restricciones vividos a lo largo de 2020 y 2021, donde se paralizó prácticamente el consumo y muchas familias pudieron ahorrar durante meses. </w:t>
      </w:r>
    </w:p>
    <w:p w14:paraId="00000018" w14:textId="77777777" w:rsidR="009F1C20" w:rsidRDefault="009F1C20">
      <w:pPr>
        <w:spacing w:line="276" w:lineRule="auto"/>
        <w:ind w:right="-574"/>
        <w:jc w:val="both"/>
        <w:rPr>
          <w:rFonts w:ascii="Open Sans" w:eastAsia="Open Sans" w:hAnsi="Open Sans" w:cs="Open Sans"/>
          <w:color w:val="000000"/>
          <w:sz w:val="22"/>
          <w:szCs w:val="22"/>
        </w:rPr>
      </w:pPr>
    </w:p>
    <w:p w14:paraId="00000019" w14:textId="77777777" w:rsidR="009F1C20" w:rsidRDefault="00000000">
      <w:pPr>
        <w:spacing w:line="276" w:lineRule="auto"/>
        <w:ind w:right="-574"/>
        <w:jc w:val="both"/>
        <w:rPr>
          <w:rFonts w:ascii="Open Sans" w:eastAsia="Open Sans" w:hAnsi="Open Sans" w:cs="Open Sans"/>
          <w:b/>
          <w:color w:val="000000"/>
          <w:sz w:val="22"/>
          <w:szCs w:val="22"/>
        </w:rPr>
      </w:pPr>
      <w:r>
        <w:rPr>
          <w:rFonts w:ascii="Open Sans" w:eastAsia="Open Sans" w:hAnsi="Open Sans" w:cs="Open Sans"/>
          <w:color w:val="000000"/>
          <w:sz w:val="22"/>
          <w:szCs w:val="22"/>
        </w:rPr>
        <w:t xml:space="preserve">También cabe atribuir ese incremento de la liquidez que se sigue manifestando en 2023 a la situación de inestabilidad acrecentada por la inflación, desatada desde finales de 2021 y prolongada durante los dos años siguientes, pese a su desaceleración desde finales de 2022. Ante esta amenaza e incertidumbre, </w:t>
      </w:r>
      <w:r>
        <w:rPr>
          <w:rFonts w:ascii="Open Sans" w:eastAsia="Open Sans" w:hAnsi="Open Sans" w:cs="Open Sans"/>
          <w:b/>
          <w:color w:val="000000"/>
          <w:sz w:val="22"/>
          <w:szCs w:val="22"/>
        </w:rPr>
        <w:t>la inversión en un valor refugio como la vivienda se presenta como una operación atractiva que impulsa la compra por parte de aquellos con el músculo financiero suficiente para ello.</w:t>
      </w:r>
    </w:p>
    <w:p w14:paraId="0000001A" w14:textId="77777777" w:rsidR="009F1C20" w:rsidRDefault="009F1C20">
      <w:pPr>
        <w:spacing w:line="276" w:lineRule="auto"/>
        <w:ind w:right="-574"/>
        <w:jc w:val="both"/>
        <w:rPr>
          <w:rFonts w:ascii="Open Sans" w:eastAsia="Open Sans" w:hAnsi="Open Sans" w:cs="Open Sans"/>
          <w:color w:val="000000"/>
          <w:sz w:val="22"/>
          <w:szCs w:val="22"/>
        </w:rPr>
      </w:pPr>
    </w:p>
    <w:p w14:paraId="482A0BFF" w14:textId="77777777" w:rsidR="0099590E" w:rsidRDefault="0099590E">
      <w:pPr>
        <w:spacing w:line="276" w:lineRule="auto"/>
        <w:ind w:right="-574"/>
        <w:jc w:val="both"/>
        <w:rPr>
          <w:rFonts w:ascii="Open Sans" w:eastAsia="Open Sans" w:hAnsi="Open Sans" w:cs="Open Sans"/>
          <w:color w:val="000000"/>
          <w:sz w:val="22"/>
          <w:szCs w:val="22"/>
        </w:rPr>
      </w:pPr>
    </w:p>
    <w:p w14:paraId="0000001B" w14:textId="77777777" w:rsidR="009F1C20" w:rsidRDefault="009F1C20">
      <w:pPr>
        <w:spacing w:line="276" w:lineRule="auto"/>
        <w:ind w:right="-574"/>
        <w:jc w:val="both"/>
        <w:rPr>
          <w:rFonts w:ascii="Open Sans" w:eastAsia="Open Sans" w:hAnsi="Open Sans" w:cs="Open Sans"/>
          <w:color w:val="000000"/>
          <w:sz w:val="22"/>
          <w:szCs w:val="22"/>
        </w:rPr>
      </w:pPr>
    </w:p>
    <w:p w14:paraId="0000001C" w14:textId="77777777" w:rsidR="009F1C20"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0000001D" w14:textId="77777777" w:rsidR="009F1C20"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14:paraId="0000001E" w14:textId="77777777" w:rsidR="009F1C20" w:rsidRDefault="00000000">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hyperlink r:id="rId16">
        <w:r>
          <w:rPr>
            <w:rFonts w:ascii="Open Sans" w:eastAsia="Open Sans" w:hAnsi="Open Sans" w:cs="Open Sans"/>
            <w:color w:val="0000FF"/>
            <w:sz w:val="22"/>
            <w:szCs w:val="22"/>
            <w:u w:val="single"/>
          </w:rPr>
          <w:t>Adevinta</w:t>
        </w:r>
      </w:hyperlink>
      <w:r>
        <w:rPr>
          <w:rFonts w:ascii="Open Sans" w:eastAsia="Open Sans" w:hAnsi="Open Sans" w:cs="Open Sans"/>
          <w:color w:val="000000"/>
          <w:sz w:val="22"/>
          <w:szCs w:val="22"/>
        </w:rPr>
        <w:t xml:space="preserve">, una empresa 100% especializada en Marketplaces digitales y el único “pure player” del sector a nivel mundial. </w:t>
      </w:r>
    </w:p>
    <w:p w14:paraId="0000001F" w14:textId="77777777" w:rsidR="009F1C20" w:rsidRDefault="00000000">
      <w:pPr>
        <w:shd w:val="clear" w:color="auto" w:fill="FFFFFF"/>
        <w:spacing w:before="280" w:after="280" w:line="276" w:lineRule="auto"/>
        <w:ind w:right="-716"/>
        <w:jc w:val="both"/>
        <w:rPr>
          <w:rFonts w:ascii="Open Sans" w:eastAsia="Open Sans" w:hAnsi="Open Sans" w:cs="Open Sans"/>
          <w:color w:val="000000"/>
          <w:sz w:val="22"/>
          <w:szCs w:val="22"/>
        </w:rPr>
      </w:pPr>
      <w:hyperlink r:id="rId17">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00000020" w14:textId="77777777" w:rsidR="009F1C20" w:rsidRDefault="00000000">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00000021" w14:textId="77777777" w:rsidR="009F1C20" w:rsidRDefault="00000000">
      <w:pPr>
        <w:spacing w:before="143" w:after="200"/>
        <w:ind w:right="-716"/>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18">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0">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3">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00000022" w14:textId="77777777" w:rsidR="009F1C20"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0000023" w14:textId="77777777" w:rsidR="009F1C20" w:rsidRDefault="00000000">
      <w:pPr>
        <w:spacing w:before="143" w:after="20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Adevinta tiene presencia mundial en 10 países. El conjunto de sus plataformas locales recibe un promedio de 3.000 millones de visitas cada mes. </w:t>
      </w:r>
    </w:p>
    <w:p w14:paraId="00000024" w14:textId="77777777" w:rsidR="009F1C20" w:rsidRDefault="00000000">
      <w:pPr>
        <w:spacing w:after="160"/>
        <w:ind w:right="-716"/>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00000025" w14:textId="77777777" w:rsidR="009F1C20" w:rsidRDefault="009F1C20">
      <w:pPr>
        <w:spacing w:after="160"/>
        <w:ind w:right="-716"/>
        <w:jc w:val="both"/>
        <w:rPr>
          <w:rFonts w:ascii="Open Sans" w:eastAsia="Open Sans" w:hAnsi="Open Sans" w:cs="Open Sans"/>
        </w:rPr>
      </w:pPr>
    </w:p>
    <w:p w14:paraId="00000026" w14:textId="77777777" w:rsidR="009F1C20"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00000027" w14:textId="77777777" w:rsidR="009F1C20"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0000028" w14:textId="77777777" w:rsidR="009F1C20" w:rsidRDefault="00000000">
      <w:pPr>
        <w:shd w:val="clear" w:color="auto" w:fill="FFFFFF"/>
        <w:spacing w:line="276" w:lineRule="auto"/>
        <w:ind w:right="-716"/>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00000029" w14:textId="77777777" w:rsidR="009F1C20" w:rsidRDefault="00000000">
      <w:pPr>
        <w:shd w:val="clear" w:color="auto" w:fill="FFFFFF"/>
        <w:spacing w:line="276" w:lineRule="auto"/>
        <w:ind w:right="-716"/>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000002A" w14:textId="77777777" w:rsidR="009F1C20" w:rsidRDefault="009F1C20">
      <w:pPr>
        <w:spacing w:line="276" w:lineRule="auto"/>
        <w:ind w:right="-716"/>
        <w:rPr>
          <w:rFonts w:ascii="Open Sans Light" w:eastAsia="Open Sans Light" w:hAnsi="Open Sans Light" w:cs="Open Sans Light"/>
          <w:b/>
          <w:color w:val="303AB2"/>
          <w:sz w:val="22"/>
          <w:szCs w:val="22"/>
        </w:rPr>
      </w:pPr>
    </w:p>
    <w:p w14:paraId="0000002B" w14:textId="77777777" w:rsidR="009F1C20" w:rsidRDefault="009F1C20">
      <w:pPr>
        <w:spacing w:line="276" w:lineRule="auto"/>
        <w:ind w:right="-716"/>
        <w:rPr>
          <w:rFonts w:ascii="Open Sans Light" w:eastAsia="Open Sans Light" w:hAnsi="Open Sans Light" w:cs="Open Sans Light"/>
          <w:b/>
          <w:color w:val="303AB2"/>
          <w:sz w:val="22"/>
          <w:szCs w:val="22"/>
        </w:rPr>
      </w:pPr>
    </w:p>
    <w:p w14:paraId="79614AA9" w14:textId="77777777" w:rsidR="0099590E" w:rsidRDefault="0099590E">
      <w:pPr>
        <w:spacing w:line="276" w:lineRule="auto"/>
        <w:ind w:right="-716"/>
        <w:rPr>
          <w:rFonts w:ascii="Open Sans Light" w:eastAsia="Open Sans Light" w:hAnsi="Open Sans Light" w:cs="Open Sans Light"/>
          <w:b/>
          <w:color w:val="303AB2"/>
          <w:sz w:val="22"/>
          <w:szCs w:val="22"/>
        </w:rPr>
      </w:pPr>
    </w:p>
    <w:p w14:paraId="0000002C" w14:textId="77777777" w:rsidR="009F1C20" w:rsidRDefault="00000000">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0000002D" w14:textId="77777777" w:rsidR="009F1C20" w:rsidRDefault="00000000">
      <w:pPr>
        <w:shd w:val="clear" w:color="auto" w:fill="FFFFFF"/>
        <w:spacing w:line="276" w:lineRule="auto"/>
        <w:ind w:right="-716"/>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14:paraId="0000002E" w14:textId="77777777" w:rsidR="009F1C20" w:rsidRPr="0099590E" w:rsidRDefault="00000000">
      <w:pPr>
        <w:shd w:val="clear" w:color="auto" w:fill="FFFFFF"/>
        <w:spacing w:line="276" w:lineRule="auto"/>
        <w:ind w:right="-716"/>
        <w:rPr>
          <w:rFonts w:ascii="Open Sans" w:eastAsia="Open Sans" w:hAnsi="Open Sans" w:cs="Open Sans"/>
          <w:color w:val="0000FF"/>
          <w:sz w:val="22"/>
          <w:szCs w:val="22"/>
          <w:u w:val="single"/>
          <w:lang w:val="en-US"/>
        </w:rPr>
      </w:pPr>
      <w:hyperlink r:id="rId26">
        <w:r w:rsidRPr="0099590E">
          <w:rPr>
            <w:rFonts w:ascii="Open Sans" w:eastAsia="Open Sans" w:hAnsi="Open Sans" w:cs="Open Sans"/>
            <w:color w:val="0000FF"/>
            <w:sz w:val="22"/>
            <w:szCs w:val="22"/>
            <w:u w:val="single"/>
            <w:lang w:val="en-US"/>
          </w:rPr>
          <w:t>rtorne@llorenteycuenca.com</w:t>
        </w:r>
      </w:hyperlink>
      <w:r w:rsidRPr="0099590E">
        <w:rPr>
          <w:rFonts w:ascii="Open Sans" w:eastAsia="Open Sans" w:hAnsi="Open Sans" w:cs="Open Sans"/>
          <w:color w:val="0000FF"/>
          <w:sz w:val="22"/>
          <w:szCs w:val="22"/>
          <w:lang w:val="en-US"/>
        </w:rPr>
        <w:tab/>
      </w:r>
      <w:r w:rsidRPr="0099590E">
        <w:rPr>
          <w:rFonts w:ascii="Open Sans" w:eastAsia="Open Sans" w:hAnsi="Open Sans" w:cs="Open Sans"/>
          <w:color w:val="0000FF"/>
          <w:sz w:val="22"/>
          <w:szCs w:val="22"/>
          <w:lang w:val="en-US"/>
        </w:rPr>
        <w:tab/>
      </w:r>
      <w:r w:rsidRPr="0099590E">
        <w:rPr>
          <w:rFonts w:ascii="Open Sans" w:eastAsia="Open Sans" w:hAnsi="Open Sans" w:cs="Open Sans"/>
          <w:color w:val="0000FF"/>
          <w:sz w:val="22"/>
          <w:szCs w:val="22"/>
          <w:lang w:val="en-US"/>
        </w:rPr>
        <w:tab/>
      </w:r>
    </w:p>
    <w:p w14:paraId="0000002F" w14:textId="77777777" w:rsidR="009F1C20" w:rsidRPr="0099590E" w:rsidRDefault="00000000">
      <w:pPr>
        <w:shd w:val="clear" w:color="auto" w:fill="FFFFFF"/>
        <w:spacing w:line="276" w:lineRule="auto"/>
        <w:ind w:right="-716"/>
        <w:rPr>
          <w:rFonts w:ascii="Open Sans" w:eastAsia="Open Sans" w:hAnsi="Open Sans" w:cs="Open Sans"/>
          <w:color w:val="000000"/>
          <w:sz w:val="22"/>
          <w:szCs w:val="22"/>
          <w:lang w:val="en-US"/>
        </w:rPr>
      </w:pPr>
      <w:r w:rsidRPr="0099590E">
        <w:rPr>
          <w:rFonts w:ascii="Open Sans" w:eastAsia="Open Sans" w:hAnsi="Open Sans" w:cs="Open Sans"/>
          <w:color w:val="000000"/>
          <w:sz w:val="22"/>
          <w:szCs w:val="22"/>
          <w:lang w:val="en-US"/>
        </w:rPr>
        <w:t xml:space="preserve">638 68 19 85      </w:t>
      </w:r>
      <w:r w:rsidRPr="0099590E">
        <w:rPr>
          <w:rFonts w:ascii="Open Sans" w:eastAsia="Open Sans" w:hAnsi="Open Sans" w:cs="Open Sans"/>
          <w:color w:val="000000"/>
          <w:sz w:val="22"/>
          <w:szCs w:val="22"/>
          <w:lang w:val="en-US"/>
        </w:rPr>
        <w:tab/>
      </w:r>
      <w:r w:rsidRPr="0099590E">
        <w:rPr>
          <w:rFonts w:ascii="Open Sans" w:eastAsia="Open Sans" w:hAnsi="Open Sans" w:cs="Open Sans"/>
          <w:color w:val="000000"/>
          <w:sz w:val="22"/>
          <w:szCs w:val="22"/>
          <w:lang w:val="en-US"/>
        </w:rPr>
        <w:tab/>
      </w:r>
      <w:r w:rsidRPr="0099590E">
        <w:rPr>
          <w:rFonts w:ascii="Open Sans" w:eastAsia="Open Sans" w:hAnsi="Open Sans" w:cs="Open Sans"/>
          <w:color w:val="000000"/>
          <w:sz w:val="22"/>
          <w:szCs w:val="22"/>
          <w:lang w:val="en-US"/>
        </w:rPr>
        <w:tab/>
      </w:r>
      <w:r w:rsidRPr="0099590E">
        <w:rPr>
          <w:rFonts w:ascii="Open Sans" w:eastAsia="Open Sans" w:hAnsi="Open Sans" w:cs="Open Sans"/>
          <w:color w:val="000000"/>
          <w:sz w:val="22"/>
          <w:szCs w:val="22"/>
          <w:lang w:val="en-US"/>
        </w:rPr>
        <w:tab/>
      </w:r>
      <w:r w:rsidRPr="0099590E">
        <w:rPr>
          <w:rFonts w:ascii="Open Sans" w:eastAsia="Open Sans" w:hAnsi="Open Sans" w:cs="Open Sans"/>
          <w:color w:val="000000"/>
          <w:sz w:val="22"/>
          <w:szCs w:val="22"/>
          <w:lang w:val="en-US"/>
        </w:rPr>
        <w:tab/>
      </w:r>
      <w:r w:rsidRPr="0099590E">
        <w:rPr>
          <w:rFonts w:ascii="Open Sans" w:eastAsia="Open Sans" w:hAnsi="Open Sans" w:cs="Open Sans"/>
          <w:color w:val="000000"/>
          <w:sz w:val="22"/>
          <w:szCs w:val="22"/>
          <w:lang w:val="en-US"/>
        </w:rPr>
        <w:tab/>
      </w:r>
      <w:r w:rsidRPr="0099590E">
        <w:rPr>
          <w:rFonts w:ascii="Open Sans" w:eastAsia="Open Sans" w:hAnsi="Open Sans" w:cs="Open Sans"/>
          <w:color w:val="000000"/>
          <w:sz w:val="22"/>
          <w:szCs w:val="22"/>
          <w:lang w:val="en-US"/>
        </w:rPr>
        <w:tab/>
      </w:r>
      <w:r w:rsidRPr="0099590E">
        <w:rPr>
          <w:rFonts w:ascii="Open Sans" w:eastAsia="Open Sans" w:hAnsi="Open Sans" w:cs="Open Sans"/>
          <w:color w:val="000000"/>
          <w:sz w:val="22"/>
          <w:szCs w:val="22"/>
          <w:lang w:val="en-US"/>
        </w:rPr>
        <w:tab/>
      </w:r>
    </w:p>
    <w:p w14:paraId="00000030" w14:textId="77777777" w:rsidR="009F1C20" w:rsidRPr="0099590E" w:rsidRDefault="00000000">
      <w:pPr>
        <w:shd w:val="clear" w:color="auto" w:fill="FFFFFF"/>
        <w:ind w:right="-716"/>
        <w:rPr>
          <w:rFonts w:ascii="Arial" w:eastAsia="Arial" w:hAnsi="Arial" w:cs="Arial"/>
          <w:color w:val="222222"/>
          <w:sz w:val="22"/>
          <w:szCs w:val="22"/>
          <w:lang w:val="en-US"/>
        </w:rPr>
      </w:pPr>
      <w:r w:rsidRPr="0099590E">
        <w:rPr>
          <w:rFonts w:ascii="Arial" w:eastAsia="Arial" w:hAnsi="Arial" w:cs="Arial"/>
          <w:color w:val="222222"/>
          <w:sz w:val="22"/>
          <w:szCs w:val="22"/>
          <w:lang w:val="en-US"/>
        </w:rPr>
        <w:tab/>
      </w:r>
    </w:p>
    <w:p w14:paraId="00000031" w14:textId="77777777" w:rsidR="009F1C20" w:rsidRPr="0099590E" w:rsidRDefault="00000000">
      <w:pPr>
        <w:shd w:val="clear" w:color="auto" w:fill="FFFFFF"/>
        <w:ind w:right="-716"/>
        <w:rPr>
          <w:rFonts w:ascii="Arial" w:eastAsia="Arial" w:hAnsi="Arial" w:cs="Arial"/>
          <w:color w:val="222222"/>
          <w:sz w:val="22"/>
          <w:szCs w:val="22"/>
          <w:lang w:val="en-US"/>
        </w:rPr>
      </w:pPr>
      <w:r w:rsidRPr="0099590E">
        <w:rPr>
          <w:rFonts w:ascii="Arial" w:eastAsia="Arial" w:hAnsi="Arial" w:cs="Arial"/>
          <w:color w:val="222222"/>
          <w:sz w:val="22"/>
          <w:szCs w:val="22"/>
          <w:lang w:val="en-US"/>
        </w:rPr>
        <w:tab/>
      </w:r>
      <w:r w:rsidRPr="0099590E">
        <w:rPr>
          <w:rFonts w:ascii="Arial" w:eastAsia="Arial" w:hAnsi="Arial" w:cs="Arial"/>
          <w:color w:val="222222"/>
          <w:sz w:val="22"/>
          <w:szCs w:val="22"/>
          <w:lang w:val="en-US"/>
        </w:rPr>
        <w:tab/>
      </w:r>
      <w:r w:rsidRPr="0099590E">
        <w:rPr>
          <w:rFonts w:ascii="Arial" w:eastAsia="Arial" w:hAnsi="Arial" w:cs="Arial"/>
          <w:color w:val="222222"/>
          <w:sz w:val="22"/>
          <w:szCs w:val="22"/>
          <w:lang w:val="en-US"/>
        </w:rPr>
        <w:tab/>
      </w:r>
      <w:r w:rsidRPr="0099590E">
        <w:rPr>
          <w:rFonts w:ascii="Arial" w:eastAsia="Arial" w:hAnsi="Arial" w:cs="Arial"/>
          <w:color w:val="222222"/>
          <w:sz w:val="22"/>
          <w:szCs w:val="22"/>
          <w:lang w:val="en-US"/>
        </w:rPr>
        <w:tab/>
      </w:r>
      <w:r w:rsidRPr="0099590E">
        <w:rPr>
          <w:rFonts w:ascii="Arial" w:eastAsia="Arial" w:hAnsi="Arial" w:cs="Arial"/>
          <w:color w:val="222222"/>
          <w:sz w:val="22"/>
          <w:szCs w:val="22"/>
          <w:lang w:val="en-US"/>
        </w:rPr>
        <w:tab/>
      </w:r>
      <w:r w:rsidRPr="0099590E">
        <w:rPr>
          <w:rFonts w:ascii="Arial" w:eastAsia="Arial" w:hAnsi="Arial" w:cs="Arial"/>
          <w:color w:val="222222"/>
          <w:sz w:val="22"/>
          <w:szCs w:val="22"/>
          <w:lang w:val="en-US"/>
        </w:rPr>
        <w:tab/>
        <w:t xml:space="preserve">     </w:t>
      </w:r>
    </w:p>
    <w:p w14:paraId="00000032" w14:textId="77777777" w:rsidR="009F1C20" w:rsidRPr="0099590E" w:rsidRDefault="00000000">
      <w:pPr>
        <w:shd w:val="clear" w:color="auto" w:fill="FFFFFF"/>
        <w:ind w:right="-716"/>
        <w:rPr>
          <w:rFonts w:ascii="Open Sans" w:eastAsia="Open Sans" w:hAnsi="Open Sans" w:cs="Open Sans"/>
          <w:b/>
          <w:color w:val="000000"/>
          <w:sz w:val="22"/>
          <w:szCs w:val="22"/>
          <w:lang w:val="en-US"/>
        </w:rPr>
      </w:pPr>
      <w:r w:rsidRPr="0099590E">
        <w:rPr>
          <w:rFonts w:ascii="Open Sans" w:eastAsia="Open Sans" w:hAnsi="Open Sans" w:cs="Open Sans"/>
          <w:b/>
          <w:color w:val="000000"/>
          <w:sz w:val="22"/>
          <w:szCs w:val="22"/>
          <w:lang w:val="en-US"/>
        </w:rPr>
        <w:t>Fanny Merino</w:t>
      </w:r>
    </w:p>
    <w:p w14:paraId="00000033" w14:textId="77777777" w:rsidR="009F1C20" w:rsidRPr="0099590E" w:rsidRDefault="00000000">
      <w:pPr>
        <w:shd w:val="clear" w:color="auto" w:fill="FFFFFF"/>
        <w:ind w:right="-716"/>
        <w:rPr>
          <w:rFonts w:ascii="Open Sans" w:eastAsia="Open Sans" w:hAnsi="Open Sans" w:cs="Open Sans"/>
          <w:b/>
          <w:color w:val="000000"/>
          <w:sz w:val="22"/>
          <w:szCs w:val="22"/>
          <w:lang w:val="en-US"/>
        </w:rPr>
      </w:pPr>
      <w:hyperlink r:id="rId27">
        <w:r w:rsidRPr="0099590E">
          <w:rPr>
            <w:rFonts w:ascii="Open Sans" w:eastAsia="Open Sans" w:hAnsi="Open Sans" w:cs="Open Sans"/>
            <w:color w:val="0000FF"/>
            <w:sz w:val="22"/>
            <w:szCs w:val="22"/>
            <w:u w:val="single"/>
            <w:lang w:val="en-US"/>
          </w:rPr>
          <w:t>emerino@llorenteycuenca.com</w:t>
        </w:r>
      </w:hyperlink>
      <w:r w:rsidRPr="0099590E">
        <w:rPr>
          <w:rFonts w:ascii="Open Sans" w:eastAsia="Open Sans" w:hAnsi="Open Sans" w:cs="Open Sans"/>
          <w:color w:val="0000FF"/>
          <w:sz w:val="22"/>
          <w:szCs w:val="22"/>
          <w:lang w:val="en-US"/>
        </w:rPr>
        <w:tab/>
      </w:r>
      <w:r w:rsidRPr="0099590E">
        <w:rPr>
          <w:rFonts w:ascii="Open Sans" w:eastAsia="Open Sans" w:hAnsi="Open Sans" w:cs="Open Sans"/>
          <w:color w:val="0000FF"/>
          <w:sz w:val="22"/>
          <w:szCs w:val="22"/>
          <w:lang w:val="en-US"/>
        </w:rPr>
        <w:tab/>
      </w:r>
    </w:p>
    <w:p w14:paraId="00000034" w14:textId="77777777" w:rsidR="009F1C20" w:rsidRPr="0099590E" w:rsidRDefault="00000000">
      <w:pPr>
        <w:shd w:val="clear" w:color="auto" w:fill="FFFFFF"/>
        <w:ind w:right="-716"/>
        <w:rPr>
          <w:rFonts w:ascii="Open Sans" w:eastAsia="Open Sans" w:hAnsi="Open Sans" w:cs="Open Sans"/>
          <w:color w:val="000000"/>
          <w:sz w:val="22"/>
          <w:szCs w:val="22"/>
          <w:lang w:val="en-US"/>
        </w:rPr>
      </w:pPr>
      <w:r w:rsidRPr="0099590E">
        <w:rPr>
          <w:rFonts w:ascii="Open Sans" w:eastAsia="Open Sans" w:hAnsi="Open Sans" w:cs="Open Sans"/>
          <w:color w:val="000000"/>
          <w:sz w:val="22"/>
          <w:szCs w:val="22"/>
          <w:lang w:val="en-US"/>
        </w:rPr>
        <w:t>663 35 69 75 </w:t>
      </w:r>
    </w:p>
    <w:p w14:paraId="00000035" w14:textId="77777777" w:rsidR="009F1C20" w:rsidRPr="0099590E" w:rsidRDefault="009F1C20">
      <w:pPr>
        <w:shd w:val="clear" w:color="auto" w:fill="FFFFFF"/>
        <w:ind w:right="-716"/>
        <w:rPr>
          <w:rFonts w:ascii="Open Sans" w:eastAsia="Open Sans" w:hAnsi="Open Sans" w:cs="Open Sans"/>
          <w:color w:val="000000"/>
          <w:sz w:val="22"/>
          <w:szCs w:val="22"/>
          <w:lang w:val="en-US"/>
        </w:rPr>
      </w:pPr>
    </w:p>
    <w:p w14:paraId="00000036" w14:textId="77777777" w:rsidR="009F1C20" w:rsidRPr="0099590E" w:rsidRDefault="009F1C20">
      <w:pPr>
        <w:shd w:val="clear" w:color="auto" w:fill="FFFFFF"/>
        <w:ind w:right="-716"/>
        <w:rPr>
          <w:rFonts w:ascii="Open Sans" w:eastAsia="Open Sans" w:hAnsi="Open Sans" w:cs="Open Sans"/>
          <w:color w:val="000000"/>
          <w:sz w:val="22"/>
          <w:szCs w:val="22"/>
          <w:lang w:val="en-US"/>
        </w:rPr>
      </w:pPr>
    </w:p>
    <w:p w14:paraId="00000037" w14:textId="77777777" w:rsidR="009F1C20" w:rsidRPr="0099590E" w:rsidRDefault="00000000">
      <w:pPr>
        <w:shd w:val="clear" w:color="auto" w:fill="FFFFFF"/>
        <w:ind w:right="-716"/>
        <w:rPr>
          <w:rFonts w:ascii="Open Sans" w:eastAsia="Open Sans" w:hAnsi="Open Sans" w:cs="Open Sans"/>
          <w:b/>
          <w:color w:val="000000"/>
          <w:sz w:val="22"/>
          <w:szCs w:val="22"/>
          <w:lang w:val="en-US"/>
        </w:rPr>
      </w:pPr>
      <w:r w:rsidRPr="0099590E">
        <w:rPr>
          <w:rFonts w:ascii="Open Sans" w:eastAsia="Open Sans" w:hAnsi="Open Sans" w:cs="Open Sans"/>
          <w:b/>
          <w:color w:val="000000"/>
          <w:sz w:val="22"/>
          <w:szCs w:val="22"/>
          <w:lang w:val="en-US"/>
        </w:rPr>
        <w:t>Paula Iglesias</w:t>
      </w:r>
    </w:p>
    <w:p w14:paraId="00000038" w14:textId="77777777" w:rsidR="009F1C20" w:rsidRPr="0099590E" w:rsidRDefault="00000000">
      <w:pPr>
        <w:shd w:val="clear" w:color="auto" w:fill="FFFFFF"/>
        <w:ind w:right="-716"/>
        <w:rPr>
          <w:rFonts w:ascii="Open Sans" w:eastAsia="Open Sans" w:hAnsi="Open Sans" w:cs="Open Sans"/>
          <w:b/>
          <w:color w:val="000000"/>
          <w:sz w:val="22"/>
          <w:szCs w:val="22"/>
          <w:lang w:val="en-US"/>
        </w:rPr>
      </w:pPr>
      <w:hyperlink r:id="rId28">
        <w:r w:rsidRPr="0099590E">
          <w:rPr>
            <w:rFonts w:ascii="Open Sans" w:eastAsia="Open Sans" w:hAnsi="Open Sans" w:cs="Open Sans"/>
            <w:color w:val="0000FF"/>
            <w:sz w:val="22"/>
            <w:szCs w:val="22"/>
            <w:u w:val="single"/>
            <w:lang w:val="en-US"/>
          </w:rPr>
          <w:t>piglesias@llorenteycuenca.com</w:t>
        </w:r>
      </w:hyperlink>
      <w:r w:rsidRPr="0099590E">
        <w:rPr>
          <w:rFonts w:ascii="Open Sans" w:eastAsia="Open Sans" w:hAnsi="Open Sans" w:cs="Open Sans"/>
          <w:color w:val="0000FF"/>
          <w:sz w:val="22"/>
          <w:szCs w:val="22"/>
          <w:lang w:val="en-US"/>
        </w:rPr>
        <w:tab/>
      </w:r>
      <w:r w:rsidRPr="0099590E">
        <w:rPr>
          <w:rFonts w:ascii="Open Sans" w:eastAsia="Open Sans" w:hAnsi="Open Sans" w:cs="Open Sans"/>
          <w:color w:val="0000FF"/>
          <w:sz w:val="22"/>
          <w:szCs w:val="22"/>
          <w:lang w:val="en-US"/>
        </w:rPr>
        <w:tab/>
      </w:r>
    </w:p>
    <w:p w14:paraId="00000039" w14:textId="77777777" w:rsidR="009F1C20" w:rsidRDefault="00000000">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14:paraId="0000003A" w14:textId="77777777" w:rsidR="009F1C20" w:rsidRDefault="009F1C20">
      <w:pPr>
        <w:spacing w:line="276" w:lineRule="auto"/>
        <w:ind w:right="-574"/>
        <w:jc w:val="right"/>
        <w:rPr>
          <w:rFonts w:ascii="Open Sans" w:eastAsia="Open Sans" w:hAnsi="Open Sans" w:cs="Open Sans"/>
          <w:color w:val="000000"/>
          <w:sz w:val="21"/>
          <w:szCs w:val="21"/>
        </w:rPr>
      </w:pPr>
    </w:p>
    <w:sectPr w:rsidR="009F1C20">
      <w:headerReference w:type="default" r:id="rId29"/>
      <w:footerReference w:type="default" r:id="rId30"/>
      <w:pgSz w:w="11900" w:h="16840"/>
      <w:pgMar w:top="1417" w:right="1701" w:bottom="1417"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6E074" w14:textId="77777777" w:rsidR="00F80433" w:rsidRDefault="00F80433">
      <w:r>
        <w:separator/>
      </w:r>
    </w:p>
  </w:endnote>
  <w:endnote w:type="continuationSeparator" w:id="0">
    <w:p w14:paraId="11D6703A" w14:textId="77777777" w:rsidR="00F80433" w:rsidRDefault="00F80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44" w14:textId="77777777" w:rsidR="009F1C2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9264" behindDoc="1" locked="0" layoutInCell="1" hidden="0" allowOverlap="1">
          <wp:simplePos x="0" y="0"/>
          <wp:positionH relativeFrom="column">
            <wp:posOffset>-1068055</wp:posOffset>
          </wp:positionH>
          <wp:positionV relativeFrom="paragraph">
            <wp:posOffset>174608</wp:posOffset>
          </wp:positionV>
          <wp:extent cx="7670550" cy="451315"/>
          <wp:effectExtent l="0" t="0" r="0" b="0"/>
          <wp:wrapNone/>
          <wp:docPr id="20251529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1D7EE" w14:textId="77777777" w:rsidR="00F80433" w:rsidRDefault="00F80433">
      <w:r>
        <w:separator/>
      </w:r>
    </w:p>
  </w:footnote>
  <w:footnote w:type="continuationSeparator" w:id="0">
    <w:p w14:paraId="17E99D0A" w14:textId="77777777" w:rsidR="00F80433" w:rsidRDefault="00F80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B" w14:textId="77777777" w:rsidR="009F1C20"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simplePos x="0" y="0"/>
          <wp:positionH relativeFrom="column">
            <wp:posOffset>-1121119</wp:posOffset>
          </wp:positionH>
          <wp:positionV relativeFrom="paragraph">
            <wp:posOffset>225177</wp:posOffset>
          </wp:positionV>
          <wp:extent cx="7581265" cy="1019175"/>
          <wp:effectExtent l="0" t="0" r="0" b="0"/>
          <wp:wrapNone/>
          <wp:docPr id="20251529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265" cy="1019175"/>
                  </a:xfrm>
                  <a:prstGeom prst="rect">
                    <a:avLst/>
                  </a:prstGeom>
                  <a:ln/>
                </pic:spPr>
              </pic:pic>
            </a:graphicData>
          </a:graphic>
        </wp:anchor>
      </w:drawing>
    </w:r>
  </w:p>
  <w:p w14:paraId="0000003C" w14:textId="77777777" w:rsidR="009F1C20" w:rsidRDefault="009F1C20">
    <w:pPr>
      <w:pBdr>
        <w:top w:val="nil"/>
        <w:left w:val="nil"/>
        <w:bottom w:val="nil"/>
        <w:right w:val="nil"/>
        <w:between w:val="nil"/>
      </w:pBdr>
      <w:tabs>
        <w:tab w:val="center" w:pos="4252"/>
        <w:tab w:val="right" w:pos="8504"/>
      </w:tabs>
      <w:rPr>
        <w:color w:val="000000"/>
      </w:rPr>
    </w:pPr>
  </w:p>
  <w:p w14:paraId="0000003D" w14:textId="77777777" w:rsidR="009F1C20" w:rsidRDefault="009F1C20">
    <w:pPr>
      <w:pBdr>
        <w:top w:val="nil"/>
        <w:left w:val="nil"/>
        <w:bottom w:val="nil"/>
        <w:right w:val="nil"/>
        <w:between w:val="nil"/>
      </w:pBdr>
      <w:tabs>
        <w:tab w:val="center" w:pos="4252"/>
        <w:tab w:val="right" w:pos="8504"/>
      </w:tabs>
      <w:rPr>
        <w:color w:val="000000"/>
      </w:rPr>
    </w:pPr>
  </w:p>
  <w:p w14:paraId="0000003E" w14:textId="77777777" w:rsidR="009F1C20" w:rsidRDefault="009F1C20">
    <w:pPr>
      <w:pBdr>
        <w:top w:val="nil"/>
        <w:left w:val="nil"/>
        <w:bottom w:val="nil"/>
        <w:right w:val="nil"/>
        <w:between w:val="nil"/>
      </w:pBdr>
      <w:tabs>
        <w:tab w:val="center" w:pos="4252"/>
        <w:tab w:val="right" w:pos="8504"/>
      </w:tabs>
      <w:rPr>
        <w:color w:val="000000"/>
      </w:rPr>
    </w:pPr>
  </w:p>
  <w:p w14:paraId="0000003F" w14:textId="77777777" w:rsidR="009F1C20" w:rsidRDefault="009F1C20">
    <w:pPr>
      <w:pBdr>
        <w:top w:val="nil"/>
        <w:left w:val="nil"/>
        <w:bottom w:val="nil"/>
        <w:right w:val="nil"/>
        <w:between w:val="nil"/>
      </w:pBdr>
      <w:tabs>
        <w:tab w:val="center" w:pos="4252"/>
        <w:tab w:val="right" w:pos="8504"/>
      </w:tabs>
      <w:rPr>
        <w:color w:val="000000"/>
      </w:rPr>
    </w:pPr>
  </w:p>
  <w:p w14:paraId="00000040" w14:textId="77777777" w:rsidR="009F1C20" w:rsidRDefault="009F1C20">
    <w:pPr>
      <w:pBdr>
        <w:top w:val="nil"/>
        <w:left w:val="nil"/>
        <w:bottom w:val="nil"/>
        <w:right w:val="nil"/>
        <w:between w:val="nil"/>
      </w:pBdr>
      <w:tabs>
        <w:tab w:val="center" w:pos="4252"/>
        <w:tab w:val="right" w:pos="8504"/>
      </w:tabs>
      <w:rPr>
        <w:color w:val="000000"/>
      </w:rPr>
    </w:pPr>
  </w:p>
  <w:p w14:paraId="00000041" w14:textId="77777777" w:rsidR="009F1C20" w:rsidRDefault="009F1C20">
    <w:pPr>
      <w:pBdr>
        <w:top w:val="nil"/>
        <w:left w:val="nil"/>
        <w:bottom w:val="nil"/>
        <w:right w:val="nil"/>
        <w:between w:val="nil"/>
      </w:pBdr>
      <w:tabs>
        <w:tab w:val="center" w:pos="4252"/>
        <w:tab w:val="right" w:pos="8504"/>
      </w:tabs>
      <w:rPr>
        <w:color w:val="000000"/>
      </w:rPr>
    </w:pPr>
  </w:p>
  <w:p w14:paraId="00000042" w14:textId="77777777" w:rsidR="009F1C20" w:rsidRDefault="009F1C20">
    <w:pPr>
      <w:pBdr>
        <w:top w:val="nil"/>
        <w:left w:val="nil"/>
        <w:bottom w:val="nil"/>
        <w:right w:val="nil"/>
        <w:between w:val="nil"/>
      </w:pBdr>
      <w:tabs>
        <w:tab w:val="center" w:pos="4252"/>
        <w:tab w:val="right" w:pos="8504"/>
      </w:tabs>
      <w:rPr>
        <w:color w:val="000000"/>
      </w:rPr>
    </w:pPr>
  </w:p>
  <w:p w14:paraId="00000043" w14:textId="77777777" w:rsidR="009F1C20" w:rsidRDefault="009F1C2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F169C"/>
    <w:multiLevelType w:val="multilevel"/>
    <w:tmpl w:val="37D0A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4126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C20"/>
    <w:rsid w:val="00297100"/>
    <w:rsid w:val="0099590E"/>
    <w:rsid w:val="009F1C20"/>
    <w:rsid w:val="00F804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18DA8"/>
  <w15:docId w15:val="{DE8C4994-786C-4C5F-8723-F6DAA9C33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97C"/>
  </w:style>
  <w:style w:type="paragraph" w:styleId="Ttulo1">
    <w:name w:val="heading 1"/>
    <w:basedOn w:val="Normal"/>
    <w:next w:val="Normal"/>
    <w:link w:val="Ttulo1Car"/>
    <w:uiPriority w:val="9"/>
    <w:qFormat/>
    <w:rsid w:val="00E447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3A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semiHidden/>
    <w:unhideWhenUsed/>
    <w:qFormat/>
    <w:rsid w:val="009F2EE6"/>
    <w:pPr>
      <w:spacing w:before="100" w:beforeAutospacing="1" w:after="100" w:afterAutospacing="1"/>
      <w:outlineLvl w:val="2"/>
    </w:pPr>
    <w:rPr>
      <w:rFonts w:ascii="Times New Roman" w:eastAsia="Times New Roman" w:hAnsi="Times New Roman" w:cs="Times New Roman"/>
      <w:b/>
      <w:bCs/>
      <w:sz w:val="27"/>
      <w:szCs w:val="27"/>
      <w:lang w:val="es-ES"/>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C4E4A"/>
    <w:rPr>
      <w:color w:val="605E5C"/>
      <w:shd w:val="clear" w:color="auto" w:fill="E1DFDD"/>
    </w:rPr>
  </w:style>
  <w:style w:type="paragraph" w:styleId="Descripcin">
    <w:name w:val="caption"/>
    <w:basedOn w:val="Normal"/>
    <w:next w:val="Normal"/>
    <w:uiPriority w:val="35"/>
    <w:unhideWhenUsed/>
    <w:qFormat/>
    <w:rsid w:val="00813155"/>
    <w:pPr>
      <w:spacing w:after="200"/>
    </w:pPr>
    <w:rPr>
      <w:i/>
      <w:iCs/>
      <w:color w:val="44546A" w:themeColor="text2"/>
      <w:sz w:val="18"/>
      <w:szCs w:val="18"/>
      <w:lang w:val="es-ES"/>
    </w:rPr>
  </w:style>
  <w:style w:type="paragraph" w:customStyle="1" w:styleId="Prrafodelista1">
    <w:name w:val="Párrafo de lista1"/>
    <w:basedOn w:val="Normal"/>
    <w:uiPriority w:val="34"/>
    <w:qFormat/>
    <w:rsid w:val="00471E3C"/>
    <w:pPr>
      <w:spacing w:after="160" w:line="259" w:lineRule="auto"/>
      <w:ind w:left="720"/>
      <w:contextualSpacing/>
    </w:pPr>
    <w:rPr>
      <w:sz w:val="22"/>
      <w:szCs w:val="22"/>
      <w:lang w:val="es-ES"/>
    </w:rPr>
  </w:style>
  <w:style w:type="table" w:styleId="Tablaconcuadrcula">
    <w:name w:val="Table Grid"/>
    <w:basedOn w:val="Tablanormal"/>
    <w:uiPriority w:val="39"/>
    <w:rsid w:val="00471E3C"/>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unhideWhenUsed/>
    <w:rsid w:val="00FE2636"/>
    <w:rPr>
      <w:b/>
      <w:bCs/>
    </w:rPr>
  </w:style>
  <w:style w:type="character" w:customStyle="1" w:styleId="AsuntodelcomentarioCar">
    <w:name w:val="Asunto del comentario Car"/>
    <w:basedOn w:val="TextocomentarioCar"/>
    <w:link w:val="Asuntodelcomentario"/>
    <w:uiPriority w:val="99"/>
    <w:semiHidden/>
    <w:rsid w:val="00FE2636"/>
    <w:rPr>
      <w:b/>
      <w:bCs/>
      <w:sz w:val="20"/>
      <w:szCs w:val="20"/>
    </w:rPr>
  </w:style>
  <w:style w:type="character" w:styleId="Mencinsinresolver">
    <w:name w:val="Unresolved Mention"/>
    <w:basedOn w:val="Fuentedeprrafopredeter"/>
    <w:uiPriority w:val="99"/>
    <w:semiHidden/>
    <w:unhideWhenUsed/>
    <w:rsid w:val="00FE2636"/>
    <w:rPr>
      <w:color w:val="605E5C"/>
      <w:shd w:val="clear" w:color="auto" w:fill="E1DFDD"/>
    </w:rPr>
  </w:style>
  <w:style w:type="character" w:customStyle="1" w:styleId="Ttulo3Car">
    <w:name w:val="Título 3 Car"/>
    <w:basedOn w:val="Fuentedeprrafopredeter"/>
    <w:link w:val="Ttulo3"/>
    <w:uiPriority w:val="9"/>
    <w:rsid w:val="009F2EE6"/>
    <w:rPr>
      <w:rFonts w:ascii="Times New Roman" w:eastAsia="Times New Roman" w:hAnsi="Times New Roman" w:cs="Times New Roman"/>
      <w:b/>
      <w:bCs/>
      <w:sz w:val="27"/>
      <w:szCs w:val="27"/>
      <w:lang w:val="es-ES" w:eastAsia="es-ES"/>
    </w:rPr>
  </w:style>
  <w:style w:type="character" w:styleId="Textoennegrita">
    <w:name w:val="Strong"/>
    <w:basedOn w:val="Fuentedeprrafopredeter"/>
    <w:uiPriority w:val="22"/>
    <w:qFormat/>
    <w:rsid w:val="009F2EE6"/>
    <w:rPr>
      <w:b/>
      <w:bCs/>
    </w:rPr>
  </w:style>
  <w:style w:type="character" w:customStyle="1" w:styleId="Ttulo1Car">
    <w:name w:val="Título 1 Car"/>
    <w:basedOn w:val="Fuentedeprrafopredeter"/>
    <w:link w:val="Ttulo1"/>
    <w:uiPriority w:val="9"/>
    <w:rsid w:val="00E44764"/>
    <w:rPr>
      <w:rFonts w:asciiTheme="majorHAnsi" w:eastAsiaTheme="majorEastAsia" w:hAnsiTheme="majorHAnsi" w:cstheme="majorBidi"/>
      <w:color w:val="2F5496" w:themeColor="accent1" w:themeShade="BF"/>
      <w:sz w:val="32"/>
      <w:szCs w:val="32"/>
    </w:rPr>
  </w:style>
  <w:style w:type="character" w:styleId="nfasis">
    <w:name w:val="Emphasis"/>
    <w:basedOn w:val="Fuentedeprrafopredeter"/>
    <w:uiPriority w:val="20"/>
    <w:qFormat/>
    <w:rsid w:val="002A7EA9"/>
    <w:rPr>
      <w:i/>
      <w:iCs/>
    </w:rPr>
  </w:style>
  <w:style w:type="character" w:styleId="Hipervnculovisitado">
    <w:name w:val="FollowedHyperlink"/>
    <w:basedOn w:val="Fuentedeprrafopredeter"/>
    <w:uiPriority w:val="99"/>
    <w:semiHidden/>
    <w:unhideWhenUsed/>
    <w:rsid w:val="00DF36B8"/>
    <w:rPr>
      <w:color w:val="954F72" w:themeColor="followedHyperlink"/>
      <w:u w:val="single"/>
    </w:rPr>
  </w:style>
  <w:style w:type="character" w:customStyle="1" w:styleId="Ttulo2Car">
    <w:name w:val="Título 2 Car"/>
    <w:basedOn w:val="Fuentedeprrafopredeter"/>
    <w:link w:val="Ttulo2"/>
    <w:uiPriority w:val="9"/>
    <w:semiHidden/>
    <w:rsid w:val="00343AB8"/>
    <w:rPr>
      <w:rFonts w:asciiTheme="majorHAnsi" w:eastAsiaTheme="majorEastAsia" w:hAnsiTheme="majorHAnsi" w:cstheme="majorBidi"/>
      <w:color w:val="2F5496" w:themeColor="accent1" w:themeShade="BF"/>
      <w:sz w:val="26"/>
      <w:szCs w:val="26"/>
    </w:rPr>
  </w:style>
  <w:style w:type="character" w:customStyle="1" w:styleId="bold">
    <w:name w:val="bold"/>
    <w:basedOn w:val="Fuentedeprrafopredeter"/>
    <w:rsid w:val="008A24C9"/>
  </w:style>
  <w:style w:type="character" w:customStyle="1" w:styleId="d-none">
    <w:name w:val="d-none"/>
    <w:basedOn w:val="Fuentedeprrafopredeter"/>
    <w:rsid w:val="008A24C9"/>
  </w:style>
  <w:style w:type="character" w:customStyle="1" w:styleId="font-2x">
    <w:name w:val="font-2x"/>
    <w:basedOn w:val="Fuentedeprrafopredeter"/>
    <w:rsid w:val="008A24C9"/>
  </w:style>
  <w:style w:type="character" w:customStyle="1" w:styleId="decoracion2">
    <w:name w:val="decoracion2"/>
    <w:basedOn w:val="Fuentedeprrafopredeter"/>
    <w:rsid w:val="008A24C9"/>
  </w:style>
  <w:style w:type="paragraph" w:styleId="Revisin">
    <w:name w:val="Revision"/>
    <w:hidden/>
    <w:uiPriority w:val="99"/>
    <w:semiHidden/>
    <w:rsid w:val="00FC54D1"/>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Referenciaintensa">
    <w:name w:val="Intense Reference"/>
    <w:basedOn w:val="Fuentedeprrafopredeter"/>
    <w:uiPriority w:val="32"/>
    <w:qFormat/>
    <w:rsid w:val="00DD156A"/>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NuWqgStCh_w" TargetMode="External"/><Relationship Id="rId13" Type="http://schemas.openxmlformats.org/officeDocument/2006/relationships/image" Target="media/image2.png"/><Relationship Id="rId18" Type="http://schemas.openxmlformats.org/officeDocument/2006/relationships/hyperlink" Target="https://www.fotocasa.es/es/" TargetMode="External"/><Relationship Id="rId26" Type="http://schemas.openxmlformats.org/officeDocument/2006/relationships/hyperlink" Target="mailto:rtorne@llorenteycuenca.com" TargetMode="Externa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fotocasa.es/es/quienes-somo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adevinta.com/" TargetMode="External"/><Relationship Id="rId20" Type="http://schemas.openxmlformats.org/officeDocument/2006/relationships/hyperlink" Target="https://www.infojobs.ne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uWqgStCh_w" TargetMode="External"/><Relationship Id="rId24" Type="http://schemas.openxmlformats.org/officeDocument/2006/relationships/hyperlink" Target="http://adevinta.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https://www.milanuncios.com/" TargetMode="External"/><Relationship Id="rId28" Type="http://schemas.openxmlformats.org/officeDocument/2006/relationships/hyperlink" Target="mailto:piglesias@llorenteycuenca.com" TargetMode="External"/><Relationship Id="rId10" Type="http://schemas.openxmlformats.org/officeDocument/2006/relationships/hyperlink" Target="https://www.fotocasa.es/es/" TargetMode="External"/><Relationship Id="rId19" Type="http://schemas.openxmlformats.org/officeDocument/2006/relationships/hyperlink" Target="https://www.habitaclia.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motos.coches.net/" TargetMode="External"/><Relationship Id="rId27" Type="http://schemas.openxmlformats.org/officeDocument/2006/relationships/hyperlink" Target="mailto:emerino@llorenteycuenca.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qYNBf74PGR10XnEQtV87EJUAww==">CgMxLjAaJwoBMBIiCiAIBCocCgtBQUFBNmVQYkZ2QRAIGgtBQUFBNmVQYkZ2QSKOAgoLQUFBQTZlUGJGdkES3gEKC0FBQUE2ZVBiRnZBEgtBQUFBNmVQYkZ2QRoRCgl0ZXh0L2h0bWwSBGxpbmsiEgoKdGV4dC9wbGFpbhIEbGluayobIhUxMDgyMDg1NzIxNTIwNDg4OTA4MDIoADgAMN2K1/+vMTjditf/rzFKSgoKdGV4dC9wbGFpbhI8UGVyZmlsIGRlbCBoaXBvdGVjYWRvIGVzcGHDsW9sIGVuIGVsIHByaW1lciBzZW1lc3RyZSBkZSAyMDIzWgxybnlybXBwcHV2OG5yAiAAeACaAQYIABAAGACqAQYSBGxpbmsY3YrX/68xIN2K1/+vMUIQa2l4LmRoaGJqcjNnZDl4MTIJaC4yczhleW8xOAByITE4OTZ0QzgyWEdYU1pfd0kzX293NktvYl9FZmp0U2FK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1167</Words>
  <Characters>6423</Characters>
  <Application>Microsoft Office Word</Application>
  <DocSecurity>0</DocSecurity>
  <Lines>53</Lines>
  <Paragraphs>15</Paragraphs>
  <ScaleCrop>false</ScaleCrop>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3</cp:revision>
  <dcterms:created xsi:type="dcterms:W3CDTF">2022-04-21T07:41:00Z</dcterms:created>
  <dcterms:modified xsi:type="dcterms:W3CDTF">2023-10-10T14:44:00Z</dcterms:modified>
</cp:coreProperties>
</file>