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6D3F9" w14:textId="77777777" w:rsidR="005327DD" w:rsidRDefault="00000000">
      <w:pPr>
        <w:spacing w:line="276" w:lineRule="auto"/>
        <w:ind w:right="-574"/>
        <w:jc w:val="center"/>
        <w:rPr>
          <w:rFonts w:ascii="National" w:eastAsia="National" w:hAnsi="National" w:cs="National"/>
          <w:b/>
          <w:color w:val="1DBDC5"/>
          <w:sz w:val="28"/>
          <w:szCs w:val="28"/>
        </w:rPr>
      </w:pPr>
      <w:r>
        <w:rPr>
          <w:rFonts w:ascii="National" w:eastAsia="National" w:hAnsi="National" w:cs="National"/>
          <w:b/>
          <w:color w:val="1DBDC5"/>
          <w:sz w:val="28"/>
          <w:szCs w:val="28"/>
        </w:rPr>
        <w:t>PERFIL DEL HIPOTECADO ESPAÑOL EN EL PRIMER SEMESTRE DE 2023</w:t>
      </w:r>
    </w:p>
    <w:p w14:paraId="015EAD2F" w14:textId="77777777" w:rsidR="005327DD" w:rsidRDefault="00000000">
      <w:pPr>
        <w:shd w:val="clear" w:color="auto" w:fill="FFFFFF"/>
        <w:ind w:right="-574"/>
        <w:jc w:val="center"/>
        <w:rPr>
          <w:rFonts w:ascii="National" w:eastAsia="National" w:hAnsi="National" w:cs="National"/>
          <w:b/>
          <w:color w:val="303AB2"/>
          <w:sz w:val="48"/>
          <w:szCs w:val="48"/>
        </w:rPr>
      </w:pPr>
      <w:r>
        <w:rPr>
          <w:rFonts w:ascii="National" w:eastAsia="National" w:hAnsi="National" w:cs="National"/>
          <w:b/>
          <w:color w:val="303AB2"/>
          <w:sz w:val="48"/>
          <w:szCs w:val="48"/>
        </w:rPr>
        <w:t>Mujer, de 40 años y que vive con su pareja e hijos, el perfil de la compradora de vivienda con hipoteca</w:t>
      </w:r>
    </w:p>
    <w:p w14:paraId="2826A09E" w14:textId="77777777" w:rsidR="005327DD" w:rsidRDefault="005327DD">
      <w:pPr>
        <w:spacing w:line="276" w:lineRule="auto"/>
        <w:ind w:right="-574"/>
        <w:rPr>
          <w:rFonts w:ascii="Open Sans" w:eastAsia="Open Sans" w:hAnsi="Open Sans" w:cs="Open Sans"/>
          <w:sz w:val="22"/>
          <w:szCs w:val="22"/>
          <w:highlight w:val="yellow"/>
        </w:rPr>
      </w:pPr>
    </w:p>
    <w:p w14:paraId="6CEC9E3F" w14:textId="77777777" w:rsidR="005327DD"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Se equilibra el porcentaje de mujeres y hombres que se hipotecan en 2023: un 52% son mujeres y un 48% son hombres</w:t>
      </w:r>
    </w:p>
    <w:p w14:paraId="4C7FBBDA" w14:textId="77777777" w:rsidR="005327DD"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Sube ligeramente la edad media del comprador al pasar de los 39 a los 40 años y la mitad se sitúa en los estratos socioeconómicos intermedios</w:t>
      </w:r>
    </w:p>
    <w:p w14:paraId="5B567E13" w14:textId="77777777" w:rsidR="005327DD"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Se incrementan los españoles que compran solos una vivienda y son el 12% de los hipotecados frente al 9% que representaban en 2021</w:t>
      </w:r>
    </w:p>
    <w:p w14:paraId="202F7D9D" w14:textId="77777777" w:rsidR="005327DD"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b/>
          <w:sz w:val="22"/>
          <w:szCs w:val="22"/>
        </w:rPr>
      </w:pPr>
      <w:hyperlink r:id="rId8">
        <w:r>
          <w:rPr>
            <w:rFonts w:ascii="Open Sans" w:eastAsia="Open Sans" w:hAnsi="Open Sans" w:cs="Open Sans"/>
            <w:b/>
            <w:color w:val="0000FF"/>
            <w:sz w:val="22"/>
            <w:szCs w:val="22"/>
            <w:u w:val="single"/>
          </w:rPr>
          <w:t>Aquí se puede ver un vídeo con las declaraciones de la directora de Estudios</w:t>
        </w:r>
      </w:hyperlink>
    </w:p>
    <w:p w14:paraId="58F2BA4A" w14:textId="77777777" w:rsidR="005327DD" w:rsidRDefault="005327DD">
      <w:pPr>
        <w:pBdr>
          <w:top w:val="nil"/>
          <w:left w:val="nil"/>
          <w:bottom w:val="nil"/>
          <w:right w:val="nil"/>
          <w:between w:val="nil"/>
        </w:pBdr>
        <w:spacing w:line="276" w:lineRule="auto"/>
        <w:ind w:right="-574"/>
        <w:jc w:val="both"/>
        <w:rPr>
          <w:rFonts w:ascii="Open Sans" w:eastAsia="Open Sans" w:hAnsi="Open Sans" w:cs="Open Sans"/>
          <w:color w:val="FF0000"/>
          <w:sz w:val="22"/>
          <w:szCs w:val="22"/>
        </w:rPr>
      </w:pPr>
    </w:p>
    <w:p w14:paraId="72E182F2" w14:textId="77777777" w:rsidR="005327DD" w:rsidRDefault="00000000">
      <w:pPr>
        <w:spacing w:line="276" w:lineRule="auto"/>
        <w:ind w:right="-574"/>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26 de octubre de 2023</w:t>
      </w:r>
    </w:p>
    <w:p w14:paraId="5069647D" w14:textId="77777777" w:rsidR="005327DD" w:rsidRDefault="005327DD">
      <w:pPr>
        <w:spacing w:line="276" w:lineRule="auto"/>
        <w:ind w:right="-574"/>
        <w:jc w:val="both"/>
        <w:rPr>
          <w:rFonts w:ascii="Open Sans" w:eastAsia="Open Sans" w:hAnsi="Open Sans" w:cs="Open Sans"/>
          <w:color w:val="000000"/>
          <w:sz w:val="22"/>
          <w:szCs w:val="22"/>
        </w:rPr>
      </w:pPr>
    </w:p>
    <w:p w14:paraId="764102DF" w14:textId="77777777" w:rsidR="005327DD"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retrato promedio de la persona que necesita una hipoteca para comprar una vivienda se mantiene similar al de años anteriores. De manera tendencial podemos decir que se reequilibra la proporción de hombres y mujeres, tras unos años en los que las mujeres tenían un peso relativamente mayor. Así, vemos que </w:t>
      </w:r>
      <w:r>
        <w:rPr>
          <w:rFonts w:ascii="Open Sans" w:eastAsia="Open Sans" w:hAnsi="Open Sans" w:cs="Open Sans"/>
          <w:b/>
          <w:color w:val="000000"/>
          <w:sz w:val="22"/>
          <w:szCs w:val="22"/>
        </w:rPr>
        <w:t>en 2023 son mujeres el 52% de las personas que firman una hipoteca, mientras que el 48% son hombres</w:t>
      </w:r>
      <w:r>
        <w:rPr>
          <w:rFonts w:ascii="Open Sans" w:eastAsia="Open Sans" w:hAnsi="Open Sans" w:cs="Open Sans"/>
          <w:color w:val="000000"/>
          <w:sz w:val="22"/>
          <w:szCs w:val="22"/>
        </w:rPr>
        <w:t>. Son porcentajes mucho más parejos que los de los años anteriores, ya que en 2022 eran el 56% las mujeres, y en 2021 el 57%. Esta es una de las principales conclusiones del informe “</w:t>
      </w:r>
      <w:hyperlink r:id="rId9">
        <w:r>
          <w:rPr>
            <w:rFonts w:ascii="Open Sans" w:eastAsia="Open Sans" w:hAnsi="Open Sans" w:cs="Open Sans"/>
            <w:b/>
            <w:i/>
            <w:color w:val="0000FF"/>
            <w:sz w:val="22"/>
            <w:szCs w:val="22"/>
            <w:u w:val="single"/>
          </w:rPr>
          <w:t>Perfil del hipotecado español en el primer semestre de 2023</w:t>
        </w:r>
      </w:hyperlink>
      <w:r>
        <w:rPr>
          <w:rFonts w:ascii="Open Sans" w:eastAsia="Open Sans" w:hAnsi="Open Sans" w:cs="Open Sans"/>
          <w:color w:val="000000"/>
          <w:sz w:val="22"/>
          <w:szCs w:val="22"/>
        </w:rPr>
        <w:t xml:space="preserve">”, realizado por el portal inmobiliario </w:t>
      </w:r>
      <w:hyperlink r:id="rId10">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w:t>
      </w:r>
    </w:p>
    <w:p w14:paraId="371821B1" w14:textId="77777777" w:rsidR="005327DD" w:rsidRDefault="005327DD">
      <w:pPr>
        <w:spacing w:line="276" w:lineRule="auto"/>
        <w:ind w:right="-574"/>
        <w:jc w:val="both"/>
        <w:rPr>
          <w:rFonts w:ascii="Open Sans" w:eastAsia="Open Sans" w:hAnsi="Open Sans" w:cs="Open Sans"/>
          <w:color w:val="000000"/>
          <w:sz w:val="22"/>
          <w:szCs w:val="22"/>
        </w:rPr>
      </w:pPr>
    </w:p>
    <w:p w14:paraId="33D166BB" w14:textId="77777777" w:rsidR="005327DD"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Por otra parte, </w:t>
      </w:r>
      <w:r>
        <w:rPr>
          <w:rFonts w:ascii="Open Sans" w:eastAsia="Open Sans" w:hAnsi="Open Sans" w:cs="Open Sans"/>
          <w:b/>
          <w:color w:val="000000"/>
          <w:sz w:val="22"/>
          <w:szCs w:val="22"/>
        </w:rPr>
        <w:t>sube ligeramente la edad media de los compradores que firman un préstamo vinculado al inmueble, al pasar de los 39 a los 40</w:t>
      </w:r>
      <w:r>
        <w:rPr>
          <w:rFonts w:ascii="Open Sans" w:eastAsia="Open Sans" w:hAnsi="Open Sans" w:cs="Open Sans"/>
          <w:color w:val="000000"/>
          <w:sz w:val="22"/>
          <w:szCs w:val="22"/>
        </w:rPr>
        <w:t>. La mitad de los compradores se ubica en los estratos socioeconómicos intermedios. También aumenta el peso de las clases altas entre los hipotecados en detrimento de las clases medias.</w:t>
      </w:r>
    </w:p>
    <w:p w14:paraId="035EEF33" w14:textId="77777777" w:rsidR="005327DD" w:rsidRDefault="005327DD">
      <w:pPr>
        <w:spacing w:line="276" w:lineRule="auto"/>
        <w:ind w:right="-574"/>
        <w:jc w:val="both"/>
        <w:rPr>
          <w:rFonts w:ascii="Open Sans" w:eastAsia="Open Sans" w:hAnsi="Open Sans" w:cs="Open Sans"/>
          <w:color w:val="000000"/>
          <w:sz w:val="22"/>
          <w:szCs w:val="22"/>
        </w:rPr>
      </w:pPr>
    </w:p>
    <w:p w14:paraId="6C0B3424" w14:textId="77777777" w:rsidR="005327DD" w:rsidRDefault="00000000">
      <w:pPr>
        <w:spacing w:line="276" w:lineRule="auto"/>
        <w:ind w:right="-574"/>
        <w:jc w:val="both"/>
        <w:rPr>
          <w:rFonts w:ascii="Open Sans" w:eastAsia="Open Sans" w:hAnsi="Open Sans" w:cs="Open Sans"/>
          <w:b/>
          <w:color w:val="000000"/>
          <w:sz w:val="22"/>
          <w:szCs w:val="22"/>
        </w:rPr>
      </w:pPr>
      <w:r>
        <w:rPr>
          <w:rFonts w:ascii="Open Sans" w:eastAsia="Open Sans" w:hAnsi="Open Sans" w:cs="Open Sans"/>
          <w:color w:val="000000"/>
          <w:sz w:val="22"/>
          <w:szCs w:val="22"/>
        </w:rPr>
        <w:t xml:space="preserve">De esta manera, las primeras pasan del 43% al 52%, mientras que las segundas disminuyen del 24% al 19%. </w:t>
      </w:r>
      <w:r>
        <w:rPr>
          <w:rFonts w:ascii="Open Sans" w:eastAsia="Open Sans" w:hAnsi="Open Sans" w:cs="Open Sans"/>
          <w:sz w:val="22"/>
          <w:szCs w:val="22"/>
        </w:rPr>
        <w:t>En cuanto a la f</w:t>
      </w:r>
      <w:r>
        <w:rPr>
          <w:rFonts w:ascii="Open Sans" w:eastAsia="Open Sans" w:hAnsi="Open Sans" w:cs="Open Sans"/>
          <w:color w:val="000000"/>
          <w:sz w:val="22"/>
          <w:szCs w:val="22"/>
        </w:rPr>
        <w:t xml:space="preserve">órmula de convivencia, la situación más común (37%) es la de personas que viven con su pareja e hijos, seguida por los compradores hipotecados que viven en pareja, que constituyen el 36%. Ambos grupos se </w:t>
      </w:r>
      <w:r>
        <w:rPr>
          <w:rFonts w:ascii="Open Sans" w:eastAsia="Open Sans" w:hAnsi="Open Sans" w:cs="Open Sans"/>
          <w:color w:val="000000"/>
          <w:sz w:val="22"/>
          <w:szCs w:val="22"/>
        </w:rPr>
        <w:lastRenderedPageBreak/>
        <w:t xml:space="preserve">mantienen en valores iguales o similares a los de un año antes. </w:t>
      </w:r>
      <w:r>
        <w:rPr>
          <w:rFonts w:ascii="Open Sans" w:eastAsia="Open Sans" w:hAnsi="Open Sans" w:cs="Open Sans"/>
          <w:b/>
          <w:color w:val="000000"/>
          <w:sz w:val="22"/>
          <w:szCs w:val="22"/>
        </w:rPr>
        <w:t>Y a notable distancia se sitúan los que viven solos/as, que se mantienen en el 12%, tras la subida experimentada el año pasado respecto a 2021, cuando únicamente eran el 9%.</w:t>
      </w:r>
    </w:p>
    <w:p w14:paraId="04DC4743" w14:textId="77777777" w:rsidR="005327DD" w:rsidRDefault="005327DD">
      <w:pPr>
        <w:spacing w:line="276" w:lineRule="auto"/>
        <w:ind w:right="-574"/>
        <w:jc w:val="both"/>
        <w:rPr>
          <w:rFonts w:ascii="Open Sans" w:eastAsia="Open Sans" w:hAnsi="Open Sans" w:cs="Open Sans"/>
          <w:b/>
          <w:color w:val="000000"/>
          <w:sz w:val="22"/>
          <w:szCs w:val="22"/>
        </w:rPr>
      </w:pPr>
    </w:p>
    <w:p w14:paraId="11A68453" w14:textId="77777777" w:rsidR="005327DD"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sz w:val="22"/>
          <w:szCs w:val="22"/>
        </w:rPr>
        <w:t xml:space="preserve">“Se detecta una leve variación en el perfil de quien se hipoteca; lo que más llama la atención es que se eleva el porcentaje de quienes compran individualmente y que el objetivo de la compra de esa vivienda es para invertir en detrimento de quien compra como segunda residencia como veíamos en años anteriores. Este nuevo demandante comienza a asentarse atraído por el valor refugio del ladrillo en nuestro país que frente a momentos de incertidumbre financiera busca invertir para sobrellevar la posible recesión económica”, comenta María Matos, directora de Estudios y portavoz de </w:t>
      </w:r>
      <w:hyperlink r:id="rId11">
        <w:r>
          <w:rPr>
            <w:rFonts w:ascii="Open Sans" w:eastAsia="Open Sans" w:hAnsi="Open Sans" w:cs="Open Sans"/>
            <w:color w:val="1155CC"/>
            <w:sz w:val="22"/>
            <w:szCs w:val="22"/>
            <w:u w:val="single"/>
          </w:rPr>
          <w:t>Fotocasa</w:t>
        </w:r>
      </w:hyperlink>
      <w:r>
        <w:rPr>
          <w:rFonts w:ascii="Open Sans" w:eastAsia="Open Sans" w:hAnsi="Open Sans" w:cs="Open Sans"/>
          <w:sz w:val="22"/>
          <w:szCs w:val="22"/>
        </w:rPr>
        <w:t>.</w:t>
      </w:r>
    </w:p>
    <w:p w14:paraId="3C2F135C" w14:textId="77777777" w:rsidR="005327DD" w:rsidRDefault="005327DD">
      <w:pPr>
        <w:spacing w:line="276" w:lineRule="auto"/>
        <w:ind w:right="-574"/>
        <w:jc w:val="both"/>
        <w:rPr>
          <w:rFonts w:ascii="Open Sans" w:eastAsia="Open Sans" w:hAnsi="Open Sans" w:cs="Open Sans"/>
          <w:color w:val="000000"/>
          <w:sz w:val="22"/>
          <w:szCs w:val="22"/>
        </w:rPr>
      </w:pPr>
    </w:p>
    <w:p w14:paraId="75067487" w14:textId="77777777" w:rsidR="005327DD" w:rsidRDefault="00000000">
      <w:pPr>
        <w:spacing w:line="276" w:lineRule="auto"/>
        <w:ind w:right="-574"/>
        <w:jc w:val="center"/>
        <w:rPr>
          <w:rFonts w:ascii="Open Sans" w:eastAsia="Open Sans" w:hAnsi="Open Sans" w:cs="Open Sans"/>
          <w:b/>
          <w:sz w:val="22"/>
          <w:szCs w:val="22"/>
        </w:rPr>
      </w:pPr>
      <w:hyperlink r:id="rId12">
        <w:r>
          <w:rPr>
            <w:rFonts w:ascii="Open Sans" w:eastAsia="Open Sans" w:hAnsi="Open Sans" w:cs="Open Sans"/>
            <w:b/>
            <w:color w:val="0000FF"/>
            <w:sz w:val="22"/>
            <w:szCs w:val="22"/>
            <w:u w:val="single"/>
          </w:rPr>
          <w:t>Declaraciones de la directora de Estudios de Fotocasa, María Matos</w:t>
        </w:r>
      </w:hyperlink>
    </w:p>
    <w:p w14:paraId="13B16385" w14:textId="77777777" w:rsidR="005327DD" w:rsidRDefault="005327DD">
      <w:pPr>
        <w:spacing w:line="276" w:lineRule="auto"/>
        <w:ind w:right="-574"/>
        <w:jc w:val="both"/>
        <w:rPr>
          <w:rFonts w:ascii="Open Sans" w:eastAsia="Open Sans" w:hAnsi="Open Sans" w:cs="Open Sans"/>
          <w:sz w:val="22"/>
          <w:szCs w:val="22"/>
        </w:rPr>
      </w:pPr>
    </w:p>
    <w:p w14:paraId="17439E31" w14:textId="77777777" w:rsidR="005327DD" w:rsidRDefault="00000000">
      <w:pPr>
        <w:spacing w:line="276" w:lineRule="auto"/>
        <w:ind w:right="-574"/>
        <w:jc w:val="center"/>
        <w:rPr>
          <w:rFonts w:ascii="Open Sans" w:eastAsia="Open Sans" w:hAnsi="Open Sans" w:cs="Open Sans"/>
          <w:sz w:val="22"/>
          <w:szCs w:val="22"/>
        </w:rPr>
      </w:pPr>
      <w:r>
        <w:rPr>
          <w:noProof/>
        </w:rPr>
        <w:drawing>
          <wp:inline distT="0" distB="0" distL="0" distR="0" wp14:anchorId="44E4284C" wp14:editId="7FEAB243">
            <wp:extent cx="5396230" cy="3070225"/>
            <wp:effectExtent l="0" t="0" r="0" b="0"/>
            <wp:docPr id="2025152990" name="image4.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nterfaz de usuario gráfica, Aplicación&#10;&#10;Descripción generada automáticamente"/>
                    <pic:cNvPicPr preferRelativeResize="0"/>
                  </pic:nvPicPr>
                  <pic:blipFill>
                    <a:blip r:embed="rId13"/>
                    <a:srcRect/>
                    <a:stretch>
                      <a:fillRect/>
                    </a:stretch>
                  </pic:blipFill>
                  <pic:spPr>
                    <a:xfrm>
                      <a:off x="0" y="0"/>
                      <a:ext cx="5396230" cy="3070225"/>
                    </a:xfrm>
                    <a:prstGeom prst="rect">
                      <a:avLst/>
                    </a:prstGeom>
                    <a:ln/>
                  </pic:spPr>
                </pic:pic>
              </a:graphicData>
            </a:graphic>
          </wp:inline>
        </w:drawing>
      </w:r>
    </w:p>
    <w:p w14:paraId="18186C1C" w14:textId="77777777" w:rsidR="005327DD" w:rsidRDefault="005327DD">
      <w:pPr>
        <w:spacing w:line="276" w:lineRule="auto"/>
        <w:ind w:right="-574"/>
        <w:jc w:val="both"/>
        <w:rPr>
          <w:rFonts w:ascii="Open Sans" w:eastAsia="Open Sans" w:hAnsi="Open Sans" w:cs="Open Sans"/>
          <w:color w:val="000000"/>
          <w:sz w:val="22"/>
          <w:szCs w:val="22"/>
        </w:rPr>
      </w:pPr>
    </w:p>
    <w:p w14:paraId="7BF82B63" w14:textId="77777777" w:rsidR="005327DD" w:rsidRDefault="005327DD">
      <w:pPr>
        <w:spacing w:line="276" w:lineRule="auto"/>
        <w:ind w:right="-574"/>
        <w:jc w:val="both"/>
        <w:rPr>
          <w:rFonts w:ascii="Open Sans" w:eastAsia="Open Sans" w:hAnsi="Open Sans" w:cs="Open Sans"/>
          <w:color w:val="000000"/>
          <w:sz w:val="22"/>
          <w:szCs w:val="22"/>
        </w:rPr>
      </w:pPr>
    </w:p>
    <w:p w14:paraId="7AA55E29" w14:textId="77777777" w:rsidR="005327DD"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Por otro lado, experimentan un </w:t>
      </w:r>
      <w:r>
        <w:rPr>
          <w:rFonts w:ascii="Open Sans" w:eastAsia="Open Sans" w:hAnsi="Open Sans" w:cs="Open Sans"/>
          <w:b/>
          <w:color w:val="000000"/>
          <w:sz w:val="22"/>
          <w:szCs w:val="22"/>
        </w:rPr>
        <w:t>ligero incremento quienes viven con sus padres, que crece del 7% en 2022 al 8% doce meses después</w:t>
      </w:r>
      <w:r>
        <w:rPr>
          <w:rFonts w:ascii="Open Sans" w:eastAsia="Open Sans" w:hAnsi="Open Sans" w:cs="Open Sans"/>
          <w:color w:val="000000"/>
          <w:sz w:val="22"/>
          <w:szCs w:val="22"/>
        </w:rPr>
        <w:t>. También son más los que viven con sus hijos, que pasan del 3% al 4%, con tendencia al alza.</w:t>
      </w:r>
    </w:p>
    <w:p w14:paraId="351A4BFF" w14:textId="77777777" w:rsidR="005327DD" w:rsidRDefault="005327DD">
      <w:pPr>
        <w:spacing w:line="276" w:lineRule="auto"/>
        <w:ind w:right="-574"/>
        <w:jc w:val="both"/>
        <w:rPr>
          <w:rFonts w:ascii="Open Sans" w:eastAsia="Open Sans" w:hAnsi="Open Sans" w:cs="Open Sans"/>
          <w:color w:val="000000"/>
          <w:sz w:val="22"/>
          <w:szCs w:val="22"/>
        </w:rPr>
      </w:pPr>
    </w:p>
    <w:p w14:paraId="4CE24E47" w14:textId="77777777" w:rsidR="005327DD" w:rsidRDefault="00000000">
      <w:pPr>
        <w:spacing w:line="276" w:lineRule="auto"/>
        <w:ind w:right="-574"/>
        <w:jc w:val="center"/>
        <w:rPr>
          <w:rFonts w:ascii="Open Sans" w:eastAsia="Open Sans" w:hAnsi="Open Sans" w:cs="Open Sans"/>
          <w:color w:val="000000"/>
          <w:sz w:val="22"/>
          <w:szCs w:val="22"/>
        </w:rPr>
      </w:pPr>
      <w:r>
        <w:rPr>
          <w:noProof/>
        </w:rPr>
        <w:lastRenderedPageBreak/>
        <w:drawing>
          <wp:inline distT="0" distB="0" distL="0" distR="0" wp14:anchorId="69C5BF8E" wp14:editId="6252974E">
            <wp:extent cx="5735373" cy="4571110"/>
            <wp:effectExtent l="0" t="0" r="0" b="0"/>
            <wp:docPr id="2025152991" name="image2.png" descr="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Escala de tiempo&#10;&#10;Descripción generada automáticamente"/>
                    <pic:cNvPicPr preferRelativeResize="0"/>
                  </pic:nvPicPr>
                  <pic:blipFill>
                    <a:blip r:embed="rId14"/>
                    <a:srcRect/>
                    <a:stretch>
                      <a:fillRect/>
                    </a:stretch>
                  </pic:blipFill>
                  <pic:spPr>
                    <a:xfrm>
                      <a:off x="0" y="0"/>
                      <a:ext cx="5735373" cy="4571110"/>
                    </a:xfrm>
                    <a:prstGeom prst="rect">
                      <a:avLst/>
                    </a:prstGeom>
                    <a:ln/>
                  </pic:spPr>
                </pic:pic>
              </a:graphicData>
            </a:graphic>
          </wp:inline>
        </w:drawing>
      </w:r>
    </w:p>
    <w:p w14:paraId="20E1CF10" w14:textId="77777777" w:rsidR="005327DD" w:rsidRDefault="005327DD">
      <w:pPr>
        <w:spacing w:line="276" w:lineRule="auto"/>
        <w:ind w:right="-574"/>
        <w:jc w:val="both"/>
        <w:rPr>
          <w:rFonts w:ascii="Open Sans" w:eastAsia="Open Sans" w:hAnsi="Open Sans" w:cs="Open Sans"/>
          <w:color w:val="000000"/>
          <w:sz w:val="22"/>
          <w:szCs w:val="22"/>
        </w:rPr>
      </w:pPr>
    </w:p>
    <w:p w14:paraId="11D1676A" w14:textId="77777777" w:rsidR="005327DD"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Doce meses después, </w:t>
      </w:r>
      <w:r>
        <w:rPr>
          <w:rFonts w:ascii="Open Sans" w:eastAsia="Open Sans" w:hAnsi="Open Sans" w:cs="Open Sans"/>
          <w:b/>
          <w:color w:val="000000"/>
          <w:sz w:val="22"/>
          <w:szCs w:val="22"/>
        </w:rPr>
        <w:t>también se aprecia una situación de estabilidad en cuanto al estado civil de quien compra mediante hipoteca</w:t>
      </w:r>
      <w:r>
        <w:rPr>
          <w:rFonts w:ascii="Open Sans" w:eastAsia="Open Sans" w:hAnsi="Open Sans" w:cs="Open Sans"/>
          <w:color w:val="000000"/>
          <w:sz w:val="22"/>
          <w:szCs w:val="22"/>
        </w:rPr>
        <w:t>. La mayoría son personas casadas, parejas de hecho o conviviendo en pareja. Este grupo supone el 66% del total (67% en 2022), un porcentaje mucho menor, sin embargo, que el 74% de 2021. Por su parte, los compradores solteros se mantienen en el 26%.</w:t>
      </w:r>
    </w:p>
    <w:p w14:paraId="297915BE" w14:textId="77777777" w:rsidR="005327DD" w:rsidRDefault="005327DD">
      <w:pPr>
        <w:spacing w:line="276" w:lineRule="auto"/>
        <w:ind w:right="-574"/>
        <w:jc w:val="both"/>
        <w:rPr>
          <w:rFonts w:ascii="Open Sans" w:eastAsia="Open Sans" w:hAnsi="Open Sans" w:cs="Open Sans"/>
          <w:color w:val="000000"/>
          <w:sz w:val="22"/>
          <w:szCs w:val="22"/>
        </w:rPr>
      </w:pPr>
    </w:p>
    <w:p w14:paraId="2543D166" w14:textId="77777777" w:rsidR="005327DD"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b/>
          <w:color w:val="000000"/>
          <w:sz w:val="22"/>
          <w:szCs w:val="22"/>
        </w:rPr>
        <w:t>En relación con el uso que se le va a dar a la vivienda por la que se han hipotecado, la primera elección es la de vivienda habitual, en un 86% de los casos</w:t>
      </w:r>
      <w:r>
        <w:rPr>
          <w:rFonts w:ascii="Open Sans" w:eastAsia="Open Sans" w:hAnsi="Open Sans" w:cs="Open Sans"/>
          <w:color w:val="000000"/>
          <w:sz w:val="22"/>
          <w:szCs w:val="22"/>
        </w:rPr>
        <w:t>. Este porcentaje se incrementa en un punto porcentual respecto al del año anterior. No obstante, sí se detectan ligeros cambios en quienes compran como segunda residencia, que baja del</w:t>
      </w:r>
      <w:r>
        <w:rPr>
          <w:rFonts w:ascii="Open Sans" w:eastAsia="Open Sans" w:hAnsi="Open Sans" w:cs="Open Sans"/>
          <w:sz w:val="22"/>
          <w:szCs w:val="22"/>
        </w:rPr>
        <w:t xml:space="preserve"> </w:t>
      </w:r>
      <w:r>
        <w:rPr>
          <w:rFonts w:ascii="Open Sans" w:eastAsia="Open Sans" w:hAnsi="Open Sans" w:cs="Open Sans"/>
          <w:color w:val="000000"/>
          <w:sz w:val="22"/>
          <w:szCs w:val="22"/>
        </w:rPr>
        <w:t xml:space="preserve">11% de 2022 al 9%. De esta manera, se acerca al 8% que se registró en 2021. </w:t>
      </w:r>
      <w:r>
        <w:rPr>
          <w:rFonts w:ascii="Open Sans" w:eastAsia="Open Sans" w:hAnsi="Open Sans" w:cs="Open Sans"/>
          <w:b/>
          <w:color w:val="000000"/>
          <w:sz w:val="22"/>
          <w:szCs w:val="22"/>
        </w:rPr>
        <w:t>Por su parte, los que se hipotecan para adquirir la vivienda como inversión pasan del 2% al 3%.</w:t>
      </w:r>
    </w:p>
    <w:p w14:paraId="35C4F273" w14:textId="77777777" w:rsidR="005327DD" w:rsidRDefault="005327DD">
      <w:pPr>
        <w:spacing w:line="276" w:lineRule="auto"/>
        <w:ind w:right="-574"/>
        <w:jc w:val="both"/>
        <w:rPr>
          <w:rFonts w:ascii="Open Sans" w:eastAsia="Open Sans" w:hAnsi="Open Sans" w:cs="Open Sans"/>
          <w:color w:val="000000"/>
          <w:sz w:val="22"/>
          <w:szCs w:val="22"/>
        </w:rPr>
      </w:pPr>
    </w:p>
    <w:p w14:paraId="5F95E8B0" w14:textId="77777777" w:rsidR="005327DD" w:rsidRDefault="005327DD">
      <w:pPr>
        <w:spacing w:line="276" w:lineRule="auto"/>
        <w:ind w:right="-574"/>
        <w:jc w:val="both"/>
        <w:rPr>
          <w:rFonts w:ascii="Open Sans" w:eastAsia="Open Sans" w:hAnsi="Open Sans" w:cs="Open Sans"/>
          <w:color w:val="000000"/>
          <w:sz w:val="22"/>
          <w:szCs w:val="22"/>
        </w:rPr>
      </w:pPr>
    </w:p>
    <w:p w14:paraId="219B5B3C" w14:textId="77777777" w:rsidR="00651AA5" w:rsidRDefault="00651AA5">
      <w:pPr>
        <w:spacing w:line="276" w:lineRule="auto"/>
        <w:ind w:right="-574"/>
        <w:jc w:val="both"/>
        <w:rPr>
          <w:rFonts w:ascii="Open Sans" w:eastAsia="Open Sans" w:hAnsi="Open Sans" w:cs="Open Sans"/>
          <w:color w:val="000000"/>
          <w:sz w:val="22"/>
          <w:szCs w:val="22"/>
        </w:rPr>
      </w:pPr>
    </w:p>
    <w:p w14:paraId="150C89A6" w14:textId="77777777" w:rsidR="005327DD" w:rsidRDefault="00000000">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1D095363" w14:textId="77777777" w:rsidR="005327DD" w:rsidRDefault="00000000">
      <w:pPr>
        <w:shd w:val="clear" w:color="auto" w:fill="FFFFFF"/>
        <w:spacing w:before="280" w:after="280" w:line="276" w:lineRule="auto"/>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5">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xml:space="preserve">, un informe de referencia sobre la evolución del precio medio de la vivienda en España, tanto en venta como en alquiler. Toda nuestra información la puedes encontrar en nuestra </w:t>
      </w:r>
      <w:hyperlink r:id="rId16">
        <w:r>
          <w:rPr>
            <w:rFonts w:ascii="Open Sans" w:eastAsia="Open Sans" w:hAnsi="Open Sans" w:cs="Open Sans"/>
            <w:color w:val="0000FF"/>
            <w:sz w:val="22"/>
            <w:szCs w:val="22"/>
            <w:u w:val="single"/>
          </w:rPr>
          <w:t>Sala de Prensa</w:t>
        </w:r>
      </w:hyperlink>
      <w:r>
        <w:rPr>
          <w:rFonts w:ascii="Open Sans" w:eastAsia="Open Sans" w:hAnsi="Open Sans" w:cs="Open Sans"/>
          <w:color w:val="000000"/>
          <w:sz w:val="22"/>
          <w:szCs w:val="22"/>
        </w:rPr>
        <w:t xml:space="preserve">. </w:t>
      </w:r>
    </w:p>
    <w:bookmarkStart w:id="0" w:name="_heading=h.2s8eyo1" w:colFirst="0" w:colLast="0"/>
    <w:bookmarkEnd w:id="0"/>
    <w:p w14:paraId="09D0CBA5" w14:textId="77777777" w:rsidR="005327DD" w:rsidRDefault="00000000">
      <w:pPr>
        <w:shd w:val="clear" w:color="auto" w:fill="FFFFFF"/>
        <w:spacing w:before="280" w:after="280" w:line="276" w:lineRule="auto"/>
        <w:ind w:right="-716"/>
        <w:jc w:val="both"/>
        <w:rPr>
          <w:rFonts w:ascii="Open Sans" w:eastAsia="Open Sans" w:hAnsi="Open Sans" w:cs="Open Sans"/>
          <w:color w:val="000000"/>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una empresa 100% especializada en </w:t>
      </w:r>
      <w:proofErr w:type="spellStart"/>
      <w:r>
        <w:rPr>
          <w:rFonts w:ascii="Open Sans" w:eastAsia="Open Sans" w:hAnsi="Open Sans" w:cs="Open Sans"/>
          <w:color w:val="000000"/>
          <w:sz w:val="22"/>
          <w:szCs w:val="22"/>
        </w:rPr>
        <w:t>Marketplaces</w:t>
      </w:r>
      <w:proofErr w:type="spellEnd"/>
      <w:r>
        <w:rPr>
          <w:rFonts w:ascii="Open Sans" w:eastAsia="Open Sans" w:hAnsi="Open Sans" w:cs="Open Sans"/>
          <w:color w:val="000000"/>
          <w:sz w:val="22"/>
          <w:szCs w:val="22"/>
        </w:rPr>
        <w:t xml:space="preserve"> digitales y el único “pure </w:t>
      </w:r>
      <w:proofErr w:type="spellStart"/>
      <w:r>
        <w:rPr>
          <w:rFonts w:ascii="Open Sans" w:eastAsia="Open Sans" w:hAnsi="Open Sans" w:cs="Open Sans"/>
          <w:color w:val="000000"/>
          <w:sz w:val="22"/>
          <w:szCs w:val="22"/>
        </w:rPr>
        <w:t>player</w:t>
      </w:r>
      <w:proofErr w:type="spellEnd"/>
      <w:r>
        <w:rPr>
          <w:rFonts w:ascii="Open Sans" w:eastAsia="Open Sans" w:hAnsi="Open Sans" w:cs="Open Sans"/>
          <w:color w:val="000000"/>
          <w:sz w:val="22"/>
          <w:szCs w:val="22"/>
        </w:rPr>
        <w:t xml:space="preserve">” del sector a nivel mundial. </w:t>
      </w:r>
    </w:p>
    <w:p w14:paraId="2A2121C7" w14:textId="77777777" w:rsidR="005327DD" w:rsidRDefault="00000000">
      <w:pPr>
        <w:shd w:val="clear" w:color="auto" w:fill="FFFFFF"/>
        <w:spacing w:before="280" w:after="280" w:line="276" w:lineRule="auto"/>
        <w:ind w:right="-716"/>
        <w:jc w:val="both"/>
        <w:rPr>
          <w:rFonts w:ascii="Open Sans" w:eastAsia="Open Sans" w:hAnsi="Open Sans" w:cs="Open Sans"/>
          <w:color w:val="000000"/>
          <w:sz w:val="22"/>
          <w:szCs w:val="22"/>
        </w:rPr>
      </w:pPr>
      <w:hyperlink r:id="rId17">
        <w:r>
          <w:rPr>
            <w:rFonts w:ascii="Open Sans" w:eastAsia="Open Sans" w:hAnsi="Open Sans" w:cs="Open Sans"/>
            <w:color w:val="0000FF"/>
            <w:sz w:val="22"/>
            <w:szCs w:val="22"/>
            <w:u w:val="single"/>
          </w:rPr>
          <w:t>Más información sobre Fotocasa</w:t>
        </w:r>
      </w:hyperlink>
      <w:r>
        <w:rPr>
          <w:rFonts w:ascii="Open Sans" w:eastAsia="Open Sans" w:hAnsi="Open Sans" w:cs="Open Sans"/>
          <w:color w:val="000000"/>
          <w:sz w:val="22"/>
          <w:szCs w:val="22"/>
        </w:rPr>
        <w:t xml:space="preserve">. </w:t>
      </w:r>
    </w:p>
    <w:p w14:paraId="5419A8E8" w14:textId="77777777" w:rsidR="005327DD" w:rsidRDefault="00000000">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7771AF69" w14:textId="77777777" w:rsidR="005327DD" w:rsidRDefault="00000000">
      <w:pPr>
        <w:spacing w:before="143" w:after="200"/>
        <w:ind w:right="-716"/>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18">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0">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1">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2">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5F6334E5" w14:textId="77777777" w:rsidR="005327DD" w:rsidRDefault="00000000">
      <w:pPr>
        <w:spacing w:before="143" w:after="200"/>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Los negocios de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7BF128CD" w14:textId="77777777" w:rsidR="005327DD" w:rsidRDefault="00000000">
      <w:pPr>
        <w:spacing w:before="143" w:after="200"/>
        <w:ind w:right="-716"/>
        <w:jc w:val="both"/>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tiene presencia mundial en 10 países. El conjunto de sus plataformas locales recibe un promedio de 3.000 millones de visitas cada mes. </w:t>
      </w:r>
    </w:p>
    <w:p w14:paraId="6DB74B16" w14:textId="77777777" w:rsidR="005327DD" w:rsidRDefault="00000000">
      <w:pPr>
        <w:spacing w:after="160"/>
        <w:ind w:right="-716"/>
        <w:jc w:val="both"/>
        <w:rPr>
          <w:rFonts w:ascii="Open Sans" w:eastAsia="Open Sans" w:hAnsi="Open Sans" w:cs="Open Sans"/>
          <w:color w:val="1155CC"/>
          <w:sz w:val="22"/>
          <w:szCs w:val="22"/>
          <w:u w:val="single"/>
        </w:rPr>
      </w:pPr>
      <w:r>
        <w:rPr>
          <w:rFonts w:ascii="Open Sans" w:eastAsia="Open Sans" w:hAnsi="Open Sans" w:cs="Open Sans"/>
          <w:sz w:val="22"/>
          <w:szCs w:val="22"/>
        </w:rPr>
        <w:t xml:space="preserve">Más información en </w:t>
      </w:r>
      <w:hyperlink r:id="rId23">
        <w:r>
          <w:rPr>
            <w:rFonts w:ascii="Open Sans" w:eastAsia="Open Sans" w:hAnsi="Open Sans" w:cs="Open Sans"/>
            <w:color w:val="1155CC"/>
            <w:sz w:val="22"/>
            <w:szCs w:val="22"/>
            <w:u w:val="single"/>
          </w:rPr>
          <w:t>adevinta.es</w:t>
        </w:r>
      </w:hyperlink>
    </w:p>
    <w:p w14:paraId="2BC88CB2" w14:textId="77777777" w:rsidR="005327DD" w:rsidRDefault="005327DD">
      <w:pPr>
        <w:spacing w:after="160"/>
        <w:ind w:right="-716"/>
        <w:jc w:val="both"/>
        <w:rPr>
          <w:rFonts w:ascii="Open Sans" w:eastAsia="Open Sans" w:hAnsi="Open Sans" w:cs="Open Sans"/>
        </w:rPr>
      </w:pPr>
    </w:p>
    <w:p w14:paraId="47CA4C53" w14:textId="77777777" w:rsidR="005327DD" w:rsidRDefault="00000000">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36DEE6D1" w14:textId="77777777" w:rsidR="005327DD" w:rsidRDefault="00000000">
      <w:pPr>
        <w:shd w:val="clear" w:color="auto" w:fill="FFFFFF"/>
        <w:spacing w:line="276" w:lineRule="auto"/>
        <w:ind w:right="-716"/>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2049B186" w14:textId="77777777" w:rsidR="005327DD" w:rsidRDefault="00000000">
      <w:pPr>
        <w:shd w:val="clear" w:color="auto" w:fill="FFFFFF"/>
        <w:spacing w:line="276" w:lineRule="auto"/>
        <w:ind w:right="-716"/>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comunicacion@fotocasa.es</w:t>
        </w:r>
      </w:hyperlink>
    </w:p>
    <w:p w14:paraId="462C341A" w14:textId="77777777" w:rsidR="005327DD" w:rsidRDefault="00000000">
      <w:pPr>
        <w:shd w:val="clear" w:color="auto" w:fill="FFFFFF"/>
        <w:spacing w:line="276" w:lineRule="auto"/>
        <w:ind w:right="-716"/>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28D79BCB" w14:textId="77777777" w:rsidR="005327DD" w:rsidRDefault="005327DD">
      <w:pPr>
        <w:spacing w:line="276" w:lineRule="auto"/>
        <w:ind w:right="-716"/>
        <w:rPr>
          <w:rFonts w:ascii="Open Sans Light" w:eastAsia="Open Sans Light" w:hAnsi="Open Sans Light" w:cs="Open Sans Light"/>
          <w:b/>
          <w:color w:val="303AB2"/>
          <w:sz w:val="22"/>
          <w:szCs w:val="22"/>
        </w:rPr>
      </w:pPr>
    </w:p>
    <w:p w14:paraId="7280861F" w14:textId="77777777" w:rsidR="005327DD" w:rsidRDefault="005327DD">
      <w:pPr>
        <w:spacing w:line="276" w:lineRule="auto"/>
        <w:ind w:right="-716"/>
        <w:rPr>
          <w:rFonts w:ascii="Open Sans Light" w:eastAsia="Open Sans Light" w:hAnsi="Open Sans Light" w:cs="Open Sans Light"/>
          <w:b/>
          <w:color w:val="303AB2"/>
          <w:sz w:val="22"/>
          <w:szCs w:val="22"/>
        </w:rPr>
      </w:pPr>
    </w:p>
    <w:p w14:paraId="47A64920" w14:textId="77777777" w:rsidR="005327DD" w:rsidRDefault="005327DD">
      <w:pPr>
        <w:spacing w:line="276" w:lineRule="auto"/>
        <w:ind w:right="-716"/>
        <w:rPr>
          <w:rFonts w:ascii="Open Sans Light" w:eastAsia="Open Sans Light" w:hAnsi="Open Sans Light" w:cs="Open Sans Light"/>
          <w:b/>
          <w:color w:val="303AB2"/>
          <w:sz w:val="22"/>
          <w:szCs w:val="22"/>
        </w:rPr>
      </w:pPr>
    </w:p>
    <w:p w14:paraId="51501FD3" w14:textId="77777777" w:rsidR="005327DD" w:rsidRDefault="00000000">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lastRenderedPageBreak/>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09E1BB45" w14:textId="77777777" w:rsidR="005327DD" w:rsidRDefault="00000000">
      <w:pPr>
        <w:shd w:val="clear" w:color="auto" w:fill="FFFFFF"/>
        <w:spacing w:line="276" w:lineRule="auto"/>
        <w:ind w:right="-716"/>
        <w:rPr>
          <w:rFonts w:ascii="Open Sans" w:eastAsia="Open Sans" w:hAnsi="Open Sans" w:cs="Open Sans"/>
          <w:b/>
          <w:color w:val="000000"/>
          <w:sz w:val="22"/>
          <w:szCs w:val="22"/>
        </w:rPr>
      </w:pPr>
      <w:r>
        <w:rPr>
          <w:rFonts w:ascii="Open Sans" w:eastAsia="Open Sans" w:hAnsi="Open Sans" w:cs="Open Sans"/>
          <w:b/>
          <w:color w:val="000000"/>
          <w:sz w:val="22"/>
          <w:szCs w:val="22"/>
        </w:rPr>
        <w:t>Ramon Torné</w:t>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t xml:space="preserve">                 </w:t>
      </w:r>
    </w:p>
    <w:p w14:paraId="33DA02D6" w14:textId="77777777" w:rsidR="005327DD" w:rsidRPr="00651AA5" w:rsidRDefault="00000000">
      <w:pPr>
        <w:shd w:val="clear" w:color="auto" w:fill="FFFFFF"/>
        <w:spacing w:line="276" w:lineRule="auto"/>
        <w:ind w:right="-716"/>
        <w:rPr>
          <w:rFonts w:ascii="Open Sans" w:eastAsia="Open Sans" w:hAnsi="Open Sans" w:cs="Open Sans"/>
          <w:color w:val="0000FF"/>
          <w:sz w:val="22"/>
          <w:szCs w:val="22"/>
          <w:u w:val="single"/>
          <w:lang w:val="en-US"/>
        </w:rPr>
      </w:pPr>
      <w:hyperlink r:id="rId25">
        <w:r w:rsidRPr="00651AA5">
          <w:rPr>
            <w:rFonts w:ascii="Open Sans" w:eastAsia="Open Sans" w:hAnsi="Open Sans" w:cs="Open Sans"/>
            <w:color w:val="0000FF"/>
            <w:sz w:val="22"/>
            <w:szCs w:val="22"/>
            <w:u w:val="single"/>
            <w:lang w:val="en-US"/>
          </w:rPr>
          <w:t>rtorne@llorenteycuenca.com</w:t>
        </w:r>
      </w:hyperlink>
      <w:r w:rsidRPr="00651AA5">
        <w:rPr>
          <w:rFonts w:ascii="Open Sans" w:eastAsia="Open Sans" w:hAnsi="Open Sans" w:cs="Open Sans"/>
          <w:color w:val="0000FF"/>
          <w:sz w:val="22"/>
          <w:szCs w:val="22"/>
          <w:lang w:val="en-US"/>
        </w:rPr>
        <w:tab/>
      </w:r>
      <w:r w:rsidRPr="00651AA5">
        <w:rPr>
          <w:rFonts w:ascii="Open Sans" w:eastAsia="Open Sans" w:hAnsi="Open Sans" w:cs="Open Sans"/>
          <w:color w:val="0000FF"/>
          <w:sz w:val="22"/>
          <w:szCs w:val="22"/>
          <w:lang w:val="en-US"/>
        </w:rPr>
        <w:tab/>
      </w:r>
      <w:r w:rsidRPr="00651AA5">
        <w:rPr>
          <w:rFonts w:ascii="Open Sans" w:eastAsia="Open Sans" w:hAnsi="Open Sans" w:cs="Open Sans"/>
          <w:color w:val="0000FF"/>
          <w:sz w:val="22"/>
          <w:szCs w:val="22"/>
          <w:lang w:val="en-US"/>
        </w:rPr>
        <w:tab/>
      </w:r>
    </w:p>
    <w:p w14:paraId="4DAB8B22" w14:textId="77777777" w:rsidR="005327DD" w:rsidRPr="00651AA5" w:rsidRDefault="00000000">
      <w:pPr>
        <w:shd w:val="clear" w:color="auto" w:fill="FFFFFF"/>
        <w:spacing w:line="276" w:lineRule="auto"/>
        <w:ind w:right="-716"/>
        <w:rPr>
          <w:rFonts w:ascii="Open Sans" w:eastAsia="Open Sans" w:hAnsi="Open Sans" w:cs="Open Sans"/>
          <w:color w:val="000000"/>
          <w:sz w:val="22"/>
          <w:szCs w:val="22"/>
          <w:lang w:val="en-US"/>
        </w:rPr>
      </w:pPr>
      <w:r w:rsidRPr="00651AA5">
        <w:rPr>
          <w:rFonts w:ascii="Open Sans" w:eastAsia="Open Sans" w:hAnsi="Open Sans" w:cs="Open Sans"/>
          <w:color w:val="000000"/>
          <w:sz w:val="22"/>
          <w:szCs w:val="22"/>
          <w:lang w:val="en-US"/>
        </w:rPr>
        <w:t xml:space="preserve">638 68 19 85      </w:t>
      </w:r>
      <w:r w:rsidRPr="00651AA5">
        <w:rPr>
          <w:rFonts w:ascii="Open Sans" w:eastAsia="Open Sans" w:hAnsi="Open Sans" w:cs="Open Sans"/>
          <w:color w:val="000000"/>
          <w:sz w:val="22"/>
          <w:szCs w:val="22"/>
          <w:lang w:val="en-US"/>
        </w:rPr>
        <w:tab/>
      </w:r>
      <w:r w:rsidRPr="00651AA5">
        <w:rPr>
          <w:rFonts w:ascii="Open Sans" w:eastAsia="Open Sans" w:hAnsi="Open Sans" w:cs="Open Sans"/>
          <w:color w:val="000000"/>
          <w:sz w:val="22"/>
          <w:szCs w:val="22"/>
          <w:lang w:val="en-US"/>
        </w:rPr>
        <w:tab/>
      </w:r>
      <w:r w:rsidRPr="00651AA5">
        <w:rPr>
          <w:rFonts w:ascii="Open Sans" w:eastAsia="Open Sans" w:hAnsi="Open Sans" w:cs="Open Sans"/>
          <w:color w:val="000000"/>
          <w:sz w:val="22"/>
          <w:szCs w:val="22"/>
          <w:lang w:val="en-US"/>
        </w:rPr>
        <w:tab/>
      </w:r>
      <w:r w:rsidRPr="00651AA5">
        <w:rPr>
          <w:rFonts w:ascii="Open Sans" w:eastAsia="Open Sans" w:hAnsi="Open Sans" w:cs="Open Sans"/>
          <w:color w:val="000000"/>
          <w:sz w:val="22"/>
          <w:szCs w:val="22"/>
          <w:lang w:val="en-US"/>
        </w:rPr>
        <w:tab/>
      </w:r>
      <w:r w:rsidRPr="00651AA5">
        <w:rPr>
          <w:rFonts w:ascii="Open Sans" w:eastAsia="Open Sans" w:hAnsi="Open Sans" w:cs="Open Sans"/>
          <w:color w:val="000000"/>
          <w:sz w:val="22"/>
          <w:szCs w:val="22"/>
          <w:lang w:val="en-US"/>
        </w:rPr>
        <w:tab/>
      </w:r>
      <w:r w:rsidRPr="00651AA5">
        <w:rPr>
          <w:rFonts w:ascii="Open Sans" w:eastAsia="Open Sans" w:hAnsi="Open Sans" w:cs="Open Sans"/>
          <w:color w:val="000000"/>
          <w:sz w:val="22"/>
          <w:szCs w:val="22"/>
          <w:lang w:val="en-US"/>
        </w:rPr>
        <w:tab/>
      </w:r>
      <w:r w:rsidRPr="00651AA5">
        <w:rPr>
          <w:rFonts w:ascii="Open Sans" w:eastAsia="Open Sans" w:hAnsi="Open Sans" w:cs="Open Sans"/>
          <w:color w:val="000000"/>
          <w:sz w:val="22"/>
          <w:szCs w:val="22"/>
          <w:lang w:val="en-US"/>
        </w:rPr>
        <w:tab/>
      </w:r>
      <w:r w:rsidRPr="00651AA5">
        <w:rPr>
          <w:rFonts w:ascii="Open Sans" w:eastAsia="Open Sans" w:hAnsi="Open Sans" w:cs="Open Sans"/>
          <w:color w:val="000000"/>
          <w:sz w:val="22"/>
          <w:szCs w:val="22"/>
          <w:lang w:val="en-US"/>
        </w:rPr>
        <w:tab/>
      </w:r>
    </w:p>
    <w:p w14:paraId="49056474" w14:textId="77777777" w:rsidR="005327DD" w:rsidRPr="00651AA5" w:rsidRDefault="00000000">
      <w:pPr>
        <w:shd w:val="clear" w:color="auto" w:fill="FFFFFF"/>
        <w:ind w:right="-716"/>
        <w:rPr>
          <w:rFonts w:ascii="Arial" w:eastAsia="Arial" w:hAnsi="Arial" w:cs="Arial"/>
          <w:color w:val="222222"/>
          <w:sz w:val="22"/>
          <w:szCs w:val="22"/>
          <w:lang w:val="en-US"/>
        </w:rPr>
      </w:pPr>
      <w:r w:rsidRPr="00651AA5">
        <w:rPr>
          <w:rFonts w:ascii="Arial" w:eastAsia="Arial" w:hAnsi="Arial" w:cs="Arial"/>
          <w:color w:val="222222"/>
          <w:sz w:val="22"/>
          <w:szCs w:val="22"/>
          <w:lang w:val="en-US"/>
        </w:rPr>
        <w:tab/>
      </w:r>
    </w:p>
    <w:p w14:paraId="6EEB8C75" w14:textId="77777777" w:rsidR="005327DD" w:rsidRPr="00651AA5" w:rsidRDefault="00000000">
      <w:pPr>
        <w:shd w:val="clear" w:color="auto" w:fill="FFFFFF"/>
        <w:ind w:right="-716"/>
        <w:rPr>
          <w:rFonts w:ascii="Arial" w:eastAsia="Arial" w:hAnsi="Arial" w:cs="Arial"/>
          <w:color w:val="222222"/>
          <w:sz w:val="22"/>
          <w:szCs w:val="22"/>
          <w:lang w:val="en-US"/>
        </w:rPr>
      </w:pPr>
      <w:r w:rsidRPr="00651AA5">
        <w:rPr>
          <w:rFonts w:ascii="Arial" w:eastAsia="Arial" w:hAnsi="Arial" w:cs="Arial"/>
          <w:color w:val="222222"/>
          <w:sz w:val="22"/>
          <w:szCs w:val="22"/>
          <w:lang w:val="en-US"/>
        </w:rPr>
        <w:tab/>
      </w:r>
      <w:r w:rsidRPr="00651AA5">
        <w:rPr>
          <w:rFonts w:ascii="Arial" w:eastAsia="Arial" w:hAnsi="Arial" w:cs="Arial"/>
          <w:color w:val="222222"/>
          <w:sz w:val="22"/>
          <w:szCs w:val="22"/>
          <w:lang w:val="en-US"/>
        </w:rPr>
        <w:tab/>
      </w:r>
      <w:r w:rsidRPr="00651AA5">
        <w:rPr>
          <w:rFonts w:ascii="Arial" w:eastAsia="Arial" w:hAnsi="Arial" w:cs="Arial"/>
          <w:color w:val="222222"/>
          <w:sz w:val="22"/>
          <w:szCs w:val="22"/>
          <w:lang w:val="en-US"/>
        </w:rPr>
        <w:tab/>
      </w:r>
      <w:r w:rsidRPr="00651AA5">
        <w:rPr>
          <w:rFonts w:ascii="Arial" w:eastAsia="Arial" w:hAnsi="Arial" w:cs="Arial"/>
          <w:color w:val="222222"/>
          <w:sz w:val="22"/>
          <w:szCs w:val="22"/>
          <w:lang w:val="en-US"/>
        </w:rPr>
        <w:tab/>
      </w:r>
      <w:r w:rsidRPr="00651AA5">
        <w:rPr>
          <w:rFonts w:ascii="Arial" w:eastAsia="Arial" w:hAnsi="Arial" w:cs="Arial"/>
          <w:color w:val="222222"/>
          <w:sz w:val="22"/>
          <w:szCs w:val="22"/>
          <w:lang w:val="en-US"/>
        </w:rPr>
        <w:tab/>
      </w:r>
      <w:r w:rsidRPr="00651AA5">
        <w:rPr>
          <w:rFonts w:ascii="Arial" w:eastAsia="Arial" w:hAnsi="Arial" w:cs="Arial"/>
          <w:color w:val="222222"/>
          <w:sz w:val="22"/>
          <w:szCs w:val="22"/>
          <w:lang w:val="en-US"/>
        </w:rPr>
        <w:tab/>
        <w:t xml:space="preserve">     </w:t>
      </w:r>
    </w:p>
    <w:p w14:paraId="5D7847EF" w14:textId="77777777" w:rsidR="005327DD" w:rsidRPr="00651AA5" w:rsidRDefault="00000000">
      <w:pPr>
        <w:shd w:val="clear" w:color="auto" w:fill="FFFFFF"/>
        <w:ind w:right="-716"/>
        <w:rPr>
          <w:rFonts w:ascii="Open Sans" w:eastAsia="Open Sans" w:hAnsi="Open Sans" w:cs="Open Sans"/>
          <w:b/>
          <w:color w:val="000000"/>
          <w:sz w:val="22"/>
          <w:szCs w:val="22"/>
          <w:lang w:val="en-US"/>
        </w:rPr>
      </w:pPr>
      <w:r w:rsidRPr="00651AA5">
        <w:rPr>
          <w:rFonts w:ascii="Open Sans" w:eastAsia="Open Sans" w:hAnsi="Open Sans" w:cs="Open Sans"/>
          <w:b/>
          <w:color w:val="000000"/>
          <w:sz w:val="22"/>
          <w:szCs w:val="22"/>
          <w:lang w:val="en-US"/>
        </w:rPr>
        <w:t>Fanny Merino</w:t>
      </w:r>
    </w:p>
    <w:p w14:paraId="6A6C7729" w14:textId="77777777" w:rsidR="005327DD" w:rsidRPr="00651AA5" w:rsidRDefault="00000000">
      <w:pPr>
        <w:shd w:val="clear" w:color="auto" w:fill="FFFFFF"/>
        <w:ind w:right="-716"/>
        <w:rPr>
          <w:rFonts w:ascii="Open Sans" w:eastAsia="Open Sans" w:hAnsi="Open Sans" w:cs="Open Sans"/>
          <w:b/>
          <w:color w:val="000000"/>
          <w:sz w:val="22"/>
          <w:szCs w:val="22"/>
          <w:lang w:val="en-US"/>
        </w:rPr>
      </w:pPr>
      <w:hyperlink r:id="rId26">
        <w:r w:rsidRPr="00651AA5">
          <w:rPr>
            <w:rFonts w:ascii="Open Sans" w:eastAsia="Open Sans" w:hAnsi="Open Sans" w:cs="Open Sans"/>
            <w:color w:val="0000FF"/>
            <w:sz w:val="22"/>
            <w:szCs w:val="22"/>
            <w:u w:val="single"/>
            <w:lang w:val="en-US"/>
          </w:rPr>
          <w:t>emerino@llorenteycuenca.com</w:t>
        </w:r>
      </w:hyperlink>
      <w:r w:rsidRPr="00651AA5">
        <w:rPr>
          <w:rFonts w:ascii="Open Sans" w:eastAsia="Open Sans" w:hAnsi="Open Sans" w:cs="Open Sans"/>
          <w:color w:val="0000FF"/>
          <w:sz w:val="22"/>
          <w:szCs w:val="22"/>
          <w:lang w:val="en-US"/>
        </w:rPr>
        <w:tab/>
      </w:r>
      <w:r w:rsidRPr="00651AA5">
        <w:rPr>
          <w:rFonts w:ascii="Open Sans" w:eastAsia="Open Sans" w:hAnsi="Open Sans" w:cs="Open Sans"/>
          <w:color w:val="0000FF"/>
          <w:sz w:val="22"/>
          <w:szCs w:val="22"/>
          <w:lang w:val="en-US"/>
        </w:rPr>
        <w:tab/>
      </w:r>
    </w:p>
    <w:p w14:paraId="5E2449D7" w14:textId="77777777" w:rsidR="005327DD" w:rsidRPr="00651AA5" w:rsidRDefault="00000000">
      <w:pPr>
        <w:shd w:val="clear" w:color="auto" w:fill="FFFFFF"/>
        <w:ind w:right="-716"/>
        <w:rPr>
          <w:rFonts w:ascii="Open Sans" w:eastAsia="Open Sans" w:hAnsi="Open Sans" w:cs="Open Sans"/>
          <w:color w:val="000000"/>
          <w:sz w:val="22"/>
          <w:szCs w:val="22"/>
          <w:lang w:val="en-US"/>
        </w:rPr>
      </w:pPr>
      <w:r w:rsidRPr="00651AA5">
        <w:rPr>
          <w:rFonts w:ascii="Open Sans" w:eastAsia="Open Sans" w:hAnsi="Open Sans" w:cs="Open Sans"/>
          <w:color w:val="000000"/>
          <w:sz w:val="22"/>
          <w:szCs w:val="22"/>
          <w:lang w:val="en-US"/>
        </w:rPr>
        <w:t>663 35 69 75 </w:t>
      </w:r>
    </w:p>
    <w:p w14:paraId="3131B72A" w14:textId="77777777" w:rsidR="005327DD" w:rsidRPr="00651AA5" w:rsidRDefault="005327DD">
      <w:pPr>
        <w:shd w:val="clear" w:color="auto" w:fill="FFFFFF"/>
        <w:ind w:right="-716"/>
        <w:rPr>
          <w:rFonts w:ascii="Open Sans" w:eastAsia="Open Sans" w:hAnsi="Open Sans" w:cs="Open Sans"/>
          <w:color w:val="000000"/>
          <w:sz w:val="22"/>
          <w:szCs w:val="22"/>
          <w:lang w:val="en-US"/>
        </w:rPr>
      </w:pPr>
    </w:p>
    <w:p w14:paraId="5B4C9BF9" w14:textId="77777777" w:rsidR="005327DD" w:rsidRPr="00651AA5" w:rsidRDefault="005327DD">
      <w:pPr>
        <w:shd w:val="clear" w:color="auto" w:fill="FFFFFF"/>
        <w:ind w:right="-716"/>
        <w:rPr>
          <w:rFonts w:ascii="Open Sans" w:eastAsia="Open Sans" w:hAnsi="Open Sans" w:cs="Open Sans"/>
          <w:color w:val="000000"/>
          <w:sz w:val="22"/>
          <w:szCs w:val="22"/>
          <w:lang w:val="en-US"/>
        </w:rPr>
      </w:pPr>
    </w:p>
    <w:p w14:paraId="250897DE" w14:textId="77777777" w:rsidR="005327DD" w:rsidRPr="00651AA5" w:rsidRDefault="00000000">
      <w:pPr>
        <w:shd w:val="clear" w:color="auto" w:fill="FFFFFF"/>
        <w:ind w:right="-716"/>
        <w:rPr>
          <w:rFonts w:ascii="Open Sans" w:eastAsia="Open Sans" w:hAnsi="Open Sans" w:cs="Open Sans"/>
          <w:b/>
          <w:color w:val="000000"/>
          <w:sz w:val="22"/>
          <w:szCs w:val="22"/>
          <w:lang w:val="en-US"/>
        </w:rPr>
      </w:pPr>
      <w:r w:rsidRPr="00651AA5">
        <w:rPr>
          <w:rFonts w:ascii="Open Sans" w:eastAsia="Open Sans" w:hAnsi="Open Sans" w:cs="Open Sans"/>
          <w:b/>
          <w:color w:val="000000"/>
          <w:sz w:val="22"/>
          <w:szCs w:val="22"/>
          <w:lang w:val="en-US"/>
        </w:rPr>
        <w:t>Paula Iglesias</w:t>
      </w:r>
    </w:p>
    <w:p w14:paraId="55B6F584" w14:textId="77777777" w:rsidR="005327DD" w:rsidRPr="00651AA5" w:rsidRDefault="00000000">
      <w:pPr>
        <w:shd w:val="clear" w:color="auto" w:fill="FFFFFF"/>
        <w:ind w:right="-716"/>
        <w:rPr>
          <w:rFonts w:ascii="Open Sans" w:eastAsia="Open Sans" w:hAnsi="Open Sans" w:cs="Open Sans"/>
          <w:b/>
          <w:color w:val="000000"/>
          <w:sz w:val="22"/>
          <w:szCs w:val="22"/>
          <w:lang w:val="en-US"/>
        </w:rPr>
      </w:pPr>
      <w:hyperlink r:id="rId27">
        <w:r w:rsidRPr="00651AA5">
          <w:rPr>
            <w:rFonts w:ascii="Open Sans" w:eastAsia="Open Sans" w:hAnsi="Open Sans" w:cs="Open Sans"/>
            <w:color w:val="0000FF"/>
            <w:sz w:val="22"/>
            <w:szCs w:val="22"/>
            <w:u w:val="single"/>
            <w:lang w:val="en-US"/>
          </w:rPr>
          <w:t>piglesias@llorenteycuenca.com</w:t>
        </w:r>
      </w:hyperlink>
      <w:r w:rsidRPr="00651AA5">
        <w:rPr>
          <w:rFonts w:ascii="Open Sans" w:eastAsia="Open Sans" w:hAnsi="Open Sans" w:cs="Open Sans"/>
          <w:color w:val="0000FF"/>
          <w:sz w:val="22"/>
          <w:szCs w:val="22"/>
          <w:lang w:val="en-US"/>
        </w:rPr>
        <w:tab/>
      </w:r>
      <w:r w:rsidRPr="00651AA5">
        <w:rPr>
          <w:rFonts w:ascii="Open Sans" w:eastAsia="Open Sans" w:hAnsi="Open Sans" w:cs="Open Sans"/>
          <w:color w:val="0000FF"/>
          <w:sz w:val="22"/>
          <w:szCs w:val="22"/>
          <w:lang w:val="en-US"/>
        </w:rPr>
        <w:tab/>
      </w:r>
    </w:p>
    <w:p w14:paraId="66F5A8EF" w14:textId="77777777" w:rsidR="005327DD" w:rsidRDefault="00000000">
      <w:pPr>
        <w:shd w:val="clear" w:color="auto" w:fill="FFFFFF"/>
        <w:ind w:right="-716"/>
        <w:rPr>
          <w:rFonts w:ascii="Open Sans" w:eastAsia="Open Sans" w:hAnsi="Open Sans" w:cs="Open Sans"/>
          <w:color w:val="000000"/>
          <w:sz w:val="21"/>
          <w:szCs w:val="21"/>
        </w:rPr>
      </w:pPr>
      <w:r>
        <w:rPr>
          <w:rFonts w:ascii="Open Sans" w:eastAsia="Open Sans" w:hAnsi="Open Sans" w:cs="Open Sans"/>
          <w:color w:val="000000"/>
          <w:sz w:val="22"/>
          <w:szCs w:val="22"/>
        </w:rPr>
        <w:t>662 450 236</w:t>
      </w:r>
    </w:p>
    <w:p w14:paraId="795ECCCF" w14:textId="77777777" w:rsidR="005327DD" w:rsidRDefault="005327DD">
      <w:pPr>
        <w:spacing w:line="276" w:lineRule="auto"/>
        <w:ind w:right="-574"/>
        <w:jc w:val="right"/>
        <w:rPr>
          <w:rFonts w:ascii="Open Sans" w:eastAsia="Open Sans" w:hAnsi="Open Sans" w:cs="Open Sans"/>
          <w:color w:val="000000"/>
          <w:sz w:val="21"/>
          <w:szCs w:val="21"/>
        </w:rPr>
      </w:pPr>
    </w:p>
    <w:sectPr w:rsidR="005327DD">
      <w:headerReference w:type="default" r:id="rId28"/>
      <w:footerReference w:type="default" r:id="rId29"/>
      <w:pgSz w:w="11900" w:h="16840"/>
      <w:pgMar w:top="1417" w:right="1701" w:bottom="1417" w:left="1701" w:header="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1A2EA" w14:textId="77777777" w:rsidR="008A64CE" w:rsidRDefault="008A64CE">
      <w:r>
        <w:separator/>
      </w:r>
    </w:p>
  </w:endnote>
  <w:endnote w:type="continuationSeparator" w:id="0">
    <w:p w14:paraId="4A6436A5" w14:textId="77777777" w:rsidR="008A64CE" w:rsidRDefault="008A6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50990" w14:textId="77777777" w:rsidR="005327DD"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9264" behindDoc="1" locked="0" layoutInCell="1" hidden="0" allowOverlap="1" wp14:anchorId="01001D56" wp14:editId="7C720B2F">
          <wp:simplePos x="0" y="0"/>
          <wp:positionH relativeFrom="column">
            <wp:posOffset>-1068054</wp:posOffset>
          </wp:positionH>
          <wp:positionV relativeFrom="paragraph">
            <wp:posOffset>174608</wp:posOffset>
          </wp:positionV>
          <wp:extent cx="7670550" cy="451315"/>
          <wp:effectExtent l="0" t="0" r="0" b="0"/>
          <wp:wrapNone/>
          <wp:docPr id="202515298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66084" w14:textId="77777777" w:rsidR="008A64CE" w:rsidRDefault="008A64CE">
      <w:r>
        <w:separator/>
      </w:r>
    </w:p>
  </w:footnote>
  <w:footnote w:type="continuationSeparator" w:id="0">
    <w:p w14:paraId="158BDF86" w14:textId="77777777" w:rsidR="008A64CE" w:rsidRDefault="008A64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C6798" w14:textId="77777777" w:rsidR="005327DD"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595E6156" wp14:editId="14C9138F">
          <wp:simplePos x="0" y="0"/>
          <wp:positionH relativeFrom="column">
            <wp:posOffset>-1121118</wp:posOffset>
          </wp:positionH>
          <wp:positionV relativeFrom="paragraph">
            <wp:posOffset>225177</wp:posOffset>
          </wp:positionV>
          <wp:extent cx="7581265" cy="1019175"/>
          <wp:effectExtent l="0" t="0" r="0" b="0"/>
          <wp:wrapNone/>
          <wp:docPr id="20251529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81265" cy="1019175"/>
                  </a:xfrm>
                  <a:prstGeom prst="rect">
                    <a:avLst/>
                  </a:prstGeom>
                  <a:ln/>
                </pic:spPr>
              </pic:pic>
            </a:graphicData>
          </a:graphic>
        </wp:anchor>
      </w:drawing>
    </w:r>
  </w:p>
  <w:p w14:paraId="29BF004C" w14:textId="77777777" w:rsidR="005327DD" w:rsidRDefault="005327DD">
    <w:pPr>
      <w:pBdr>
        <w:top w:val="nil"/>
        <w:left w:val="nil"/>
        <w:bottom w:val="nil"/>
        <w:right w:val="nil"/>
        <w:between w:val="nil"/>
      </w:pBdr>
      <w:tabs>
        <w:tab w:val="center" w:pos="4252"/>
        <w:tab w:val="right" w:pos="8504"/>
      </w:tabs>
      <w:rPr>
        <w:color w:val="000000"/>
      </w:rPr>
    </w:pPr>
  </w:p>
  <w:p w14:paraId="1F7B216D" w14:textId="77777777" w:rsidR="005327DD" w:rsidRDefault="005327DD">
    <w:pPr>
      <w:pBdr>
        <w:top w:val="nil"/>
        <w:left w:val="nil"/>
        <w:bottom w:val="nil"/>
        <w:right w:val="nil"/>
        <w:between w:val="nil"/>
      </w:pBdr>
      <w:tabs>
        <w:tab w:val="center" w:pos="4252"/>
        <w:tab w:val="right" w:pos="8504"/>
      </w:tabs>
      <w:rPr>
        <w:color w:val="000000"/>
      </w:rPr>
    </w:pPr>
  </w:p>
  <w:p w14:paraId="51BE26D1" w14:textId="77777777" w:rsidR="005327DD" w:rsidRDefault="005327DD">
    <w:pPr>
      <w:pBdr>
        <w:top w:val="nil"/>
        <w:left w:val="nil"/>
        <w:bottom w:val="nil"/>
        <w:right w:val="nil"/>
        <w:between w:val="nil"/>
      </w:pBdr>
      <w:tabs>
        <w:tab w:val="center" w:pos="4252"/>
        <w:tab w:val="right" w:pos="8504"/>
      </w:tabs>
      <w:rPr>
        <w:color w:val="000000"/>
      </w:rPr>
    </w:pPr>
  </w:p>
  <w:p w14:paraId="06E40010" w14:textId="77777777" w:rsidR="005327DD" w:rsidRDefault="005327DD">
    <w:pPr>
      <w:pBdr>
        <w:top w:val="nil"/>
        <w:left w:val="nil"/>
        <w:bottom w:val="nil"/>
        <w:right w:val="nil"/>
        <w:between w:val="nil"/>
      </w:pBdr>
      <w:tabs>
        <w:tab w:val="center" w:pos="4252"/>
        <w:tab w:val="right" w:pos="8504"/>
      </w:tabs>
      <w:rPr>
        <w:color w:val="000000"/>
      </w:rPr>
    </w:pPr>
  </w:p>
  <w:p w14:paraId="73E31B02" w14:textId="77777777" w:rsidR="005327DD" w:rsidRDefault="005327DD">
    <w:pPr>
      <w:pBdr>
        <w:top w:val="nil"/>
        <w:left w:val="nil"/>
        <w:bottom w:val="nil"/>
        <w:right w:val="nil"/>
        <w:between w:val="nil"/>
      </w:pBdr>
      <w:tabs>
        <w:tab w:val="center" w:pos="4252"/>
        <w:tab w:val="right" w:pos="8504"/>
      </w:tabs>
      <w:rPr>
        <w:color w:val="000000"/>
      </w:rPr>
    </w:pPr>
  </w:p>
  <w:p w14:paraId="6A901A94" w14:textId="77777777" w:rsidR="005327DD" w:rsidRDefault="005327DD">
    <w:pPr>
      <w:pBdr>
        <w:top w:val="nil"/>
        <w:left w:val="nil"/>
        <w:bottom w:val="nil"/>
        <w:right w:val="nil"/>
        <w:between w:val="nil"/>
      </w:pBdr>
      <w:tabs>
        <w:tab w:val="center" w:pos="4252"/>
        <w:tab w:val="right" w:pos="8504"/>
      </w:tabs>
      <w:rPr>
        <w:color w:val="000000"/>
      </w:rPr>
    </w:pPr>
  </w:p>
  <w:p w14:paraId="35588D89" w14:textId="77777777" w:rsidR="005327DD" w:rsidRDefault="005327DD">
    <w:pPr>
      <w:pBdr>
        <w:top w:val="nil"/>
        <w:left w:val="nil"/>
        <w:bottom w:val="nil"/>
        <w:right w:val="nil"/>
        <w:between w:val="nil"/>
      </w:pBdr>
      <w:tabs>
        <w:tab w:val="center" w:pos="4252"/>
        <w:tab w:val="right" w:pos="8504"/>
      </w:tabs>
      <w:rPr>
        <w:color w:val="000000"/>
      </w:rPr>
    </w:pPr>
  </w:p>
  <w:p w14:paraId="213A9E95" w14:textId="77777777" w:rsidR="005327DD" w:rsidRDefault="005327DD">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40101D"/>
    <w:multiLevelType w:val="multilevel"/>
    <w:tmpl w:val="C6C860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449831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7DD"/>
    <w:rsid w:val="005327DD"/>
    <w:rsid w:val="00651AA5"/>
    <w:rsid w:val="008A64C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501D8"/>
  <w15:docId w15:val="{12AC246C-68E5-488B-A753-24B6B93AD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97C"/>
  </w:style>
  <w:style w:type="paragraph" w:styleId="Ttulo1">
    <w:name w:val="heading 1"/>
    <w:basedOn w:val="Normal"/>
    <w:next w:val="Normal"/>
    <w:link w:val="Ttulo1Car"/>
    <w:uiPriority w:val="9"/>
    <w:qFormat/>
    <w:rsid w:val="00E4476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343AB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semiHidden/>
    <w:unhideWhenUsed/>
    <w:qFormat/>
    <w:rsid w:val="009F2EE6"/>
    <w:pPr>
      <w:spacing w:before="100" w:beforeAutospacing="1" w:after="100" w:afterAutospacing="1"/>
      <w:outlineLvl w:val="2"/>
    </w:pPr>
    <w:rPr>
      <w:rFonts w:ascii="Times New Roman" w:eastAsia="Times New Roman" w:hAnsi="Times New Roman" w:cs="Times New Roman"/>
      <w:b/>
      <w:bCs/>
      <w:sz w:val="27"/>
      <w:szCs w:val="27"/>
      <w:lang w:val="es-ES"/>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unhideWhenUsed/>
    <w:rsid w:val="00964BED"/>
    <w:rPr>
      <w:sz w:val="20"/>
      <w:szCs w:val="20"/>
    </w:rPr>
  </w:style>
  <w:style w:type="character" w:customStyle="1" w:styleId="TextocomentarioCar">
    <w:name w:val="Texto comentario Car"/>
    <w:basedOn w:val="Fuentedeprrafopredeter"/>
    <w:link w:val="Textocomentario"/>
    <w:uiPriority w:val="99"/>
    <w:rsid w:val="00964BED"/>
    <w:rPr>
      <w:sz w:val="20"/>
      <w:szCs w:val="20"/>
    </w:rPr>
  </w:style>
  <w:style w:type="paragraph" w:styleId="Textodeglobo">
    <w:name w:val="Balloon Text"/>
    <w:basedOn w:val="Normal"/>
    <w:link w:val="TextodegloboCar"/>
    <w:uiPriority w:val="99"/>
    <w:semiHidden/>
    <w:unhideWhenUsed/>
    <w:rsid w:val="00C72F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FE2"/>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C4E4A"/>
    <w:rPr>
      <w:color w:val="605E5C"/>
      <w:shd w:val="clear" w:color="auto" w:fill="E1DFDD"/>
    </w:rPr>
  </w:style>
  <w:style w:type="paragraph" w:styleId="Descripcin">
    <w:name w:val="caption"/>
    <w:basedOn w:val="Normal"/>
    <w:next w:val="Normal"/>
    <w:uiPriority w:val="35"/>
    <w:unhideWhenUsed/>
    <w:qFormat/>
    <w:rsid w:val="00813155"/>
    <w:pPr>
      <w:spacing w:after="200"/>
    </w:pPr>
    <w:rPr>
      <w:i/>
      <w:iCs/>
      <w:color w:val="44546A" w:themeColor="text2"/>
      <w:sz w:val="18"/>
      <w:szCs w:val="18"/>
      <w:lang w:val="es-ES"/>
    </w:rPr>
  </w:style>
  <w:style w:type="paragraph" w:customStyle="1" w:styleId="Prrafodelista1">
    <w:name w:val="Párrafo de lista1"/>
    <w:basedOn w:val="Normal"/>
    <w:uiPriority w:val="34"/>
    <w:qFormat/>
    <w:rsid w:val="00471E3C"/>
    <w:pPr>
      <w:spacing w:after="160" w:line="259" w:lineRule="auto"/>
      <w:ind w:left="720"/>
      <w:contextualSpacing/>
    </w:pPr>
    <w:rPr>
      <w:sz w:val="22"/>
      <w:szCs w:val="22"/>
      <w:lang w:val="es-ES"/>
    </w:rPr>
  </w:style>
  <w:style w:type="table" w:styleId="Tablaconcuadrcula">
    <w:name w:val="Table Grid"/>
    <w:basedOn w:val="Tablanormal"/>
    <w:uiPriority w:val="39"/>
    <w:rsid w:val="00471E3C"/>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FE2636"/>
    <w:rPr>
      <w:b/>
      <w:bCs/>
    </w:rPr>
  </w:style>
  <w:style w:type="character" w:customStyle="1" w:styleId="AsuntodelcomentarioCar">
    <w:name w:val="Asunto del comentario Car"/>
    <w:basedOn w:val="TextocomentarioCar"/>
    <w:link w:val="Asuntodelcomentario"/>
    <w:uiPriority w:val="99"/>
    <w:semiHidden/>
    <w:rsid w:val="00FE2636"/>
    <w:rPr>
      <w:b/>
      <w:bCs/>
      <w:sz w:val="20"/>
      <w:szCs w:val="20"/>
    </w:rPr>
  </w:style>
  <w:style w:type="character" w:styleId="Mencinsinresolver">
    <w:name w:val="Unresolved Mention"/>
    <w:basedOn w:val="Fuentedeprrafopredeter"/>
    <w:uiPriority w:val="99"/>
    <w:semiHidden/>
    <w:unhideWhenUsed/>
    <w:rsid w:val="00FE2636"/>
    <w:rPr>
      <w:color w:val="605E5C"/>
      <w:shd w:val="clear" w:color="auto" w:fill="E1DFDD"/>
    </w:rPr>
  </w:style>
  <w:style w:type="character" w:customStyle="1" w:styleId="Ttulo3Car">
    <w:name w:val="Título 3 Car"/>
    <w:basedOn w:val="Fuentedeprrafopredeter"/>
    <w:link w:val="Ttulo3"/>
    <w:uiPriority w:val="9"/>
    <w:rsid w:val="009F2EE6"/>
    <w:rPr>
      <w:rFonts w:ascii="Times New Roman" w:eastAsia="Times New Roman" w:hAnsi="Times New Roman" w:cs="Times New Roman"/>
      <w:b/>
      <w:bCs/>
      <w:sz w:val="27"/>
      <w:szCs w:val="27"/>
      <w:lang w:val="es-ES" w:eastAsia="es-ES"/>
    </w:rPr>
  </w:style>
  <w:style w:type="character" w:styleId="Textoennegrita">
    <w:name w:val="Strong"/>
    <w:basedOn w:val="Fuentedeprrafopredeter"/>
    <w:uiPriority w:val="22"/>
    <w:qFormat/>
    <w:rsid w:val="009F2EE6"/>
    <w:rPr>
      <w:b/>
      <w:bCs/>
    </w:rPr>
  </w:style>
  <w:style w:type="character" w:customStyle="1" w:styleId="Ttulo1Car">
    <w:name w:val="Título 1 Car"/>
    <w:basedOn w:val="Fuentedeprrafopredeter"/>
    <w:link w:val="Ttulo1"/>
    <w:uiPriority w:val="9"/>
    <w:rsid w:val="00E44764"/>
    <w:rPr>
      <w:rFonts w:asciiTheme="majorHAnsi" w:eastAsiaTheme="majorEastAsia" w:hAnsiTheme="majorHAnsi" w:cstheme="majorBidi"/>
      <w:color w:val="2F5496" w:themeColor="accent1" w:themeShade="BF"/>
      <w:sz w:val="32"/>
      <w:szCs w:val="32"/>
    </w:rPr>
  </w:style>
  <w:style w:type="character" w:styleId="nfasis">
    <w:name w:val="Emphasis"/>
    <w:basedOn w:val="Fuentedeprrafopredeter"/>
    <w:uiPriority w:val="20"/>
    <w:qFormat/>
    <w:rsid w:val="002A7EA9"/>
    <w:rPr>
      <w:i/>
      <w:iCs/>
    </w:rPr>
  </w:style>
  <w:style w:type="character" w:styleId="Hipervnculovisitado">
    <w:name w:val="FollowedHyperlink"/>
    <w:basedOn w:val="Fuentedeprrafopredeter"/>
    <w:uiPriority w:val="99"/>
    <w:semiHidden/>
    <w:unhideWhenUsed/>
    <w:rsid w:val="00DF36B8"/>
    <w:rPr>
      <w:color w:val="954F72" w:themeColor="followedHyperlink"/>
      <w:u w:val="single"/>
    </w:rPr>
  </w:style>
  <w:style w:type="character" w:customStyle="1" w:styleId="Ttulo2Car">
    <w:name w:val="Título 2 Car"/>
    <w:basedOn w:val="Fuentedeprrafopredeter"/>
    <w:link w:val="Ttulo2"/>
    <w:uiPriority w:val="9"/>
    <w:semiHidden/>
    <w:rsid w:val="00343AB8"/>
    <w:rPr>
      <w:rFonts w:asciiTheme="majorHAnsi" w:eastAsiaTheme="majorEastAsia" w:hAnsiTheme="majorHAnsi" w:cstheme="majorBidi"/>
      <w:color w:val="2F5496" w:themeColor="accent1" w:themeShade="BF"/>
      <w:sz w:val="26"/>
      <w:szCs w:val="26"/>
    </w:rPr>
  </w:style>
  <w:style w:type="character" w:customStyle="1" w:styleId="bold">
    <w:name w:val="bold"/>
    <w:basedOn w:val="Fuentedeprrafopredeter"/>
    <w:rsid w:val="008A24C9"/>
  </w:style>
  <w:style w:type="character" w:customStyle="1" w:styleId="d-none">
    <w:name w:val="d-none"/>
    <w:basedOn w:val="Fuentedeprrafopredeter"/>
    <w:rsid w:val="008A24C9"/>
  </w:style>
  <w:style w:type="character" w:customStyle="1" w:styleId="font-2x">
    <w:name w:val="font-2x"/>
    <w:basedOn w:val="Fuentedeprrafopredeter"/>
    <w:rsid w:val="008A24C9"/>
  </w:style>
  <w:style w:type="character" w:customStyle="1" w:styleId="decoracion2">
    <w:name w:val="decoracion2"/>
    <w:basedOn w:val="Fuentedeprrafopredeter"/>
    <w:rsid w:val="008A24C9"/>
  </w:style>
  <w:style w:type="paragraph" w:styleId="Revisin">
    <w:name w:val="Revision"/>
    <w:hidden/>
    <w:uiPriority w:val="99"/>
    <w:semiHidden/>
    <w:rsid w:val="00FC54D1"/>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Referenciaintensa">
    <w:name w:val="Intense Reference"/>
    <w:basedOn w:val="Fuentedeprrafopredeter"/>
    <w:uiPriority w:val="32"/>
    <w:qFormat/>
    <w:rsid w:val="00DD156A"/>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youtu.be/NuWqgStCh_w" TargetMode="External"/><Relationship Id="rId13" Type="http://schemas.openxmlformats.org/officeDocument/2006/relationships/image" Target="media/image1.png"/><Relationship Id="rId18" Type="http://schemas.openxmlformats.org/officeDocument/2006/relationships/hyperlink" Target="https://www.fotocasa.es/es/" TargetMode="External"/><Relationship Id="rId26" Type="http://schemas.openxmlformats.org/officeDocument/2006/relationships/hyperlink" Target="mailto:emerino@llorenteycuenca.com" TargetMode="External"/><Relationship Id="rId3" Type="http://schemas.openxmlformats.org/officeDocument/2006/relationships/styles" Target="styles.xml"/><Relationship Id="rId21" Type="http://schemas.openxmlformats.org/officeDocument/2006/relationships/hyperlink" Target="https://www.coches.net/" TargetMode="External"/><Relationship Id="rId7" Type="http://schemas.openxmlformats.org/officeDocument/2006/relationships/endnotes" Target="endnotes.xml"/><Relationship Id="rId12" Type="http://schemas.openxmlformats.org/officeDocument/2006/relationships/hyperlink" Target="https://youtu.be/NuWqgStCh_w" TargetMode="External"/><Relationship Id="rId17" Type="http://schemas.openxmlformats.org/officeDocument/2006/relationships/hyperlink" Target="https://www.fotocasa.es/es/quienes-somos/" TargetMode="External"/><Relationship Id="rId25" Type="http://schemas.openxmlformats.org/officeDocument/2006/relationships/hyperlink" Target="mailto:rtorne@llorenteycuenca.com" TargetMode="Externa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www.infojobs.ne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hyperlink" Target="https://www.fotocasa.es/indice/" TargetMode="External"/><Relationship Id="rId23" Type="http://schemas.openxmlformats.org/officeDocument/2006/relationships/hyperlink" Target="http://adevinta.es" TargetMode="External"/><Relationship Id="rId28" Type="http://schemas.openxmlformats.org/officeDocument/2006/relationships/header" Target="header1.xml"/><Relationship Id="rId10" Type="http://schemas.openxmlformats.org/officeDocument/2006/relationships/hyperlink" Target="https://www.fotocasa.es" TargetMode="External"/><Relationship Id="rId19" Type="http://schemas.openxmlformats.org/officeDocument/2006/relationships/hyperlink" Target="https://www.habitaclia.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36360.pcdn.co/wp-content/uploads/2023/10/Informe-Perfil-hipotecado-espanol-en-el-primer-semestre-de-2023.pdf" TargetMode="External"/><Relationship Id="rId14" Type="http://schemas.openxmlformats.org/officeDocument/2006/relationships/image" Target="media/image2.png"/><Relationship Id="rId22" Type="http://schemas.openxmlformats.org/officeDocument/2006/relationships/hyperlink" Target="https://motos.coches.net/" TargetMode="External"/><Relationship Id="rId27" Type="http://schemas.openxmlformats.org/officeDocument/2006/relationships/hyperlink" Target="mailto:piglesias@llorenteycuenca.com"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KbpHFTSiFQPx3cvHCEDqhwEruw==">CgMxLjAyCWguMnM4ZXlvMTgAciExVFJTNk1vdUFOdzlmVDBTZTFLS0Nzbm1rUk5sV2k1d2c=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1090</Words>
  <Characters>5998</Characters>
  <Application>Microsoft Office Word</Application>
  <DocSecurity>0</DocSecurity>
  <Lines>49</Lines>
  <Paragraphs>14</Paragraphs>
  <ScaleCrop>false</ScaleCrop>
  <Company/>
  <LinksUpToDate>false</LinksUpToDate>
  <CharactersWithSpaces>7074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2</cp:revision>
  <dcterms:created xsi:type="dcterms:W3CDTF">2022-04-21T07:41:00Z</dcterms:created>
  <dcterms:modified xsi:type="dcterms:W3CDTF">2023-10-25T09:02:00Z</dcterms:modified>
</cp:coreProperties>
</file>