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95AD" w14:textId="77777777" w:rsidR="00173388" w:rsidRDefault="00000000">
      <w:r>
        <w:rPr>
          <w:noProof/>
        </w:rPr>
        <w:drawing>
          <wp:anchor distT="0" distB="0" distL="114300" distR="114300" simplePos="0" relativeHeight="251658240" behindDoc="0" locked="0" layoutInCell="1" hidden="0" allowOverlap="1" wp14:anchorId="537B020F" wp14:editId="310ACFFE">
            <wp:simplePos x="0" y="0"/>
            <wp:positionH relativeFrom="column">
              <wp:posOffset>-1078864</wp:posOffset>
            </wp:positionH>
            <wp:positionV relativeFrom="paragraph">
              <wp:posOffset>-350452</wp:posOffset>
            </wp:positionV>
            <wp:extent cx="7581265" cy="1019175"/>
            <wp:effectExtent l="0" t="0" r="0" b="0"/>
            <wp:wrapNone/>
            <wp:docPr id="7008988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44EDEA62" w14:textId="77777777" w:rsidR="00173388" w:rsidRDefault="00173388">
      <w:pPr>
        <w:jc w:val="right"/>
        <w:rPr>
          <w:rFonts w:ascii="National" w:eastAsia="National" w:hAnsi="National" w:cs="National"/>
          <w:color w:val="303AB2"/>
          <w:sz w:val="36"/>
          <w:szCs w:val="36"/>
        </w:rPr>
      </w:pPr>
    </w:p>
    <w:p w14:paraId="764597F3" w14:textId="77777777" w:rsidR="00173388" w:rsidRDefault="00173388">
      <w:pPr>
        <w:jc w:val="right"/>
        <w:rPr>
          <w:rFonts w:ascii="National" w:eastAsia="National" w:hAnsi="National" w:cs="National"/>
          <w:color w:val="303AB2"/>
          <w:sz w:val="36"/>
          <w:szCs w:val="36"/>
        </w:rPr>
      </w:pPr>
    </w:p>
    <w:p w14:paraId="66E34A20" w14:textId="77777777" w:rsidR="00173388" w:rsidRDefault="00173388">
      <w:pPr>
        <w:rPr>
          <w:rFonts w:ascii="National" w:eastAsia="National" w:hAnsi="National" w:cs="National"/>
          <w:color w:val="303AB2"/>
          <w:sz w:val="18"/>
          <w:szCs w:val="18"/>
        </w:rPr>
      </w:pPr>
    </w:p>
    <w:p w14:paraId="389F896A" w14:textId="77777777" w:rsidR="00173388"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OCTUBRE: PRECIO VIVIENDA EN VENTA</w:t>
      </w:r>
    </w:p>
    <w:p w14:paraId="5B676E8A" w14:textId="77777777" w:rsidR="00173388"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 la vivienda sube un 6,6% interanual en octubre en España </w:t>
      </w:r>
    </w:p>
    <w:p w14:paraId="2A088577" w14:textId="77777777" w:rsidR="00173388" w:rsidRDefault="00173388">
      <w:pPr>
        <w:rPr>
          <w:rFonts w:ascii="National" w:eastAsia="National" w:hAnsi="National" w:cs="National"/>
          <w:b/>
          <w:color w:val="303AB2"/>
          <w:sz w:val="14"/>
          <w:szCs w:val="14"/>
        </w:rPr>
      </w:pPr>
    </w:p>
    <w:p w14:paraId="23F4FE33" w14:textId="77777777" w:rsidR="00173388" w:rsidRDefault="00173388">
      <w:pPr>
        <w:tabs>
          <w:tab w:val="left" w:pos="6804"/>
        </w:tabs>
        <w:rPr>
          <w:rFonts w:ascii="National" w:eastAsia="National" w:hAnsi="National" w:cs="National"/>
          <w:b/>
          <w:color w:val="303AB2"/>
          <w:sz w:val="14"/>
          <w:szCs w:val="14"/>
        </w:rPr>
      </w:pPr>
    </w:p>
    <w:p w14:paraId="08C8A773" w14:textId="77777777" w:rsidR="00173388"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En octubre el precio mensual de la vivienda en venta sube un 0,4% y sitúa su precio en 2.159 euros/m</w:t>
      </w:r>
      <w:r>
        <w:rPr>
          <w:rFonts w:ascii="Open Sans" w:eastAsia="Open Sans" w:hAnsi="Open Sans" w:cs="Open Sans"/>
          <w:color w:val="303AB2"/>
          <w:vertAlign w:val="superscript"/>
        </w:rPr>
        <w:t>2</w:t>
      </w:r>
    </w:p>
    <w:p w14:paraId="14CC8DBE" w14:textId="77777777" w:rsidR="00173388"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Hace un año comprar una vivienda costaba menos en 48 capitales de provincia y en ocho de cada diez ciudades analizadas</w:t>
      </w:r>
    </w:p>
    <w:p w14:paraId="066676E3" w14:textId="77777777" w:rsidR="00173388" w:rsidRDefault="00173388">
      <w:pPr>
        <w:pBdr>
          <w:top w:val="nil"/>
          <w:left w:val="nil"/>
          <w:bottom w:val="nil"/>
          <w:right w:val="nil"/>
          <w:between w:val="nil"/>
        </w:pBdr>
        <w:spacing w:line="276" w:lineRule="auto"/>
        <w:ind w:left="720"/>
        <w:jc w:val="both"/>
        <w:rPr>
          <w:rFonts w:ascii="Open Sans Light" w:eastAsia="Open Sans Light" w:hAnsi="Open Sans Light" w:cs="Open Sans Light"/>
          <w:b/>
          <w:color w:val="303AB2"/>
          <w:sz w:val="22"/>
          <w:szCs w:val="22"/>
        </w:rPr>
      </w:pPr>
    </w:p>
    <w:p w14:paraId="23EB932C" w14:textId="464549BC" w:rsidR="00173388"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bookmarkStart w:id="0" w:name="_heading=h.gjdgxs" w:colFirst="0" w:colLast="0"/>
      <w:bookmarkEnd w:id="0"/>
      <w:r>
        <w:rPr>
          <w:rFonts w:ascii="Open Sans Light" w:eastAsia="Open Sans Light" w:hAnsi="Open Sans Light" w:cs="Open Sans Light"/>
          <w:b/>
          <w:color w:val="303AB2"/>
          <w:sz w:val="22"/>
          <w:szCs w:val="22"/>
        </w:rPr>
        <w:t xml:space="preserve">Madrid, </w:t>
      </w:r>
      <w:r w:rsidR="0047091A">
        <w:rPr>
          <w:rFonts w:ascii="Open Sans Light" w:eastAsia="Open Sans Light" w:hAnsi="Open Sans Light" w:cs="Open Sans Light"/>
          <w:b/>
          <w:color w:val="303AB2"/>
          <w:sz w:val="22"/>
          <w:szCs w:val="22"/>
        </w:rPr>
        <w:t xml:space="preserve">2 de </w:t>
      </w:r>
      <w:r w:rsidR="00E55BD8">
        <w:rPr>
          <w:rFonts w:ascii="Open Sans Light" w:eastAsia="Open Sans Light" w:hAnsi="Open Sans Light" w:cs="Open Sans Light"/>
          <w:b/>
          <w:color w:val="303AB2"/>
          <w:sz w:val="22"/>
          <w:szCs w:val="22"/>
        </w:rPr>
        <w:t>noviembre</w:t>
      </w:r>
      <w:r>
        <w:rPr>
          <w:rFonts w:ascii="Open Sans Light" w:eastAsia="Open Sans Light" w:hAnsi="Open Sans Light" w:cs="Open Sans Light"/>
          <w:b/>
          <w:color w:val="303AB2"/>
          <w:sz w:val="22"/>
          <w:szCs w:val="22"/>
        </w:rPr>
        <w:t xml:space="preserve"> de 2023</w:t>
      </w:r>
    </w:p>
    <w:p w14:paraId="1F79B503" w14:textId="77777777" w:rsidR="00173388" w:rsidRDefault="00000000">
      <w:pPr>
        <w:pBdr>
          <w:top w:val="nil"/>
          <w:left w:val="nil"/>
          <w:bottom w:val="nil"/>
          <w:right w:val="nil"/>
          <w:between w:val="nil"/>
        </w:pBdr>
        <w:shd w:val="clear" w:color="auto" w:fill="FFFFFF"/>
        <w:tabs>
          <w:tab w:val="left" w:pos="3119"/>
        </w:tabs>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España sube un 0,4% la variación mensual del precio de la vivienda de segunda mano y un 6,6% en su variación interanual, situando su precio en 2.159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en octubre,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Este último valor interanual (6,6%) es el incremento más bajo detectado en los diez meses de 2023. </w:t>
      </w:r>
    </w:p>
    <w:p w14:paraId="1B21E625" w14:textId="77777777" w:rsidR="00173388" w:rsidRDefault="00000000">
      <w:pPr>
        <w:pBdr>
          <w:top w:val="nil"/>
          <w:left w:val="nil"/>
          <w:bottom w:val="nil"/>
          <w:right w:val="nil"/>
          <w:between w:val="nil"/>
        </w:pBdr>
        <w:shd w:val="clear" w:color="auto" w:fill="FFFFFF"/>
        <w:spacing w:before="280" w:after="280" w:line="276" w:lineRule="auto"/>
        <w:jc w:val="center"/>
        <w:rPr>
          <w:rFonts w:ascii="Open Sans" w:eastAsia="Open Sans" w:hAnsi="Open Sans" w:cs="Open Sans"/>
          <w:color w:val="000000"/>
        </w:rPr>
      </w:pPr>
      <w:r>
        <w:rPr>
          <w:rFonts w:ascii="Open Sans" w:eastAsia="Open Sans" w:hAnsi="Open Sans" w:cs="Open Sans"/>
          <w:b/>
          <w:color w:val="303AB2"/>
          <w:sz w:val="26"/>
          <w:szCs w:val="26"/>
        </w:rPr>
        <w:t>Variación mensual e interanual de España</w:t>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06DA1540" wp14:editId="776DE0C8">
            <wp:extent cx="5760720" cy="2682743"/>
            <wp:effectExtent l="0" t="0" r="0" b="0"/>
            <wp:docPr id="700898887" name="Gráfico 7008988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86D9CD" w14:textId="1E9DD5A3" w:rsidR="00173388"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rFonts w:ascii="Open Sans" w:eastAsia="Open Sans" w:hAnsi="Open Sans" w:cs="Open Sans"/>
        </w:rPr>
        <w:t xml:space="preserve">“Aunque la cifra de subida interanual es significativa, si valoramos con perspectiva la gráfica, se confirma la tendencia de ralentización del ritmo de crecimiento del precio de la vivienda de segunda mano. Atrás quedan las mayores variaciones </w:t>
      </w:r>
      <w:r>
        <w:rPr>
          <w:rFonts w:ascii="Open Sans" w:eastAsia="Open Sans" w:hAnsi="Open Sans" w:cs="Open Sans"/>
        </w:rPr>
        <w:lastRenderedPageBreak/>
        <w:t xml:space="preserve">mostradas de la última década y el precio comienza una etapa de búsqueda de estabilización tras la aceleración provocada por la subida de tipos de interés. Sin embargo, esta moderación del encarecimiento no significa que el precio vaya a mostrar caídas. De momento, a nivel nacional, no se esperan bajadas debido al gran desequilibrio existente entre oferta y demanda, al déficit productivo de obra nueva y vivienda social y al intenso interés por comprar proveniente de un perfil solvente e inversor en el mercado”, comenta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 xml:space="preserve">. </w:t>
      </w:r>
    </w:p>
    <w:p w14:paraId="165E8ECD" w14:textId="77777777" w:rsidR="00173388"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 xml:space="preserve">Si analizamos los precios de la vivienda en venta respecto a los de hace un año, vemos que las 17 comunidades incrementan el precio interanual en octubre. A diferencia de otros meses, en el que los incrementos superiores al 10% se daban en seis comunidades, en octubre se reduce a tres: Canarias (25,4%), Baleares (18,3%) y Navarra (12,4%). Le siguen las comunidades de La Rioja con 9,6%, Comunitat Valenciana con 8,6%, Región de Murcia con 8,0%, Andalucía con 6,8%, Madrid con 5,8%, Asturias con 4,8%, Cantabria con 4,7%, Aragón con 4,5%, Cataluña con 4,3%, País Vasco con 3,5%, Extremadura con 3,1%, Galicia con 2,8%, Castilla-La Mancha con 2,5% y Castilla y León con 2,0%. </w:t>
      </w:r>
    </w:p>
    <w:p w14:paraId="449915BB" w14:textId="77777777" w:rsidR="00173388"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de segunda mano más caras en España, se encuentran Baleares y Madrid, con los precios de 3.805 euros/m</w:t>
      </w:r>
      <w:r>
        <w:rPr>
          <w:rFonts w:ascii="Open Sans" w:eastAsia="Open Sans" w:hAnsi="Open Sans" w:cs="Open Sans"/>
          <w:color w:val="000000"/>
          <w:vertAlign w:val="superscript"/>
        </w:rPr>
        <w:t>2</w:t>
      </w:r>
      <w:r>
        <w:rPr>
          <w:rFonts w:ascii="Open Sans" w:eastAsia="Open Sans" w:hAnsi="Open Sans" w:cs="Open Sans"/>
          <w:color w:val="000000"/>
        </w:rPr>
        <w:t xml:space="preserve"> y los 3.577 euros/m</w:t>
      </w:r>
      <w:r>
        <w:rPr>
          <w:rFonts w:ascii="Open Sans" w:eastAsia="Open Sans" w:hAnsi="Open Sans" w:cs="Open Sans"/>
          <w:color w:val="000000"/>
          <w:vertAlign w:val="superscript"/>
        </w:rPr>
        <w:t>2</w:t>
      </w:r>
      <w:r>
        <w:rPr>
          <w:rFonts w:ascii="Open Sans" w:eastAsia="Open Sans" w:hAnsi="Open Sans" w:cs="Open Sans"/>
          <w:color w:val="000000"/>
        </w:rPr>
        <w:t>, respectivamente. Le siguen, País Vasco con 3.038 euros/m</w:t>
      </w:r>
      <w:r>
        <w:rPr>
          <w:rFonts w:ascii="Open Sans" w:eastAsia="Open Sans" w:hAnsi="Open Sans" w:cs="Open Sans"/>
          <w:color w:val="000000"/>
          <w:vertAlign w:val="superscript"/>
        </w:rPr>
        <w:t>2</w:t>
      </w:r>
      <w:r>
        <w:rPr>
          <w:rFonts w:ascii="Open Sans" w:eastAsia="Open Sans" w:hAnsi="Open Sans" w:cs="Open Sans"/>
          <w:color w:val="000000"/>
        </w:rPr>
        <w:t>, Cataluña con 2.762 euros/m</w:t>
      </w:r>
      <w:r>
        <w:rPr>
          <w:rFonts w:ascii="Open Sans" w:eastAsia="Open Sans" w:hAnsi="Open Sans" w:cs="Open Sans"/>
          <w:color w:val="000000"/>
          <w:vertAlign w:val="superscript"/>
        </w:rPr>
        <w:t>2</w:t>
      </w:r>
      <w:r>
        <w:rPr>
          <w:rFonts w:ascii="Open Sans" w:eastAsia="Open Sans" w:hAnsi="Open Sans" w:cs="Open Sans"/>
          <w:color w:val="000000"/>
        </w:rPr>
        <w:t>, Canarias con 2.383 euros/m</w:t>
      </w:r>
      <w:r>
        <w:rPr>
          <w:rFonts w:ascii="Open Sans" w:eastAsia="Open Sans" w:hAnsi="Open Sans" w:cs="Open Sans"/>
          <w:color w:val="000000"/>
          <w:vertAlign w:val="superscript"/>
        </w:rPr>
        <w:t>2</w:t>
      </w:r>
      <w:r>
        <w:rPr>
          <w:rFonts w:ascii="Open Sans" w:eastAsia="Open Sans" w:hAnsi="Open Sans" w:cs="Open Sans"/>
          <w:color w:val="000000"/>
        </w:rPr>
        <w:t>, Navarra con 2.044 euros/m</w:t>
      </w:r>
      <w:r>
        <w:rPr>
          <w:rFonts w:ascii="Open Sans" w:eastAsia="Open Sans" w:hAnsi="Open Sans" w:cs="Open Sans"/>
          <w:color w:val="000000"/>
          <w:vertAlign w:val="superscript"/>
        </w:rPr>
        <w:t>2</w:t>
      </w:r>
      <w:r>
        <w:rPr>
          <w:rFonts w:ascii="Open Sans" w:eastAsia="Open Sans" w:hAnsi="Open Sans" w:cs="Open Sans"/>
          <w:color w:val="000000"/>
        </w:rPr>
        <w:t>, Andalucía con 1.941 euros/m</w:t>
      </w:r>
      <w:r>
        <w:rPr>
          <w:rFonts w:ascii="Open Sans" w:eastAsia="Open Sans" w:hAnsi="Open Sans" w:cs="Open Sans"/>
          <w:color w:val="000000"/>
          <w:vertAlign w:val="superscript"/>
        </w:rPr>
        <w:t>2</w:t>
      </w:r>
      <w:r>
        <w:rPr>
          <w:rFonts w:ascii="Open Sans" w:eastAsia="Open Sans" w:hAnsi="Open Sans" w:cs="Open Sans"/>
          <w:color w:val="000000"/>
        </w:rPr>
        <w:t>, Cantabria con 1.881 euros/m</w:t>
      </w:r>
      <w:r>
        <w:rPr>
          <w:rFonts w:ascii="Open Sans" w:eastAsia="Open Sans" w:hAnsi="Open Sans" w:cs="Open Sans"/>
          <w:color w:val="000000"/>
          <w:vertAlign w:val="superscript"/>
        </w:rPr>
        <w:t>2</w:t>
      </w:r>
      <w:r>
        <w:rPr>
          <w:rFonts w:ascii="Open Sans" w:eastAsia="Open Sans" w:hAnsi="Open Sans" w:cs="Open Sans"/>
          <w:color w:val="000000"/>
        </w:rPr>
        <w:t>, Aragón con 1.733 euros/m</w:t>
      </w:r>
      <w:r>
        <w:rPr>
          <w:rFonts w:ascii="Open Sans" w:eastAsia="Open Sans" w:hAnsi="Open Sans" w:cs="Open Sans"/>
          <w:color w:val="000000"/>
          <w:vertAlign w:val="superscript"/>
        </w:rPr>
        <w:t>2</w:t>
      </w:r>
      <w:r>
        <w:rPr>
          <w:rFonts w:ascii="Open Sans" w:eastAsia="Open Sans" w:hAnsi="Open Sans" w:cs="Open Sans"/>
          <w:color w:val="000000"/>
        </w:rPr>
        <w:t>, Galicia con 1.701 euros/m</w:t>
      </w:r>
      <w:r>
        <w:rPr>
          <w:rFonts w:ascii="Open Sans" w:eastAsia="Open Sans" w:hAnsi="Open Sans" w:cs="Open Sans"/>
          <w:color w:val="000000"/>
          <w:vertAlign w:val="superscript"/>
        </w:rPr>
        <w:t>2</w:t>
      </w:r>
      <w:r>
        <w:rPr>
          <w:rFonts w:ascii="Open Sans" w:eastAsia="Open Sans" w:hAnsi="Open Sans" w:cs="Open Sans"/>
          <w:color w:val="000000"/>
        </w:rPr>
        <w:t>, Comunitat Valenciana con 1.688 euros/m</w:t>
      </w:r>
      <w:r>
        <w:rPr>
          <w:rFonts w:ascii="Open Sans" w:eastAsia="Open Sans" w:hAnsi="Open Sans" w:cs="Open Sans"/>
          <w:color w:val="000000"/>
          <w:vertAlign w:val="superscript"/>
        </w:rPr>
        <w:t>2</w:t>
      </w:r>
      <w:r>
        <w:rPr>
          <w:rFonts w:ascii="Open Sans" w:eastAsia="Open Sans" w:hAnsi="Open Sans" w:cs="Open Sans"/>
          <w:color w:val="000000"/>
        </w:rPr>
        <w:t>, La Rioja con 1.656 euros/m</w:t>
      </w:r>
      <w:r>
        <w:rPr>
          <w:rFonts w:ascii="Open Sans" w:eastAsia="Open Sans" w:hAnsi="Open Sans" w:cs="Open Sans"/>
          <w:color w:val="000000"/>
          <w:vertAlign w:val="superscript"/>
        </w:rPr>
        <w:t>2</w:t>
      </w:r>
      <w:r>
        <w:rPr>
          <w:rFonts w:ascii="Open Sans" w:eastAsia="Open Sans" w:hAnsi="Open Sans" w:cs="Open Sans"/>
          <w:color w:val="000000"/>
        </w:rPr>
        <w:t>, Asturias con 1.646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1.469 euros/m</w:t>
      </w:r>
      <w:r>
        <w:rPr>
          <w:rFonts w:ascii="Open Sans" w:eastAsia="Open Sans" w:hAnsi="Open Sans" w:cs="Open Sans"/>
          <w:color w:val="000000"/>
          <w:vertAlign w:val="superscript"/>
        </w:rPr>
        <w:t>2</w:t>
      </w:r>
      <w:r>
        <w:rPr>
          <w:rFonts w:ascii="Open Sans" w:eastAsia="Open Sans" w:hAnsi="Open Sans" w:cs="Open Sans"/>
          <w:color w:val="000000"/>
        </w:rPr>
        <w:t>, Región de Murcia con 1.260 euros/m</w:t>
      </w:r>
      <w:r>
        <w:rPr>
          <w:rFonts w:ascii="Open Sans" w:eastAsia="Open Sans" w:hAnsi="Open Sans" w:cs="Open Sans"/>
          <w:color w:val="000000"/>
          <w:vertAlign w:val="superscript"/>
        </w:rPr>
        <w:t>2</w:t>
      </w:r>
      <w:r>
        <w:rPr>
          <w:rFonts w:ascii="Open Sans" w:eastAsia="Open Sans" w:hAnsi="Open Sans" w:cs="Open Sans"/>
          <w:color w:val="000000"/>
        </w:rPr>
        <w:t>, Extremadura con 1.207 euros/m</w:t>
      </w:r>
      <w:r>
        <w:rPr>
          <w:rFonts w:ascii="Open Sans" w:eastAsia="Open Sans" w:hAnsi="Open Sans" w:cs="Open Sans"/>
          <w:color w:val="000000"/>
          <w:vertAlign w:val="superscript"/>
        </w:rPr>
        <w:t>2</w:t>
      </w:r>
      <w:r>
        <w:rPr>
          <w:rFonts w:ascii="Open Sans" w:eastAsia="Open Sans" w:hAnsi="Open Sans" w:cs="Open Sans"/>
          <w:color w:val="000000"/>
        </w:rPr>
        <w:t xml:space="preserve"> y Castilla-La Mancha con 1.182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3FE376CF" w14:textId="77777777" w:rsidR="00173388" w:rsidRDefault="00000000">
      <w:pPr>
        <w:pBdr>
          <w:top w:val="nil"/>
          <w:left w:val="nil"/>
          <w:bottom w:val="nil"/>
          <w:right w:val="nil"/>
          <w:between w:val="nil"/>
        </w:pBdr>
        <w:shd w:val="clear" w:color="auto" w:fill="FFFFFF"/>
        <w:spacing w:before="280" w:after="280" w:line="276" w:lineRule="auto"/>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CCAA de mayor a menor incremento interanual</w:t>
      </w:r>
    </w:p>
    <w:tbl>
      <w:tblPr>
        <w:tblStyle w:val="a"/>
        <w:tblW w:w="90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10"/>
        <w:gridCol w:w="1701"/>
        <w:gridCol w:w="1559"/>
        <w:gridCol w:w="1701"/>
        <w:gridCol w:w="1700"/>
      </w:tblGrid>
      <w:tr w:rsidR="00173388" w14:paraId="6634E0BE" w14:textId="77777777" w:rsidTr="0017338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451AECE"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701" w:type="dxa"/>
            <w:vAlign w:val="center"/>
          </w:tcPr>
          <w:p w14:paraId="1CABD2E1"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2023</w:t>
            </w:r>
          </w:p>
          <w:p w14:paraId="06C5C481"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6C103644"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44FED1C1"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700" w:type="dxa"/>
          </w:tcPr>
          <w:p w14:paraId="7EC1A71C"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media nacional</w:t>
            </w:r>
          </w:p>
        </w:tc>
      </w:tr>
      <w:tr w:rsidR="00173388" w14:paraId="40606D92" w14:textId="77777777" w:rsidTr="001733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59ED7BB"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1701" w:type="dxa"/>
            <w:vAlign w:val="bottom"/>
          </w:tcPr>
          <w:p w14:paraId="09C6DA5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xml:space="preserve"> 2.383 € </w:t>
            </w:r>
          </w:p>
        </w:tc>
        <w:tc>
          <w:tcPr>
            <w:tcW w:w="1559" w:type="dxa"/>
            <w:vAlign w:val="bottom"/>
          </w:tcPr>
          <w:p w14:paraId="2CB2A79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1701" w:type="dxa"/>
            <w:vAlign w:val="bottom"/>
          </w:tcPr>
          <w:p w14:paraId="5CD485A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25,4%</w:t>
            </w:r>
          </w:p>
        </w:tc>
        <w:tc>
          <w:tcPr>
            <w:tcW w:w="1700" w:type="dxa"/>
            <w:vAlign w:val="bottom"/>
          </w:tcPr>
          <w:p w14:paraId="601929A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10,4%</w:t>
            </w:r>
          </w:p>
        </w:tc>
      </w:tr>
      <w:tr w:rsidR="00173388" w14:paraId="61008C76" w14:textId="77777777" w:rsidTr="0017338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E585BD2"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1701" w:type="dxa"/>
            <w:vAlign w:val="bottom"/>
          </w:tcPr>
          <w:p w14:paraId="2EC762B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3.805 € </w:t>
            </w:r>
          </w:p>
        </w:tc>
        <w:tc>
          <w:tcPr>
            <w:tcW w:w="1559" w:type="dxa"/>
            <w:vAlign w:val="bottom"/>
          </w:tcPr>
          <w:p w14:paraId="32225DF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6B7ADC7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18,3%</w:t>
            </w:r>
          </w:p>
        </w:tc>
        <w:tc>
          <w:tcPr>
            <w:tcW w:w="1700" w:type="dxa"/>
            <w:vAlign w:val="bottom"/>
          </w:tcPr>
          <w:p w14:paraId="63697D8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76,2%</w:t>
            </w:r>
          </w:p>
        </w:tc>
      </w:tr>
      <w:tr w:rsidR="00173388" w14:paraId="45CBD1DC" w14:textId="77777777" w:rsidTr="001733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D197975"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1701" w:type="dxa"/>
            <w:vAlign w:val="bottom"/>
          </w:tcPr>
          <w:p w14:paraId="0555819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2.044 € </w:t>
            </w:r>
          </w:p>
        </w:tc>
        <w:tc>
          <w:tcPr>
            <w:tcW w:w="1559" w:type="dxa"/>
            <w:vAlign w:val="bottom"/>
          </w:tcPr>
          <w:p w14:paraId="3C59D3C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5D1E432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12,4%</w:t>
            </w:r>
          </w:p>
        </w:tc>
        <w:tc>
          <w:tcPr>
            <w:tcW w:w="1700" w:type="dxa"/>
            <w:vAlign w:val="bottom"/>
          </w:tcPr>
          <w:p w14:paraId="6D03CC9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-5,3%</w:t>
            </w:r>
          </w:p>
        </w:tc>
      </w:tr>
      <w:tr w:rsidR="00173388" w14:paraId="420EF3C3" w14:textId="77777777" w:rsidTr="0017338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73EB013"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1701" w:type="dxa"/>
            <w:vAlign w:val="bottom"/>
          </w:tcPr>
          <w:p w14:paraId="7AF5A9D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1.656 € </w:t>
            </w:r>
          </w:p>
        </w:tc>
        <w:tc>
          <w:tcPr>
            <w:tcW w:w="1559" w:type="dxa"/>
            <w:vAlign w:val="bottom"/>
          </w:tcPr>
          <w:p w14:paraId="3D82386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701" w:type="dxa"/>
            <w:vAlign w:val="bottom"/>
          </w:tcPr>
          <w:p w14:paraId="47BAE5B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9,6%</w:t>
            </w:r>
          </w:p>
        </w:tc>
        <w:tc>
          <w:tcPr>
            <w:tcW w:w="1700" w:type="dxa"/>
            <w:vAlign w:val="bottom"/>
          </w:tcPr>
          <w:p w14:paraId="680C7C7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-23,3%</w:t>
            </w:r>
          </w:p>
        </w:tc>
      </w:tr>
      <w:tr w:rsidR="00173388" w14:paraId="0C185227" w14:textId="77777777" w:rsidTr="001733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2AA4B38"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 xml:space="preserve"> Comunitat Valenciana </w:t>
            </w:r>
          </w:p>
        </w:tc>
        <w:tc>
          <w:tcPr>
            <w:tcW w:w="1701" w:type="dxa"/>
            <w:vAlign w:val="bottom"/>
          </w:tcPr>
          <w:p w14:paraId="6A1472D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1.688 € </w:t>
            </w:r>
          </w:p>
        </w:tc>
        <w:tc>
          <w:tcPr>
            <w:tcW w:w="1559" w:type="dxa"/>
            <w:vAlign w:val="bottom"/>
          </w:tcPr>
          <w:p w14:paraId="2D86979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01" w:type="dxa"/>
            <w:vAlign w:val="bottom"/>
          </w:tcPr>
          <w:p w14:paraId="1F7274D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8,6%</w:t>
            </w:r>
          </w:p>
        </w:tc>
        <w:tc>
          <w:tcPr>
            <w:tcW w:w="1700" w:type="dxa"/>
            <w:vAlign w:val="bottom"/>
          </w:tcPr>
          <w:p w14:paraId="04FA298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-21,8%</w:t>
            </w:r>
          </w:p>
        </w:tc>
      </w:tr>
      <w:tr w:rsidR="00173388" w14:paraId="1D184545" w14:textId="77777777" w:rsidTr="0017338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C144C6E"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1701" w:type="dxa"/>
            <w:vAlign w:val="bottom"/>
          </w:tcPr>
          <w:p w14:paraId="51C4DC8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1.260 € </w:t>
            </w:r>
          </w:p>
        </w:tc>
        <w:tc>
          <w:tcPr>
            <w:tcW w:w="1559" w:type="dxa"/>
            <w:vAlign w:val="bottom"/>
          </w:tcPr>
          <w:p w14:paraId="084CBBE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701" w:type="dxa"/>
            <w:vAlign w:val="bottom"/>
          </w:tcPr>
          <w:p w14:paraId="02D046E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8,0%</w:t>
            </w:r>
          </w:p>
        </w:tc>
        <w:tc>
          <w:tcPr>
            <w:tcW w:w="1700" w:type="dxa"/>
            <w:vAlign w:val="bottom"/>
          </w:tcPr>
          <w:p w14:paraId="0B3C230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-41,6%</w:t>
            </w:r>
          </w:p>
        </w:tc>
      </w:tr>
      <w:tr w:rsidR="00173388" w14:paraId="43C3E7FB" w14:textId="77777777" w:rsidTr="001733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726395B"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1701" w:type="dxa"/>
            <w:vAlign w:val="bottom"/>
          </w:tcPr>
          <w:p w14:paraId="207325B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1.941 € </w:t>
            </w:r>
          </w:p>
        </w:tc>
        <w:tc>
          <w:tcPr>
            <w:tcW w:w="1559" w:type="dxa"/>
            <w:vAlign w:val="bottom"/>
          </w:tcPr>
          <w:p w14:paraId="7C7AFB4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1506C12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6,8%</w:t>
            </w:r>
          </w:p>
        </w:tc>
        <w:tc>
          <w:tcPr>
            <w:tcW w:w="1700" w:type="dxa"/>
            <w:vAlign w:val="bottom"/>
          </w:tcPr>
          <w:p w14:paraId="3F2D312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-10,1%</w:t>
            </w:r>
          </w:p>
        </w:tc>
      </w:tr>
      <w:tr w:rsidR="00173388" w14:paraId="49B5A7E9" w14:textId="77777777" w:rsidTr="0017338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DA76C36"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1701" w:type="dxa"/>
            <w:vAlign w:val="bottom"/>
          </w:tcPr>
          <w:p w14:paraId="2AEF404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3.577 € </w:t>
            </w:r>
          </w:p>
        </w:tc>
        <w:tc>
          <w:tcPr>
            <w:tcW w:w="1559" w:type="dxa"/>
            <w:vAlign w:val="bottom"/>
          </w:tcPr>
          <w:p w14:paraId="378132B7"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w:t>
            </w:r>
          </w:p>
        </w:tc>
        <w:tc>
          <w:tcPr>
            <w:tcW w:w="1701" w:type="dxa"/>
            <w:vAlign w:val="bottom"/>
          </w:tcPr>
          <w:p w14:paraId="7283714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c>
          <w:tcPr>
            <w:tcW w:w="1700" w:type="dxa"/>
            <w:vAlign w:val="bottom"/>
          </w:tcPr>
          <w:p w14:paraId="379E29C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65,7%</w:t>
            </w:r>
          </w:p>
        </w:tc>
      </w:tr>
      <w:tr w:rsidR="00173388" w14:paraId="0BC80386" w14:textId="77777777" w:rsidTr="001733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8F76FB5"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1701" w:type="dxa"/>
            <w:vAlign w:val="bottom"/>
          </w:tcPr>
          <w:p w14:paraId="2785595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1.646 € </w:t>
            </w:r>
          </w:p>
        </w:tc>
        <w:tc>
          <w:tcPr>
            <w:tcW w:w="1559" w:type="dxa"/>
            <w:vAlign w:val="bottom"/>
          </w:tcPr>
          <w:p w14:paraId="41C0DEE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1701" w:type="dxa"/>
            <w:vAlign w:val="bottom"/>
          </w:tcPr>
          <w:p w14:paraId="1F3439A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c>
          <w:tcPr>
            <w:tcW w:w="1700" w:type="dxa"/>
            <w:vAlign w:val="bottom"/>
          </w:tcPr>
          <w:p w14:paraId="3193BD0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-23,8%</w:t>
            </w:r>
          </w:p>
        </w:tc>
      </w:tr>
      <w:tr w:rsidR="00173388" w14:paraId="20E9EC28" w14:textId="77777777" w:rsidTr="0017338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33BEBD2"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1701" w:type="dxa"/>
            <w:vAlign w:val="bottom"/>
          </w:tcPr>
          <w:p w14:paraId="7CD29D5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1.881 € </w:t>
            </w:r>
          </w:p>
        </w:tc>
        <w:tc>
          <w:tcPr>
            <w:tcW w:w="1559" w:type="dxa"/>
            <w:vAlign w:val="bottom"/>
          </w:tcPr>
          <w:p w14:paraId="36EB32C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7808C9C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c>
          <w:tcPr>
            <w:tcW w:w="1700" w:type="dxa"/>
            <w:vAlign w:val="bottom"/>
          </w:tcPr>
          <w:p w14:paraId="0432837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-12,9%</w:t>
            </w:r>
          </w:p>
        </w:tc>
      </w:tr>
      <w:tr w:rsidR="00173388" w14:paraId="09B7C6A9" w14:textId="77777777" w:rsidTr="001733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9158D6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1701" w:type="dxa"/>
            <w:vAlign w:val="bottom"/>
          </w:tcPr>
          <w:p w14:paraId="5ADE7E3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xml:space="preserve"> 1.733 € </w:t>
            </w:r>
          </w:p>
        </w:tc>
        <w:tc>
          <w:tcPr>
            <w:tcW w:w="1559" w:type="dxa"/>
            <w:vAlign w:val="bottom"/>
          </w:tcPr>
          <w:p w14:paraId="249CB6A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701" w:type="dxa"/>
            <w:vAlign w:val="bottom"/>
          </w:tcPr>
          <w:p w14:paraId="2B17369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4,5%</w:t>
            </w:r>
          </w:p>
        </w:tc>
        <w:tc>
          <w:tcPr>
            <w:tcW w:w="1700" w:type="dxa"/>
            <w:vAlign w:val="bottom"/>
          </w:tcPr>
          <w:p w14:paraId="34966BF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-19,7%</w:t>
            </w:r>
          </w:p>
        </w:tc>
      </w:tr>
      <w:tr w:rsidR="00173388" w14:paraId="17E69794" w14:textId="77777777" w:rsidTr="0017338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A4CE728"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1701" w:type="dxa"/>
            <w:vAlign w:val="bottom"/>
          </w:tcPr>
          <w:p w14:paraId="234CD85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xml:space="preserve"> 2.762 € </w:t>
            </w:r>
          </w:p>
        </w:tc>
        <w:tc>
          <w:tcPr>
            <w:tcW w:w="1559" w:type="dxa"/>
            <w:vAlign w:val="bottom"/>
          </w:tcPr>
          <w:p w14:paraId="5614C0F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753BE6D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4,3%</w:t>
            </w:r>
          </w:p>
        </w:tc>
        <w:tc>
          <w:tcPr>
            <w:tcW w:w="1700" w:type="dxa"/>
            <w:vAlign w:val="bottom"/>
          </w:tcPr>
          <w:p w14:paraId="1613FD3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27,9%</w:t>
            </w:r>
          </w:p>
        </w:tc>
      </w:tr>
      <w:tr w:rsidR="00173388" w14:paraId="7E26D377" w14:textId="77777777" w:rsidTr="001733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451C5C3"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1701" w:type="dxa"/>
            <w:vAlign w:val="bottom"/>
          </w:tcPr>
          <w:p w14:paraId="501C77C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xml:space="preserve"> 3.038 € </w:t>
            </w:r>
          </w:p>
        </w:tc>
        <w:tc>
          <w:tcPr>
            <w:tcW w:w="1559" w:type="dxa"/>
            <w:vAlign w:val="bottom"/>
          </w:tcPr>
          <w:p w14:paraId="6F2BA7A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01" w:type="dxa"/>
            <w:vAlign w:val="bottom"/>
          </w:tcPr>
          <w:p w14:paraId="78CC228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3,5%</w:t>
            </w:r>
          </w:p>
        </w:tc>
        <w:tc>
          <w:tcPr>
            <w:tcW w:w="1700" w:type="dxa"/>
            <w:vAlign w:val="bottom"/>
          </w:tcPr>
          <w:p w14:paraId="4A56C74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40,7%</w:t>
            </w:r>
          </w:p>
        </w:tc>
      </w:tr>
      <w:tr w:rsidR="00173388" w14:paraId="10ECF56C" w14:textId="77777777" w:rsidTr="0017338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28B67AE"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1701" w:type="dxa"/>
            <w:vAlign w:val="bottom"/>
          </w:tcPr>
          <w:p w14:paraId="291543F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xml:space="preserve"> 1.207 € </w:t>
            </w:r>
          </w:p>
        </w:tc>
        <w:tc>
          <w:tcPr>
            <w:tcW w:w="1559" w:type="dxa"/>
            <w:vAlign w:val="bottom"/>
          </w:tcPr>
          <w:p w14:paraId="2FDD5F0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01" w:type="dxa"/>
            <w:vAlign w:val="bottom"/>
          </w:tcPr>
          <w:p w14:paraId="5A946D6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3,1%</w:t>
            </w:r>
          </w:p>
        </w:tc>
        <w:tc>
          <w:tcPr>
            <w:tcW w:w="1700" w:type="dxa"/>
            <w:vAlign w:val="bottom"/>
          </w:tcPr>
          <w:p w14:paraId="0B35258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-44,1%</w:t>
            </w:r>
          </w:p>
        </w:tc>
      </w:tr>
      <w:tr w:rsidR="00173388" w14:paraId="053BE1CE" w14:textId="77777777" w:rsidTr="001733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D8FFA1C"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1701" w:type="dxa"/>
            <w:vAlign w:val="bottom"/>
          </w:tcPr>
          <w:p w14:paraId="477B081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xml:space="preserve"> 1.701 € </w:t>
            </w:r>
          </w:p>
        </w:tc>
        <w:tc>
          <w:tcPr>
            <w:tcW w:w="1559" w:type="dxa"/>
            <w:vAlign w:val="bottom"/>
          </w:tcPr>
          <w:p w14:paraId="55F3622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75096AA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w:t>
            </w:r>
          </w:p>
        </w:tc>
        <w:tc>
          <w:tcPr>
            <w:tcW w:w="1700" w:type="dxa"/>
            <w:vAlign w:val="bottom"/>
          </w:tcPr>
          <w:p w14:paraId="054D658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-21,2%</w:t>
            </w:r>
          </w:p>
        </w:tc>
      </w:tr>
      <w:tr w:rsidR="00173388" w14:paraId="73372525" w14:textId="77777777" w:rsidTr="0017338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5524A70"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1701" w:type="dxa"/>
            <w:vAlign w:val="bottom"/>
          </w:tcPr>
          <w:p w14:paraId="20FEAA2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xml:space="preserve"> 1.182 € </w:t>
            </w:r>
          </w:p>
        </w:tc>
        <w:tc>
          <w:tcPr>
            <w:tcW w:w="1559" w:type="dxa"/>
            <w:vAlign w:val="bottom"/>
          </w:tcPr>
          <w:p w14:paraId="64D1FFC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674EEAF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2,5%</w:t>
            </w:r>
          </w:p>
        </w:tc>
        <w:tc>
          <w:tcPr>
            <w:tcW w:w="1700" w:type="dxa"/>
            <w:vAlign w:val="bottom"/>
          </w:tcPr>
          <w:p w14:paraId="5999900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-45,3%</w:t>
            </w:r>
          </w:p>
        </w:tc>
      </w:tr>
      <w:tr w:rsidR="00173388" w14:paraId="69392812" w14:textId="77777777" w:rsidTr="001733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598FD05"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1701" w:type="dxa"/>
            <w:vAlign w:val="bottom"/>
          </w:tcPr>
          <w:p w14:paraId="792F76F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1.469 € </w:t>
            </w:r>
          </w:p>
        </w:tc>
        <w:tc>
          <w:tcPr>
            <w:tcW w:w="1559" w:type="dxa"/>
            <w:vAlign w:val="bottom"/>
          </w:tcPr>
          <w:p w14:paraId="2CF3CCE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2007A3F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w:t>
            </w:r>
          </w:p>
        </w:tc>
        <w:tc>
          <w:tcPr>
            <w:tcW w:w="1700" w:type="dxa"/>
            <w:vAlign w:val="bottom"/>
          </w:tcPr>
          <w:p w14:paraId="602AE8F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-32,0%</w:t>
            </w:r>
          </w:p>
        </w:tc>
      </w:tr>
      <w:tr w:rsidR="00173388" w14:paraId="2354E862" w14:textId="77777777" w:rsidTr="0017338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0C32589"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1701" w:type="dxa"/>
            <w:vAlign w:val="bottom"/>
          </w:tcPr>
          <w:p w14:paraId="6983E14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 xml:space="preserve"> 2.159 € </w:t>
            </w:r>
          </w:p>
        </w:tc>
        <w:tc>
          <w:tcPr>
            <w:tcW w:w="1559" w:type="dxa"/>
            <w:vAlign w:val="bottom"/>
          </w:tcPr>
          <w:p w14:paraId="0366E30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0,4%</w:t>
            </w:r>
          </w:p>
        </w:tc>
        <w:tc>
          <w:tcPr>
            <w:tcW w:w="1701" w:type="dxa"/>
            <w:vAlign w:val="bottom"/>
          </w:tcPr>
          <w:p w14:paraId="1D1F27E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6,6%</w:t>
            </w:r>
          </w:p>
        </w:tc>
        <w:tc>
          <w:tcPr>
            <w:tcW w:w="1700" w:type="dxa"/>
            <w:vAlign w:val="bottom"/>
          </w:tcPr>
          <w:p w14:paraId="4F4BA06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w:t>
            </w:r>
          </w:p>
        </w:tc>
      </w:tr>
    </w:tbl>
    <w:p w14:paraId="0B63B918" w14:textId="77777777" w:rsidR="00173388"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 xml:space="preserve">Provincias </w:t>
      </w:r>
    </w:p>
    <w:p w14:paraId="0BC077C2" w14:textId="77777777" w:rsidR="00173388"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el 94% de las 50 provincias analizadas sube el precio interanual de la vivienda en el mes de octubre. En 11 provincias se supera el 10%, en concreto en Santa Cruz de Tenerife con 33,6%, Illes Balears con 18,3%, Soria con 16,4%, Málaga con 16,2%, Teruel con 14,6%, Las Palmas con 14,3%, Navarra con 12,4%, Cuenca con 12,3%, Lleida con 10,9%, Alicante con 10,6% y Tarragona con 10,6%.</w:t>
      </w:r>
    </w:p>
    <w:p w14:paraId="71BEFD21" w14:textId="77777777" w:rsidR="00173388" w:rsidRDefault="00173388">
      <w:pPr>
        <w:spacing w:line="276" w:lineRule="auto"/>
        <w:jc w:val="both"/>
      </w:pPr>
    </w:p>
    <w:p w14:paraId="4701C8E8" w14:textId="77777777" w:rsidR="00173388" w:rsidRDefault="00000000">
      <w:pPr>
        <w:pBdr>
          <w:top w:val="nil"/>
          <w:left w:val="nil"/>
          <w:bottom w:val="nil"/>
          <w:right w:val="nil"/>
          <w:between w:val="nil"/>
        </w:pBdr>
        <w:shd w:val="clear" w:color="auto" w:fill="FFFFFF"/>
        <w:spacing w:after="225" w:line="276" w:lineRule="auto"/>
        <w:jc w:val="both"/>
        <w:rPr>
          <w:rFonts w:ascii="Open Sans Light" w:eastAsia="Open Sans Light" w:hAnsi="Open Sans Light" w:cs="Open Sans Light"/>
          <w:b/>
          <w:color w:val="303AB2"/>
        </w:rPr>
      </w:pPr>
      <w:r>
        <w:rPr>
          <w:rFonts w:ascii="Open Sans" w:eastAsia="Open Sans" w:hAnsi="Open Sans" w:cs="Open Sans"/>
          <w:color w:val="000000"/>
        </w:rPr>
        <w:t>En cuanto a los precios, Illes Balears es la provincia más cara con 3.805 euros/m</w:t>
      </w:r>
      <w:r>
        <w:rPr>
          <w:rFonts w:ascii="Open Sans" w:eastAsia="Open Sans" w:hAnsi="Open Sans" w:cs="Open Sans"/>
          <w:color w:val="000000"/>
          <w:vertAlign w:val="superscript"/>
        </w:rPr>
        <w:t>2</w:t>
      </w:r>
      <w:r>
        <w:rPr>
          <w:rFonts w:ascii="Open Sans" w:eastAsia="Open Sans" w:hAnsi="Open Sans" w:cs="Open Sans"/>
          <w:color w:val="000000"/>
        </w:rPr>
        <w:t>, seguida de Madrid (3.577 euros/m</w:t>
      </w:r>
      <w:r>
        <w:rPr>
          <w:rFonts w:ascii="Open Sans" w:eastAsia="Open Sans" w:hAnsi="Open Sans" w:cs="Open Sans"/>
          <w:color w:val="000000"/>
          <w:vertAlign w:val="superscript"/>
        </w:rPr>
        <w:t>2</w:t>
      </w:r>
      <w:r>
        <w:rPr>
          <w:rFonts w:ascii="Open Sans" w:eastAsia="Open Sans" w:hAnsi="Open Sans" w:cs="Open Sans"/>
          <w:color w:val="000000"/>
        </w:rPr>
        <w:t>) y Gipuzkoa (3.446 euros/m</w:t>
      </w:r>
      <w:r>
        <w:rPr>
          <w:rFonts w:ascii="Open Sans" w:eastAsia="Open Sans" w:hAnsi="Open Sans" w:cs="Open Sans"/>
          <w:color w:val="000000"/>
          <w:vertAlign w:val="superscript"/>
        </w:rPr>
        <w:t>2</w:t>
      </w:r>
      <w:r>
        <w:rPr>
          <w:rFonts w:ascii="Open Sans" w:eastAsia="Open Sans" w:hAnsi="Open Sans" w:cs="Open Sans"/>
          <w:color w:val="000000"/>
        </w:rPr>
        <w:t>), entre otras. Por otro lado, las provincias con el precio por metro cuadrado por debajo de los 1.000 euros son Ciudad Real con 968 euros/m</w:t>
      </w:r>
      <w:r>
        <w:rPr>
          <w:rFonts w:ascii="Open Sans" w:eastAsia="Open Sans" w:hAnsi="Open Sans" w:cs="Open Sans"/>
          <w:color w:val="000000"/>
          <w:vertAlign w:val="superscript"/>
        </w:rPr>
        <w:t>2</w:t>
      </w:r>
      <w:r>
        <w:rPr>
          <w:rFonts w:ascii="Open Sans" w:eastAsia="Open Sans" w:hAnsi="Open Sans" w:cs="Open Sans"/>
          <w:color w:val="000000"/>
        </w:rPr>
        <w:t xml:space="preserve"> y Jaén con 999 euros/m</w:t>
      </w:r>
      <w:r>
        <w:rPr>
          <w:rFonts w:ascii="Open Sans" w:eastAsia="Open Sans" w:hAnsi="Open Sans" w:cs="Open Sans"/>
          <w:color w:val="000000"/>
          <w:vertAlign w:val="superscript"/>
        </w:rPr>
        <w:t>2</w:t>
      </w:r>
      <w:r>
        <w:rPr>
          <w:rFonts w:ascii="Open Sans" w:eastAsia="Open Sans" w:hAnsi="Open Sans" w:cs="Open Sans"/>
          <w:color w:val="000000"/>
        </w:rPr>
        <w:t>.</w:t>
      </w:r>
    </w:p>
    <w:tbl>
      <w:tblPr>
        <w:tblStyle w:val="a0"/>
        <w:tblW w:w="90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27"/>
        <w:gridCol w:w="1984"/>
        <w:gridCol w:w="1559"/>
        <w:gridCol w:w="1701"/>
        <w:gridCol w:w="1700"/>
      </w:tblGrid>
      <w:tr w:rsidR="00173388" w14:paraId="215F3658" w14:textId="77777777" w:rsidTr="0017338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A85581B"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984" w:type="dxa"/>
            <w:vAlign w:val="center"/>
          </w:tcPr>
          <w:p w14:paraId="5891C5E5"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2023</w:t>
            </w:r>
          </w:p>
          <w:p w14:paraId="6B61C3F8"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20A802DF"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6882EF90"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700" w:type="dxa"/>
          </w:tcPr>
          <w:p w14:paraId="022D5D41"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media nacional</w:t>
            </w:r>
          </w:p>
        </w:tc>
      </w:tr>
      <w:tr w:rsidR="00173388" w14:paraId="381A230D"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CB49C7F"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984" w:type="dxa"/>
            <w:vAlign w:val="bottom"/>
          </w:tcPr>
          <w:p w14:paraId="17E48C6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2.636</w:t>
            </w:r>
          </w:p>
        </w:tc>
        <w:tc>
          <w:tcPr>
            <w:tcW w:w="1559" w:type="dxa"/>
            <w:vAlign w:val="bottom"/>
          </w:tcPr>
          <w:p w14:paraId="35EB243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0,2%</w:t>
            </w:r>
          </w:p>
        </w:tc>
        <w:tc>
          <w:tcPr>
            <w:tcW w:w="1701" w:type="dxa"/>
            <w:vAlign w:val="bottom"/>
          </w:tcPr>
          <w:p w14:paraId="18D8E87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b/>
                <w:color w:val="000000"/>
                <w:sz w:val="22"/>
                <w:szCs w:val="22"/>
              </w:rPr>
              <w:t>33,6%</w:t>
            </w:r>
          </w:p>
        </w:tc>
        <w:tc>
          <w:tcPr>
            <w:tcW w:w="1700" w:type="dxa"/>
            <w:vAlign w:val="bottom"/>
          </w:tcPr>
          <w:p w14:paraId="545ABD3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22,1%</w:t>
            </w:r>
          </w:p>
        </w:tc>
      </w:tr>
      <w:tr w:rsidR="00173388" w14:paraId="675F8752"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DBF806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16AE426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3.805</w:t>
            </w:r>
          </w:p>
        </w:tc>
        <w:tc>
          <w:tcPr>
            <w:tcW w:w="1559" w:type="dxa"/>
            <w:vAlign w:val="bottom"/>
          </w:tcPr>
          <w:p w14:paraId="3636C98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0,7%</w:t>
            </w:r>
          </w:p>
        </w:tc>
        <w:tc>
          <w:tcPr>
            <w:tcW w:w="1701" w:type="dxa"/>
            <w:vAlign w:val="bottom"/>
          </w:tcPr>
          <w:p w14:paraId="6EDE24E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b/>
                <w:color w:val="000000"/>
                <w:sz w:val="22"/>
                <w:szCs w:val="22"/>
              </w:rPr>
              <w:t>18,3%</w:t>
            </w:r>
          </w:p>
        </w:tc>
        <w:tc>
          <w:tcPr>
            <w:tcW w:w="1700" w:type="dxa"/>
            <w:vAlign w:val="bottom"/>
          </w:tcPr>
          <w:p w14:paraId="5B3A51C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76,2%</w:t>
            </w:r>
          </w:p>
        </w:tc>
      </w:tr>
      <w:tr w:rsidR="00173388" w14:paraId="638E6FFE"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6D73AB1"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1984" w:type="dxa"/>
            <w:vAlign w:val="bottom"/>
          </w:tcPr>
          <w:p w14:paraId="19F3735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1.529</w:t>
            </w:r>
          </w:p>
        </w:tc>
        <w:tc>
          <w:tcPr>
            <w:tcW w:w="1559" w:type="dxa"/>
            <w:vAlign w:val="bottom"/>
          </w:tcPr>
          <w:p w14:paraId="2B9C9EA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701" w:type="dxa"/>
            <w:vAlign w:val="bottom"/>
          </w:tcPr>
          <w:p w14:paraId="32805D6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16,4%</w:t>
            </w:r>
          </w:p>
        </w:tc>
        <w:tc>
          <w:tcPr>
            <w:tcW w:w="1700" w:type="dxa"/>
            <w:vAlign w:val="bottom"/>
          </w:tcPr>
          <w:p w14:paraId="018B998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-29,2%</w:t>
            </w:r>
          </w:p>
        </w:tc>
      </w:tr>
      <w:tr w:rsidR="00173388" w14:paraId="018B8F29"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A6B3ED6"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984" w:type="dxa"/>
            <w:vAlign w:val="bottom"/>
          </w:tcPr>
          <w:p w14:paraId="2F567BB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3.201</w:t>
            </w:r>
          </w:p>
        </w:tc>
        <w:tc>
          <w:tcPr>
            <w:tcW w:w="1559" w:type="dxa"/>
            <w:vAlign w:val="bottom"/>
          </w:tcPr>
          <w:p w14:paraId="23D4415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vAlign w:val="bottom"/>
          </w:tcPr>
          <w:p w14:paraId="20DB931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16,2%</w:t>
            </w:r>
          </w:p>
        </w:tc>
        <w:tc>
          <w:tcPr>
            <w:tcW w:w="1700" w:type="dxa"/>
            <w:vAlign w:val="bottom"/>
          </w:tcPr>
          <w:p w14:paraId="22A726E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48,3%</w:t>
            </w:r>
          </w:p>
        </w:tc>
      </w:tr>
      <w:tr w:rsidR="00173388" w14:paraId="6D102ECD"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1FFD050"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1984" w:type="dxa"/>
            <w:vAlign w:val="bottom"/>
          </w:tcPr>
          <w:p w14:paraId="2DE784A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1.268</w:t>
            </w:r>
          </w:p>
        </w:tc>
        <w:tc>
          <w:tcPr>
            <w:tcW w:w="1559" w:type="dxa"/>
            <w:vAlign w:val="bottom"/>
          </w:tcPr>
          <w:p w14:paraId="25D8B5B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01" w:type="dxa"/>
            <w:vAlign w:val="bottom"/>
          </w:tcPr>
          <w:p w14:paraId="05BFE60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14,6%</w:t>
            </w:r>
          </w:p>
        </w:tc>
        <w:tc>
          <w:tcPr>
            <w:tcW w:w="1700" w:type="dxa"/>
            <w:vAlign w:val="bottom"/>
          </w:tcPr>
          <w:p w14:paraId="2DE95FE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-41,3%</w:t>
            </w:r>
          </w:p>
        </w:tc>
      </w:tr>
      <w:tr w:rsidR="00173388" w14:paraId="4A62E0B4"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0E0562D"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1984" w:type="dxa"/>
            <w:vAlign w:val="bottom"/>
          </w:tcPr>
          <w:p w14:paraId="5956BEC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2.077</w:t>
            </w:r>
          </w:p>
        </w:tc>
        <w:tc>
          <w:tcPr>
            <w:tcW w:w="1559" w:type="dxa"/>
            <w:vAlign w:val="bottom"/>
          </w:tcPr>
          <w:p w14:paraId="6FE2E97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701" w:type="dxa"/>
            <w:vAlign w:val="bottom"/>
          </w:tcPr>
          <w:p w14:paraId="6F231AA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14,3%</w:t>
            </w:r>
          </w:p>
        </w:tc>
        <w:tc>
          <w:tcPr>
            <w:tcW w:w="1700" w:type="dxa"/>
            <w:vAlign w:val="bottom"/>
          </w:tcPr>
          <w:p w14:paraId="30C32B5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-3,8%</w:t>
            </w:r>
          </w:p>
        </w:tc>
      </w:tr>
      <w:tr w:rsidR="00173388" w14:paraId="6AA0A7AF"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E533E65"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984" w:type="dxa"/>
            <w:vAlign w:val="bottom"/>
          </w:tcPr>
          <w:p w14:paraId="6A8D7CD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2.044</w:t>
            </w:r>
          </w:p>
        </w:tc>
        <w:tc>
          <w:tcPr>
            <w:tcW w:w="1559" w:type="dxa"/>
            <w:vAlign w:val="bottom"/>
          </w:tcPr>
          <w:p w14:paraId="50FAF6E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46DF01F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12,4%</w:t>
            </w:r>
          </w:p>
        </w:tc>
        <w:tc>
          <w:tcPr>
            <w:tcW w:w="1700" w:type="dxa"/>
            <w:vAlign w:val="bottom"/>
          </w:tcPr>
          <w:p w14:paraId="745B38D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-5,3%</w:t>
            </w:r>
          </w:p>
        </w:tc>
      </w:tr>
      <w:tr w:rsidR="00173388" w14:paraId="417CC322"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04DD019"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1984" w:type="dxa"/>
            <w:vAlign w:val="bottom"/>
          </w:tcPr>
          <w:p w14:paraId="34351BA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1.294</w:t>
            </w:r>
          </w:p>
        </w:tc>
        <w:tc>
          <w:tcPr>
            <w:tcW w:w="1559" w:type="dxa"/>
            <w:vAlign w:val="bottom"/>
          </w:tcPr>
          <w:p w14:paraId="7472EE4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701" w:type="dxa"/>
            <w:vAlign w:val="bottom"/>
          </w:tcPr>
          <w:p w14:paraId="782CB38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12,3%</w:t>
            </w:r>
          </w:p>
        </w:tc>
        <w:tc>
          <w:tcPr>
            <w:tcW w:w="1700" w:type="dxa"/>
            <w:vAlign w:val="bottom"/>
          </w:tcPr>
          <w:p w14:paraId="65EFF45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-40,1%</w:t>
            </w:r>
          </w:p>
        </w:tc>
      </w:tr>
      <w:tr w:rsidR="00173388" w14:paraId="1CFD4DB4"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A56C4EB"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1984" w:type="dxa"/>
            <w:vAlign w:val="bottom"/>
          </w:tcPr>
          <w:p w14:paraId="1DCD55D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1.319</w:t>
            </w:r>
          </w:p>
        </w:tc>
        <w:tc>
          <w:tcPr>
            <w:tcW w:w="1559" w:type="dxa"/>
            <w:vAlign w:val="bottom"/>
          </w:tcPr>
          <w:p w14:paraId="69631D9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1A72960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10,9%</w:t>
            </w:r>
          </w:p>
        </w:tc>
        <w:tc>
          <w:tcPr>
            <w:tcW w:w="1700" w:type="dxa"/>
            <w:vAlign w:val="bottom"/>
          </w:tcPr>
          <w:p w14:paraId="38F152A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-38,9%</w:t>
            </w:r>
          </w:p>
        </w:tc>
      </w:tr>
      <w:tr w:rsidR="00173388" w14:paraId="1F20FF39"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C9AB53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84" w:type="dxa"/>
            <w:vAlign w:val="bottom"/>
          </w:tcPr>
          <w:p w14:paraId="16274CD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1.930</w:t>
            </w:r>
          </w:p>
        </w:tc>
        <w:tc>
          <w:tcPr>
            <w:tcW w:w="1559" w:type="dxa"/>
            <w:vAlign w:val="bottom"/>
          </w:tcPr>
          <w:p w14:paraId="7CBA79C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701" w:type="dxa"/>
            <w:vAlign w:val="bottom"/>
          </w:tcPr>
          <w:p w14:paraId="18DE228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10,6%</w:t>
            </w:r>
          </w:p>
        </w:tc>
        <w:tc>
          <w:tcPr>
            <w:tcW w:w="1700" w:type="dxa"/>
            <w:vAlign w:val="bottom"/>
          </w:tcPr>
          <w:p w14:paraId="1CDE81A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-10,6%</w:t>
            </w:r>
          </w:p>
        </w:tc>
      </w:tr>
      <w:tr w:rsidR="00173388" w14:paraId="029F7167"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FEBE47B"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Tarragona</w:t>
            </w:r>
          </w:p>
        </w:tc>
        <w:tc>
          <w:tcPr>
            <w:tcW w:w="1984" w:type="dxa"/>
            <w:vAlign w:val="bottom"/>
          </w:tcPr>
          <w:p w14:paraId="27A9140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1.778</w:t>
            </w:r>
          </w:p>
        </w:tc>
        <w:tc>
          <w:tcPr>
            <w:tcW w:w="1559" w:type="dxa"/>
            <w:vAlign w:val="bottom"/>
          </w:tcPr>
          <w:p w14:paraId="1C7340F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701" w:type="dxa"/>
            <w:vAlign w:val="bottom"/>
          </w:tcPr>
          <w:p w14:paraId="0C90227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10,6%</w:t>
            </w:r>
          </w:p>
        </w:tc>
        <w:tc>
          <w:tcPr>
            <w:tcW w:w="1700" w:type="dxa"/>
            <w:vAlign w:val="bottom"/>
          </w:tcPr>
          <w:p w14:paraId="1086134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-17,6%</w:t>
            </w:r>
          </w:p>
        </w:tc>
      </w:tr>
      <w:tr w:rsidR="00173388" w14:paraId="077D145B"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9CE3CA2"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984" w:type="dxa"/>
            <w:vAlign w:val="bottom"/>
          </w:tcPr>
          <w:p w14:paraId="37F8DFE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1.656</w:t>
            </w:r>
          </w:p>
        </w:tc>
        <w:tc>
          <w:tcPr>
            <w:tcW w:w="1559" w:type="dxa"/>
            <w:vAlign w:val="bottom"/>
          </w:tcPr>
          <w:p w14:paraId="61B1A117"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01" w:type="dxa"/>
            <w:vAlign w:val="bottom"/>
          </w:tcPr>
          <w:p w14:paraId="767DCDD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9,6%</w:t>
            </w:r>
          </w:p>
        </w:tc>
        <w:tc>
          <w:tcPr>
            <w:tcW w:w="1700" w:type="dxa"/>
            <w:vAlign w:val="bottom"/>
          </w:tcPr>
          <w:p w14:paraId="534E8CD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-23,3%</w:t>
            </w:r>
          </w:p>
        </w:tc>
      </w:tr>
      <w:tr w:rsidR="00173388" w14:paraId="7F3C9CA1"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482A625"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1984" w:type="dxa"/>
            <w:vAlign w:val="bottom"/>
          </w:tcPr>
          <w:p w14:paraId="032CD76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2.455</w:t>
            </w:r>
          </w:p>
        </w:tc>
        <w:tc>
          <w:tcPr>
            <w:tcW w:w="1559" w:type="dxa"/>
            <w:vAlign w:val="bottom"/>
          </w:tcPr>
          <w:p w14:paraId="6A50247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01" w:type="dxa"/>
            <w:vAlign w:val="bottom"/>
          </w:tcPr>
          <w:p w14:paraId="1F94D7B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8,7%</w:t>
            </w:r>
          </w:p>
        </w:tc>
        <w:tc>
          <w:tcPr>
            <w:tcW w:w="1700" w:type="dxa"/>
            <w:vAlign w:val="bottom"/>
          </w:tcPr>
          <w:p w14:paraId="2C2414B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13,7%</w:t>
            </w:r>
          </w:p>
        </w:tc>
      </w:tr>
      <w:tr w:rsidR="00173388" w14:paraId="5F736F63"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351C400"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984" w:type="dxa"/>
            <w:vAlign w:val="bottom"/>
          </w:tcPr>
          <w:p w14:paraId="02D9030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1.805</w:t>
            </w:r>
          </w:p>
        </w:tc>
        <w:tc>
          <w:tcPr>
            <w:tcW w:w="1559" w:type="dxa"/>
            <w:vAlign w:val="bottom"/>
          </w:tcPr>
          <w:p w14:paraId="5A56D56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5045956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8,5%</w:t>
            </w:r>
          </w:p>
        </w:tc>
        <w:tc>
          <w:tcPr>
            <w:tcW w:w="1700" w:type="dxa"/>
            <w:vAlign w:val="bottom"/>
          </w:tcPr>
          <w:p w14:paraId="1882729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-16,4%</w:t>
            </w:r>
          </w:p>
        </w:tc>
      </w:tr>
      <w:tr w:rsidR="00173388" w14:paraId="6F5F5B87"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A8502F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984" w:type="dxa"/>
            <w:vAlign w:val="bottom"/>
          </w:tcPr>
          <w:p w14:paraId="0BCF2A4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1.260</w:t>
            </w:r>
          </w:p>
        </w:tc>
        <w:tc>
          <w:tcPr>
            <w:tcW w:w="1559" w:type="dxa"/>
            <w:vAlign w:val="bottom"/>
          </w:tcPr>
          <w:p w14:paraId="2594AA6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701" w:type="dxa"/>
            <w:vAlign w:val="bottom"/>
          </w:tcPr>
          <w:p w14:paraId="5359DA0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8,0%</w:t>
            </w:r>
          </w:p>
        </w:tc>
        <w:tc>
          <w:tcPr>
            <w:tcW w:w="1700" w:type="dxa"/>
            <w:vAlign w:val="bottom"/>
          </w:tcPr>
          <w:p w14:paraId="390E299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-41,6%</w:t>
            </w:r>
          </w:p>
        </w:tc>
      </w:tr>
      <w:tr w:rsidR="00173388" w14:paraId="3B549F21"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8472EAC"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1984" w:type="dxa"/>
            <w:vAlign w:val="bottom"/>
          </w:tcPr>
          <w:p w14:paraId="1DD6543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1.611</w:t>
            </w:r>
          </w:p>
        </w:tc>
        <w:tc>
          <w:tcPr>
            <w:tcW w:w="1559" w:type="dxa"/>
            <w:vAlign w:val="bottom"/>
          </w:tcPr>
          <w:p w14:paraId="426A037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1701" w:type="dxa"/>
            <w:vAlign w:val="bottom"/>
          </w:tcPr>
          <w:p w14:paraId="7813061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7,3%</w:t>
            </w:r>
          </w:p>
        </w:tc>
        <w:tc>
          <w:tcPr>
            <w:tcW w:w="1700" w:type="dxa"/>
            <w:vAlign w:val="bottom"/>
          </w:tcPr>
          <w:p w14:paraId="0CDDFD8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-25,4%</w:t>
            </w:r>
          </w:p>
        </w:tc>
      </w:tr>
      <w:tr w:rsidR="00173388" w14:paraId="5A27BFDB"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869827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984" w:type="dxa"/>
            <w:vAlign w:val="bottom"/>
          </w:tcPr>
          <w:p w14:paraId="42BEE20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1.586</w:t>
            </w:r>
          </w:p>
        </w:tc>
        <w:tc>
          <w:tcPr>
            <w:tcW w:w="1559" w:type="dxa"/>
            <w:vAlign w:val="bottom"/>
          </w:tcPr>
          <w:p w14:paraId="2FF1F55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01" w:type="dxa"/>
            <w:vAlign w:val="bottom"/>
          </w:tcPr>
          <w:p w14:paraId="705EF44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7,0%</w:t>
            </w:r>
          </w:p>
        </w:tc>
        <w:tc>
          <w:tcPr>
            <w:tcW w:w="1700" w:type="dxa"/>
            <w:vAlign w:val="bottom"/>
          </w:tcPr>
          <w:p w14:paraId="05CE65E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-26,5%</w:t>
            </w:r>
          </w:p>
        </w:tc>
      </w:tr>
      <w:tr w:rsidR="00173388" w14:paraId="462BCAF3"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1F8213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1984" w:type="dxa"/>
            <w:vAlign w:val="bottom"/>
          </w:tcPr>
          <w:p w14:paraId="671EB04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1.517</w:t>
            </w:r>
          </w:p>
        </w:tc>
        <w:tc>
          <w:tcPr>
            <w:tcW w:w="1559" w:type="dxa"/>
            <w:vAlign w:val="bottom"/>
          </w:tcPr>
          <w:p w14:paraId="1F5CFB8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701" w:type="dxa"/>
            <w:vAlign w:val="bottom"/>
          </w:tcPr>
          <w:p w14:paraId="4D29D67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6,7%</w:t>
            </w:r>
          </w:p>
        </w:tc>
        <w:tc>
          <w:tcPr>
            <w:tcW w:w="1700" w:type="dxa"/>
            <w:vAlign w:val="bottom"/>
          </w:tcPr>
          <w:p w14:paraId="59164397"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-29,7%</w:t>
            </w:r>
          </w:p>
        </w:tc>
      </w:tr>
      <w:tr w:rsidR="00173388" w14:paraId="01394875"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915B6F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1984" w:type="dxa"/>
            <w:vAlign w:val="bottom"/>
          </w:tcPr>
          <w:p w14:paraId="7119617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1.106</w:t>
            </w:r>
          </w:p>
        </w:tc>
        <w:tc>
          <w:tcPr>
            <w:tcW w:w="1559" w:type="dxa"/>
            <w:vAlign w:val="bottom"/>
          </w:tcPr>
          <w:p w14:paraId="75BD31D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701" w:type="dxa"/>
            <w:vAlign w:val="bottom"/>
          </w:tcPr>
          <w:p w14:paraId="762D67F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6,2%</w:t>
            </w:r>
          </w:p>
        </w:tc>
        <w:tc>
          <w:tcPr>
            <w:tcW w:w="1700" w:type="dxa"/>
            <w:vAlign w:val="bottom"/>
          </w:tcPr>
          <w:p w14:paraId="46FA090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-48,8%</w:t>
            </w:r>
          </w:p>
        </w:tc>
      </w:tr>
      <w:tr w:rsidR="00173388" w14:paraId="5C6A6CF7"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D9D6E19"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1984" w:type="dxa"/>
            <w:vAlign w:val="bottom"/>
          </w:tcPr>
          <w:p w14:paraId="6B95746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1.239</w:t>
            </w:r>
          </w:p>
        </w:tc>
        <w:tc>
          <w:tcPr>
            <w:tcW w:w="1559" w:type="dxa"/>
            <w:vAlign w:val="bottom"/>
          </w:tcPr>
          <w:p w14:paraId="5F9F3EB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01" w:type="dxa"/>
            <w:vAlign w:val="bottom"/>
          </w:tcPr>
          <w:p w14:paraId="7B34CF0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6,1%</w:t>
            </w:r>
          </w:p>
        </w:tc>
        <w:tc>
          <w:tcPr>
            <w:tcW w:w="1700" w:type="dxa"/>
            <w:vAlign w:val="bottom"/>
          </w:tcPr>
          <w:p w14:paraId="33F86C9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-42,6%</w:t>
            </w:r>
          </w:p>
        </w:tc>
      </w:tr>
      <w:tr w:rsidR="00173388" w14:paraId="14B337D9"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9E31B9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18A6643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3.577</w:t>
            </w:r>
          </w:p>
        </w:tc>
        <w:tc>
          <w:tcPr>
            <w:tcW w:w="1559" w:type="dxa"/>
            <w:vAlign w:val="bottom"/>
          </w:tcPr>
          <w:p w14:paraId="425F95A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701" w:type="dxa"/>
            <w:vAlign w:val="bottom"/>
          </w:tcPr>
          <w:p w14:paraId="67FC20C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c>
          <w:tcPr>
            <w:tcW w:w="1700" w:type="dxa"/>
            <w:vAlign w:val="bottom"/>
          </w:tcPr>
          <w:p w14:paraId="4E830DB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65,7%</w:t>
            </w:r>
          </w:p>
        </w:tc>
      </w:tr>
      <w:tr w:rsidR="00173388" w14:paraId="29585B7F"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A72430B"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1984" w:type="dxa"/>
            <w:vAlign w:val="bottom"/>
          </w:tcPr>
          <w:p w14:paraId="4C82D43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1.737</w:t>
            </w:r>
          </w:p>
        </w:tc>
        <w:tc>
          <w:tcPr>
            <w:tcW w:w="1559" w:type="dxa"/>
            <w:vAlign w:val="bottom"/>
          </w:tcPr>
          <w:p w14:paraId="521405F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6534BEB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c>
          <w:tcPr>
            <w:tcW w:w="1700" w:type="dxa"/>
            <w:vAlign w:val="bottom"/>
          </w:tcPr>
          <w:p w14:paraId="3385A6A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-19,6%</w:t>
            </w:r>
          </w:p>
        </w:tc>
      </w:tr>
      <w:tr w:rsidR="00173388" w14:paraId="1D455F66"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DBADB66"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984" w:type="dxa"/>
            <w:vAlign w:val="bottom"/>
          </w:tcPr>
          <w:p w14:paraId="447F9DB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1.836</w:t>
            </w:r>
          </w:p>
        </w:tc>
        <w:tc>
          <w:tcPr>
            <w:tcW w:w="1559" w:type="dxa"/>
            <w:vAlign w:val="bottom"/>
          </w:tcPr>
          <w:p w14:paraId="6ED332A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374B061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5,6%</w:t>
            </w:r>
          </w:p>
        </w:tc>
        <w:tc>
          <w:tcPr>
            <w:tcW w:w="1700" w:type="dxa"/>
            <w:vAlign w:val="bottom"/>
          </w:tcPr>
          <w:p w14:paraId="5435568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-15,0%</w:t>
            </w:r>
          </w:p>
        </w:tc>
      </w:tr>
      <w:tr w:rsidR="00173388" w14:paraId="4CE31A1C"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969842E"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1984" w:type="dxa"/>
            <w:vAlign w:val="bottom"/>
          </w:tcPr>
          <w:p w14:paraId="30008E1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3.446</w:t>
            </w:r>
          </w:p>
        </w:tc>
        <w:tc>
          <w:tcPr>
            <w:tcW w:w="1559" w:type="dxa"/>
            <w:vAlign w:val="bottom"/>
          </w:tcPr>
          <w:p w14:paraId="2056BBE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701" w:type="dxa"/>
            <w:vAlign w:val="bottom"/>
          </w:tcPr>
          <w:p w14:paraId="3A7265D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5,6%</w:t>
            </w:r>
          </w:p>
        </w:tc>
        <w:tc>
          <w:tcPr>
            <w:tcW w:w="1700" w:type="dxa"/>
            <w:vAlign w:val="bottom"/>
          </w:tcPr>
          <w:p w14:paraId="51B94D9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59,6%</w:t>
            </w:r>
          </w:p>
        </w:tc>
      </w:tr>
      <w:tr w:rsidR="00173388" w14:paraId="72720BAD"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F6D861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1984" w:type="dxa"/>
            <w:vAlign w:val="bottom"/>
          </w:tcPr>
          <w:p w14:paraId="67BE7CC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1.410</w:t>
            </w:r>
          </w:p>
        </w:tc>
        <w:tc>
          <w:tcPr>
            <w:tcW w:w="1559" w:type="dxa"/>
            <w:vAlign w:val="bottom"/>
          </w:tcPr>
          <w:p w14:paraId="11C6606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026DDF90"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c>
          <w:tcPr>
            <w:tcW w:w="1700" w:type="dxa"/>
            <w:vAlign w:val="bottom"/>
          </w:tcPr>
          <w:p w14:paraId="4C264000"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-34,7%</w:t>
            </w:r>
          </w:p>
        </w:tc>
      </w:tr>
      <w:tr w:rsidR="00173388" w14:paraId="466C15A0"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C36EE3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984" w:type="dxa"/>
            <w:vAlign w:val="bottom"/>
          </w:tcPr>
          <w:p w14:paraId="025DDCA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1.646</w:t>
            </w:r>
          </w:p>
        </w:tc>
        <w:tc>
          <w:tcPr>
            <w:tcW w:w="1559" w:type="dxa"/>
            <w:vAlign w:val="bottom"/>
          </w:tcPr>
          <w:p w14:paraId="65E67AE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01" w:type="dxa"/>
            <w:vAlign w:val="bottom"/>
          </w:tcPr>
          <w:p w14:paraId="560615B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c>
          <w:tcPr>
            <w:tcW w:w="1700" w:type="dxa"/>
            <w:vAlign w:val="bottom"/>
          </w:tcPr>
          <w:p w14:paraId="427CBD0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-23,8%</w:t>
            </w:r>
          </w:p>
        </w:tc>
      </w:tr>
      <w:tr w:rsidR="00173388" w14:paraId="101EEDD4"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B86666E"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1984" w:type="dxa"/>
            <w:vAlign w:val="bottom"/>
          </w:tcPr>
          <w:p w14:paraId="2E14527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1.386</w:t>
            </w:r>
          </w:p>
        </w:tc>
        <w:tc>
          <w:tcPr>
            <w:tcW w:w="1559" w:type="dxa"/>
            <w:vAlign w:val="bottom"/>
          </w:tcPr>
          <w:p w14:paraId="5CAD7F0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06EEB51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c>
          <w:tcPr>
            <w:tcW w:w="1700" w:type="dxa"/>
            <w:vAlign w:val="bottom"/>
          </w:tcPr>
          <w:p w14:paraId="0EA5F7C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-35,8%</w:t>
            </w:r>
          </w:p>
        </w:tc>
      </w:tr>
      <w:tr w:rsidR="00173388" w14:paraId="0B1E8081"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D968668"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984" w:type="dxa"/>
            <w:vAlign w:val="bottom"/>
          </w:tcPr>
          <w:p w14:paraId="62AEF39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1.881</w:t>
            </w:r>
          </w:p>
        </w:tc>
        <w:tc>
          <w:tcPr>
            <w:tcW w:w="1559" w:type="dxa"/>
            <w:vAlign w:val="bottom"/>
          </w:tcPr>
          <w:p w14:paraId="6CC396F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2684250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c>
          <w:tcPr>
            <w:tcW w:w="1700" w:type="dxa"/>
            <w:vAlign w:val="bottom"/>
          </w:tcPr>
          <w:p w14:paraId="368E45F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-12,9%</w:t>
            </w:r>
          </w:p>
        </w:tc>
      </w:tr>
      <w:tr w:rsidR="00173388" w14:paraId="55BCBB7F"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C3486B1"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1984" w:type="dxa"/>
            <w:vAlign w:val="bottom"/>
          </w:tcPr>
          <w:p w14:paraId="7620061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2.025</w:t>
            </w:r>
          </w:p>
        </w:tc>
        <w:tc>
          <w:tcPr>
            <w:tcW w:w="1559" w:type="dxa"/>
            <w:vAlign w:val="bottom"/>
          </w:tcPr>
          <w:p w14:paraId="4597BA9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701" w:type="dxa"/>
            <w:vAlign w:val="bottom"/>
          </w:tcPr>
          <w:p w14:paraId="68DDF8E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c>
          <w:tcPr>
            <w:tcW w:w="1700" w:type="dxa"/>
            <w:vAlign w:val="bottom"/>
          </w:tcPr>
          <w:p w14:paraId="26A2FC7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-6,2%</w:t>
            </w:r>
          </w:p>
        </w:tc>
      </w:tr>
      <w:tr w:rsidR="00173388" w14:paraId="147BF5BF"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471D58C"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1984" w:type="dxa"/>
            <w:vAlign w:val="bottom"/>
          </w:tcPr>
          <w:p w14:paraId="5E1A309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1.416</w:t>
            </w:r>
          </w:p>
        </w:tc>
        <w:tc>
          <w:tcPr>
            <w:tcW w:w="1559" w:type="dxa"/>
            <w:vAlign w:val="bottom"/>
          </w:tcPr>
          <w:p w14:paraId="2DC76E7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01" w:type="dxa"/>
            <w:vAlign w:val="bottom"/>
          </w:tcPr>
          <w:p w14:paraId="56E6BCD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4,5%</w:t>
            </w:r>
          </w:p>
        </w:tc>
        <w:tc>
          <w:tcPr>
            <w:tcW w:w="1700" w:type="dxa"/>
            <w:vAlign w:val="bottom"/>
          </w:tcPr>
          <w:p w14:paraId="6CE7D24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-34,4%</w:t>
            </w:r>
          </w:p>
        </w:tc>
      </w:tr>
      <w:tr w:rsidR="00173388" w14:paraId="14B8B54D"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28F5A2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1984" w:type="dxa"/>
            <w:vAlign w:val="bottom"/>
          </w:tcPr>
          <w:p w14:paraId="00828C1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1.274</w:t>
            </w:r>
          </w:p>
        </w:tc>
        <w:tc>
          <w:tcPr>
            <w:tcW w:w="1559" w:type="dxa"/>
            <w:vAlign w:val="bottom"/>
          </w:tcPr>
          <w:p w14:paraId="2B454D5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01" w:type="dxa"/>
            <w:vAlign w:val="bottom"/>
          </w:tcPr>
          <w:p w14:paraId="1CB597B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3,8%</w:t>
            </w:r>
          </w:p>
        </w:tc>
        <w:tc>
          <w:tcPr>
            <w:tcW w:w="1700" w:type="dxa"/>
            <w:vAlign w:val="bottom"/>
          </w:tcPr>
          <w:p w14:paraId="7D893B6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-41,0%</w:t>
            </w:r>
          </w:p>
        </w:tc>
      </w:tr>
      <w:tr w:rsidR="00173388" w14:paraId="4061E1DC"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D1002CC"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1984" w:type="dxa"/>
            <w:vAlign w:val="bottom"/>
          </w:tcPr>
          <w:p w14:paraId="3A480BF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1.204</w:t>
            </w:r>
          </w:p>
        </w:tc>
        <w:tc>
          <w:tcPr>
            <w:tcW w:w="1559" w:type="dxa"/>
            <w:vAlign w:val="bottom"/>
          </w:tcPr>
          <w:p w14:paraId="78FF39D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725A379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3,8%</w:t>
            </w:r>
          </w:p>
        </w:tc>
        <w:tc>
          <w:tcPr>
            <w:tcW w:w="1700" w:type="dxa"/>
            <w:vAlign w:val="bottom"/>
          </w:tcPr>
          <w:p w14:paraId="0A141B2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-44,3%</w:t>
            </w:r>
          </w:p>
        </w:tc>
      </w:tr>
      <w:tr w:rsidR="00173388" w14:paraId="6C22F95F"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6228E1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1984" w:type="dxa"/>
            <w:vAlign w:val="bottom"/>
          </w:tcPr>
          <w:p w14:paraId="76B1C1A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1.796</w:t>
            </w:r>
          </w:p>
        </w:tc>
        <w:tc>
          <w:tcPr>
            <w:tcW w:w="1559" w:type="dxa"/>
            <w:vAlign w:val="bottom"/>
          </w:tcPr>
          <w:p w14:paraId="1C5FE1F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701" w:type="dxa"/>
            <w:vAlign w:val="bottom"/>
          </w:tcPr>
          <w:p w14:paraId="256C8B9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3,7%</w:t>
            </w:r>
          </w:p>
        </w:tc>
        <w:tc>
          <w:tcPr>
            <w:tcW w:w="1700" w:type="dxa"/>
            <w:vAlign w:val="bottom"/>
          </w:tcPr>
          <w:p w14:paraId="5033BE9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-16,8%</w:t>
            </w:r>
          </w:p>
        </w:tc>
      </w:tr>
      <w:tr w:rsidR="00173388" w14:paraId="587E7676"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4C5A7E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1984" w:type="dxa"/>
            <w:vAlign w:val="bottom"/>
          </w:tcPr>
          <w:p w14:paraId="7DC6FC17"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1.235</w:t>
            </w:r>
          </w:p>
        </w:tc>
        <w:tc>
          <w:tcPr>
            <w:tcW w:w="1559" w:type="dxa"/>
            <w:vAlign w:val="bottom"/>
          </w:tcPr>
          <w:p w14:paraId="55C200E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701" w:type="dxa"/>
            <w:vAlign w:val="bottom"/>
          </w:tcPr>
          <w:p w14:paraId="0EA8A1C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3,2%</w:t>
            </w:r>
          </w:p>
        </w:tc>
        <w:tc>
          <w:tcPr>
            <w:tcW w:w="1700" w:type="dxa"/>
            <w:vAlign w:val="bottom"/>
          </w:tcPr>
          <w:p w14:paraId="7652908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-42,8%</w:t>
            </w:r>
          </w:p>
        </w:tc>
      </w:tr>
      <w:tr w:rsidR="00173388" w14:paraId="401F59D1"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6935F5E"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1984" w:type="dxa"/>
            <w:vAlign w:val="bottom"/>
          </w:tcPr>
          <w:p w14:paraId="5EBE4C1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1.210</w:t>
            </w:r>
          </w:p>
        </w:tc>
        <w:tc>
          <w:tcPr>
            <w:tcW w:w="1559" w:type="dxa"/>
            <w:vAlign w:val="bottom"/>
          </w:tcPr>
          <w:p w14:paraId="457A48B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01" w:type="dxa"/>
            <w:vAlign w:val="bottom"/>
          </w:tcPr>
          <w:p w14:paraId="7F43F14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c>
          <w:tcPr>
            <w:tcW w:w="1700" w:type="dxa"/>
            <w:vAlign w:val="bottom"/>
          </w:tcPr>
          <w:p w14:paraId="6C8B894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-44,0%</w:t>
            </w:r>
          </w:p>
        </w:tc>
      </w:tr>
      <w:tr w:rsidR="00173388" w14:paraId="6B802C8D"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DC570BC"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1984" w:type="dxa"/>
            <w:vAlign w:val="bottom"/>
          </w:tcPr>
          <w:p w14:paraId="6A828C8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1.518</w:t>
            </w:r>
          </w:p>
        </w:tc>
        <w:tc>
          <w:tcPr>
            <w:tcW w:w="1559" w:type="dxa"/>
            <w:vAlign w:val="bottom"/>
          </w:tcPr>
          <w:p w14:paraId="2D56D62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701" w:type="dxa"/>
            <w:vAlign w:val="bottom"/>
          </w:tcPr>
          <w:p w14:paraId="7762D40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c>
          <w:tcPr>
            <w:tcW w:w="1700" w:type="dxa"/>
            <w:vAlign w:val="bottom"/>
          </w:tcPr>
          <w:p w14:paraId="256D41C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-29,7%</w:t>
            </w:r>
          </w:p>
        </w:tc>
      </w:tr>
      <w:tr w:rsidR="00173388" w14:paraId="47AE01F0"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F3A1A3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1984" w:type="dxa"/>
            <w:vAlign w:val="bottom"/>
          </w:tcPr>
          <w:p w14:paraId="630C15D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2.952</w:t>
            </w:r>
          </w:p>
        </w:tc>
        <w:tc>
          <w:tcPr>
            <w:tcW w:w="1559" w:type="dxa"/>
            <w:vAlign w:val="bottom"/>
          </w:tcPr>
          <w:p w14:paraId="61AE572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78527E0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2,5%</w:t>
            </w:r>
          </w:p>
        </w:tc>
        <w:tc>
          <w:tcPr>
            <w:tcW w:w="1700" w:type="dxa"/>
            <w:vAlign w:val="bottom"/>
          </w:tcPr>
          <w:p w14:paraId="0FB902D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36,7%</w:t>
            </w:r>
          </w:p>
        </w:tc>
      </w:tr>
      <w:tr w:rsidR="00173388" w14:paraId="4F184E21"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98D313F"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1984" w:type="dxa"/>
            <w:vAlign w:val="bottom"/>
          </w:tcPr>
          <w:p w14:paraId="38A72EA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1.366</w:t>
            </w:r>
          </w:p>
        </w:tc>
        <w:tc>
          <w:tcPr>
            <w:tcW w:w="1559" w:type="dxa"/>
            <w:vAlign w:val="bottom"/>
          </w:tcPr>
          <w:p w14:paraId="00B5A4B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01" w:type="dxa"/>
            <w:vAlign w:val="bottom"/>
          </w:tcPr>
          <w:p w14:paraId="537DF25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w:t>
            </w:r>
          </w:p>
        </w:tc>
        <w:tc>
          <w:tcPr>
            <w:tcW w:w="1700" w:type="dxa"/>
            <w:vAlign w:val="bottom"/>
          </w:tcPr>
          <w:p w14:paraId="21C64A2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-36,7%</w:t>
            </w:r>
          </w:p>
        </w:tc>
      </w:tr>
      <w:tr w:rsidR="00173388" w14:paraId="5310EC50"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27A2126"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1984" w:type="dxa"/>
            <w:vAlign w:val="bottom"/>
          </w:tcPr>
          <w:p w14:paraId="5256B4D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1.459</w:t>
            </w:r>
          </w:p>
        </w:tc>
        <w:tc>
          <w:tcPr>
            <w:tcW w:w="1559" w:type="dxa"/>
            <w:vAlign w:val="bottom"/>
          </w:tcPr>
          <w:p w14:paraId="6364E76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310D92C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w:t>
            </w:r>
          </w:p>
        </w:tc>
        <w:tc>
          <w:tcPr>
            <w:tcW w:w="1700" w:type="dxa"/>
            <w:vAlign w:val="bottom"/>
          </w:tcPr>
          <w:p w14:paraId="70C5105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-32,4%</w:t>
            </w:r>
          </w:p>
        </w:tc>
      </w:tr>
      <w:tr w:rsidR="00173388" w14:paraId="5613D350"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B46AC1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984" w:type="dxa"/>
            <w:vAlign w:val="bottom"/>
          </w:tcPr>
          <w:p w14:paraId="71444E2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3.058</w:t>
            </w:r>
          </w:p>
        </w:tc>
        <w:tc>
          <w:tcPr>
            <w:tcW w:w="1559" w:type="dxa"/>
            <w:vAlign w:val="bottom"/>
          </w:tcPr>
          <w:p w14:paraId="64766A8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2DE0D65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w:t>
            </w:r>
          </w:p>
        </w:tc>
        <w:tc>
          <w:tcPr>
            <w:tcW w:w="1700" w:type="dxa"/>
            <w:vAlign w:val="bottom"/>
          </w:tcPr>
          <w:p w14:paraId="258ABA2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41,6%</w:t>
            </w:r>
          </w:p>
        </w:tc>
      </w:tr>
      <w:tr w:rsidR="00173388" w14:paraId="5E306423"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19E94E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1984" w:type="dxa"/>
            <w:vAlign w:val="bottom"/>
          </w:tcPr>
          <w:p w14:paraId="4BC350E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1.452</w:t>
            </w:r>
          </w:p>
        </w:tc>
        <w:tc>
          <w:tcPr>
            <w:tcW w:w="1559" w:type="dxa"/>
            <w:vAlign w:val="bottom"/>
          </w:tcPr>
          <w:p w14:paraId="1F02EEA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701" w:type="dxa"/>
            <w:vAlign w:val="bottom"/>
          </w:tcPr>
          <w:p w14:paraId="4E8B575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w:t>
            </w:r>
          </w:p>
        </w:tc>
        <w:tc>
          <w:tcPr>
            <w:tcW w:w="1700" w:type="dxa"/>
            <w:vAlign w:val="bottom"/>
          </w:tcPr>
          <w:p w14:paraId="52A34F9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-32,7%</w:t>
            </w:r>
          </w:p>
        </w:tc>
      </w:tr>
      <w:tr w:rsidR="00173388" w14:paraId="6F8E922B"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17E733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1984" w:type="dxa"/>
            <w:vAlign w:val="bottom"/>
          </w:tcPr>
          <w:p w14:paraId="6B1729B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1.607</w:t>
            </w:r>
          </w:p>
        </w:tc>
        <w:tc>
          <w:tcPr>
            <w:tcW w:w="1559" w:type="dxa"/>
            <w:vAlign w:val="bottom"/>
          </w:tcPr>
          <w:p w14:paraId="72A96EA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01" w:type="dxa"/>
            <w:vAlign w:val="bottom"/>
          </w:tcPr>
          <w:p w14:paraId="690637F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w:t>
            </w:r>
          </w:p>
        </w:tc>
        <w:tc>
          <w:tcPr>
            <w:tcW w:w="1700" w:type="dxa"/>
            <w:vAlign w:val="bottom"/>
          </w:tcPr>
          <w:p w14:paraId="2E9D9CA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-25,6%</w:t>
            </w:r>
          </w:p>
        </w:tc>
      </w:tr>
      <w:tr w:rsidR="00173388" w14:paraId="035C7446"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B8A78F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1984" w:type="dxa"/>
            <w:vAlign w:val="bottom"/>
          </w:tcPr>
          <w:p w14:paraId="1A4FE45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1.675</w:t>
            </w:r>
          </w:p>
        </w:tc>
        <w:tc>
          <w:tcPr>
            <w:tcW w:w="1559" w:type="dxa"/>
            <w:vAlign w:val="bottom"/>
          </w:tcPr>
          <w:p w14:paraId="05F6B49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647A00E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w:t>
            </w:r>
          </w:p>
        </w:tc>
        <w:tc>
          <w:tcPr>
            <w:tcW w:w="1700" w:type="dxa"/>
            <w:vAlign w:val="bottom"/>
          </w:tcPr>
          <w:p w14:paraId="3781A32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-22,4%</w:t>
            </w:r>
          </w:p>
        </w:tc>
      </w:tr>
      <w:tr w:rsidR="00173388" w14:paraId="12F7F8CD"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CE54CE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1984" w:type="dxa"/>
            <w:vAlign w:val="bottom"/>
          </w:tcPr>
          <w:p w14:paraId="53C387C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1.710</w:t>
            </w:r>
          </w:p>
        </w:tc>
        <w:tc>
          <w:tcPr>
            <w:tcW w:w="1559" w:type="dxa"/>
            <w:vAlign w:val="bottom"/>
          </w:tcPr>
          <w:p w14:paraId="0F3D3CB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3B4F9E7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w:t>
            </w:r>
          </w:p>
        </w:tc>
        <w:tc>
          <w:tcPr>
            <w:tcW w:w="1700" w:type="dxa"/>
            <w:vAlign w:val="bottom"/>
          </w:tcPr>
          <w:p w14:paraId="787DF39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-20,8%</w:t>
            </w:r>
          </w:p>
        </w:tc>
      </w:tr>
      <w:tr w:rsidR="00173388" w14:paraId="7DB956D6"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E108273"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1984" w:type="dxa"/>
            <w:vAlign w:val="bottom"/>
          </w:tcPr>
          <w:p w14:paraId="6A69558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1.147</w:t>
            </w:r>
          </w:p>
        </w:tc>
        <w:tc>
          <w:tcPr>
            <w:tcW w:w="1559" w:type="dxa"/>
            <w:vAlign w:val="bottom"/>
          </w:tcPr>
          <w:p w14:paraId="660347D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26E8634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0,8%</w:t>
            </w:r>
          </w:p>
        </w:tc>
        <w:tc>
          <w:tcPr>
            <w:tcW w:w="1700" w:type="dxa"/>
            <w:vAlign w:val="bottom"/>
          </w:tcPr>
          <w:p w14:paraId="3C35F9B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-46,9%</w:t>
            </w:r>
          </w:p>
        </w:tc>
      </w:tr>
      <w:tr w:rsidR="00173388" w14:paraId="4FB13BA5"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A4557E3"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1984" w:type="dxa"/>
            <w:vAlign w:val="bottom"/>
          </w:tcPr>
          <w:p w14:paraId="61497AF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1.276</w:t>
            </w:r>
          </w:p>
        </w:tc>
        <w:tc>
          <w:tcPr>
            <w:tcW w:w="1559" w:type="dxa"/>
            <w:vAlign w:val="bottom"/>
          </w:tcPr>
          <w:p w14:paraId="5AFEB42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1701" w:type="dxa"/>
            <w:vAlign w:val="bottom"/>
          </w:tcPr>
          <w:p w14:paraId="78527AB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0,7%</w:t>
            </w:r>
          </w:p>
        </w:tc>
        <w:tc>
          <w:tcPr>
            <w:tcW w:w="1700" w:type="dxa"/>
            <w:vAlign w:val="bottom"/>
          </w:tcPr>
          <w:p w14:paraId="0F3A6E9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-40,9%</w:t>
            </w:r>
          </w:p>
        </w:tc>
      </w:tr>
      <w:tr w:rsidR="00173388" w14:paraId="1ECE3C46"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D4A09E6"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1984" w:type="dxa"/>
            <w:vAlign w:val="bottom"/>
          </w:tcPr>
          <w:p w14:paraId="7C6A980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2.608</w:t>
            </w:r>
          </w:p>
        </w:tc>
        <w:tc>
          <w:tcPr>
            <w:tcW w:w="1559" w:type="dxa"/>
            <w:vAlign w:val="bottom"/>
          </w:tcPr>
          <w:p w14:paraId="2057AF8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5EF54CC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0,6%</w:t>
            </w:r>
          </w:p>
        </w:tc>
        <w:tc>
          <w:tcPr>
            <w:tcW w:w="1700" w:type="dxa"/>
            <w:vAlign w:val="bottom"/>
          </w:tcPr>
          <w:p w14:paraId="038EF80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20,8%</w:t>
            </w:r>
          </w:p>
        </w:tc>
      </w:tr>
      <w:tr w:rsidR="00173388" w14:paraId="6E7E7F65"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8EB1C73"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1984" w:type="dxa"/>
            <w:vAlign w:val="bottom"/>
          </w:tcPr>
          <w:p w14:paraId="1EAF4B8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1.023</w:t>
            </w:r>
          </w:p>
        </w:tc>
        <w:tc>
          <w:tcPr>
            <w:tcW w:w="1559" w:type="dxa"/>
            <w:vAlign w:val="bottom"/>
          </w:tcPr>
          <w:p w14:paraId="45F08B0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3811517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-1,2%</w:t>
            </w:r>
          </w:p>
        </w:tc>
        <w:tc>
          <w:tcPr>
            <w:tcW w:w="1700" w:type="dxa"/>
            <w:vAlign w:val="bottom"/>
          </w:tcPr>
          <w:p w14:paraId="0B704E7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-52,6%</w:t>
            </w:r>
          </w:p>
        </w:tc>
      </w:tr>
      <w:tr w:rsidR="00173388" w14:paraId="7959C230" w14:textId="77777777" w:rsidTr="001733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5EA3BEF"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1984" w:type="dxa"/>
            <w:vAlign w:val="bottom"/>
          </w:tcPr>
          <w:p w14:paraId="0609E53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968</w:t>
            </w:r>
          </w:p>
        </w:tc>
        <w:tc>
          <w:tcPr>
            <w:tcW w:w="1559" w:type="dxa"/>
            <w:vAlign w:val="bottom"/>
          </w:tcPr>
          <w:p w14:paraId="44AB3AF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w:t>
            </w:r>
          </w:p>
        </w:tc>
        <w:tc>
          <w:tcPr>
            <w:tcW w:w="1701" w:type="dxa"/>
            <w:vAlign w:val="bottom"/>
          </w:tcPr>
          <w:p w14:paraId="7801A9E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-1,3%</w:t>
            </w:r>
          </w:p>
        </w:tc>
        <w:tc>
          <w:tcPr>
            <w:tcW w:w="1700" w:type="dxa"/>
            <w:vAlign w:val="bottom"/>
          </w:tcPr>
          <w:p w14:paraId="72DF3DF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-55,2%</w:t>
            </w:r>
          </w:p>
        </w:tc>
      </w:tr>
      <w:tr w:rsidR="00173388" w14:paraId="4EB3E98A" w14:textId="77777777" w:rsidTr="00173388">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37B9CF5"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1984" w:type="dxa"/>
            <w:vAlign w:val="bottom"/>
          </w:tcPr>
          <w:p w14:paraId="38411DA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999</w:t>
            </w:r>
          </w:p>
        </w:tc>
        <w:tc>
          <w:tcPr>
            <w:tcW w:w="1559" w:type="dxa"/>
            <w:vAlign w:val="bottom"/>
          </w:tcPr>
          <w:p w14:paraId="351C31F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0,5%</w:t>
            </w:r>
          </w:p>
        </w:tc>
        <w:tc>
          <w:tcPr>
            <w:tcW w:w="1701" w:type="dxa"/>
            <w:vAlign w:val="bottom"/>
          </w:tcPr>
          <w:p w14:paraId="15B4B7F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-2,9%</w:t>
            </w:r>
          </w:p>
        </w:tc>
        <w:tc>
          <w:tcPr>
            <w:tcW w:w="1700" w:type="dxa"/>
            <w:vAlign w:val="bottom"/>
          </w:tcPr>
          <w:p w14:paraId="5101D77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-53,7%</w:t>
            </w:r>
          </w:p>
        </w:tc>
      </w:tr>
    </w:tbl>
    <w:p w14:paraId="781DB79D" w14:textId="77777777" w:rsidR="0047091A" w:rsidRDefault="0047091A">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298D2A16" w14:textId="77777777" w:rsidR="0047091A" w:rsidRDefault="0047091A">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67132FE4" w14:textId="2719F307" w:rsidR="00173388"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Capitales de provincias</w:t>
      </w:r>
    </w:p>
    <w:p w14:paraId="66213915" w14:textId="77777777" w:rsidR="00173388"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48 de las 50 capitales de provincia (en el 96%) con variación interanual sube el precio en octubre respecto al año anterior. Nueve de las capitales tienen un incremento superior al 10% y son:</w:t>
      </w:r>
      <w:r>
        <w:rPr>
          <w:rFonts w:ascii="Times New Roman" w:eastAsia="Times New Roman" w:hAnsi="Times New Roman" w:cs="Times New Roman"/>
          <w:color w:val="000000"/>
        </w:rPr>
        <w:t xml:space="preserve"> </w:t>
      </w:r>
      <w:r>
        <w:rPr>
          <w:rFonts w:ascii="Open Sans" w:eastAsia="Open Sans" w:hAnsi="Open Sans" w:cs="Open Sans"/>
          <w:color w:val="000000"/>
        </w:rPr>
        <w:t>Soria Capital con 24,9%, Santa Cruz de Tenerife capital con 23,0%, Palma de Mallorca con 16,4%, Málaga capital con 14,6%, Alicante / Alacant con 12,8%, Pontevedra capital con 12,2%, Valencia capital con 11,5%, Teruel capital con 10,3% y Las Palmas de Gran Canaria con 10,0%.</w:t>
      </w:r>
    </w:p>
    <w:p w14:paraId="2397D31E" w14:textId="77777777" w:rsidR="00173388"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Respecto a los precios, la capital de provincia más cara es Donostia - San Sebastián con 6.159 euros/m</w:t>
      </w:r>
      <w:r>
        <w:rPr>
          <w:rFonts w:ascii="Open Sans" w:eastAsia="Open Sans" w:hAnsi="Open Sans" w:cs="Open Sans"/>
          <w:color w:val="000000"/>
          <w:vertAlign w:val="superscript"/>
        </w:rPr>
        <w:t>2</w:t>
      </w:r>
      <w:r>
        <w:rPr>
          <w:rFonts w:ascii="Open Sans" w:eastAsia="Open Sans" w:hAnsi="Open Sans" w:cs="Open Sans"/>
          <w:color w:val="000000"/>
        </w:rPr>
        <w:t>, seguida de Madrid capital (4.567 euros/m</w:t>
      </w:r>
      <w:r>
        <w:rPr>
          <w:rFonts w:ascii="Open Sans" w:eastAsia="Open Sans" w:hAnsi="Open Sans" w:cs="Open Sans"/>
          <w:color w:val="000000"/>
          <w:vertAlign w:val="superscript"/>
        </w:rPr>
        <w:t>2</w:t>
      </w:r>
      <w:r>
        <w:rPr>
          <w:rFonts w:ascii="Open Sans" w:eastAsia="Open Sans" w:hAnsi="Open Sans" w:cs="Open Sans"/>
          <w:color w:val="000000"/>
        </w:rPr>
        <w:t>), Barcelona capital (4.454 euros/m</w:t>
      </w:r>
      <w:r>
        <w:rPr>
          <w:rFonts w:ascii="Open Sans" w:eastAsia="Open Sans" w:hAnsi="Open Sans" w:cs="Open Sans"/>
          <w:color w:val="000000"/>
          <w:vertAlign w:val="superscript"/>
        </w:rPr>
        <w:t>2</w:t>
      </w:r>
      <w:r>
        <w:rPr>
          <w:rFonts w:ascii="Open Sans" w:eastAsia="Open Sans" w:hAnsi="Open Sans" w:cs="Open Sans"/>
          <w:color w:val="000000"/>
        </w:rPr>
        <w:t>), Palma de Mallorca (4.103 euros/m</w:t>
      </w:r>
      <w:r>
        <w:rPr>
          <w:rFonts w:ascii="Open Sans" w:eastAsia="Open Sans" w:hAnsi="Open Sans" w:cs="Open Sans"/>
          <w:color w:val="000000"/>
          <w:vertAlign w:val="superscript"/>
        </w:rPr>
        <w:t>2</w:t>
      </w:r>
      <w:r>
        <w:rPr>
          <w:rFonts w:ascii="Open Sans" w:eastAsia="Open Sans" w:hAnsi="Open Sans" w:cs="Open Sans"/>
          <w:color w:val="000000"/>
        </w:rPr>
        <w:t>), Bilbao (3.497 euros/m</w:t>
      </w:r>
      <w:r>
        <w:rPr>
          <w:rFonts w:ascii="Open Sans" w:eastAsia="Open Sans" w:hAnsi="Open Sans" w:cs="Open Sans"/>
          <w:color w:val="000000"/>
          <w:vertAlign w:val="superscript"/>
        </w:rPr>
        <w:t>2</w:t>
      </w:r>
      <w:r>
        <w:rPr>
          <w:rFonts w:ascii="Open Sans" w:eastAsia="Open Sans" w:hAnsi="Open Sans" w:cs="Open Sans"/>
          <w:color w:val="000000"/>
        </w:rPr>
        <w:t>), Málaga capital (3.189 euros/m</w:t>
      </w:r>
      <w:r>
        <w:rPr>
          <w:rFonts w:ascii="Open Sans" w:eastAsia="Open Sans" w:hAnsi="Open Sans" w:cs="Open Sans"/>
          <w:color w:val="000000"/>
          <w:vertAlign w:val="superscript"/>
        </w:rPr>
        <w:t>2</w:t>
      </w:r>
      <w:r>
        <w:rPr>
          <w:rFonts w:ascii="Open Sans" w:eastAsia="Open Sans" w:hAnsi="Open Sans" w:cs="Open Sans"/>
          <w:color w:val="000000"/>
        </w:rPr>
        <w:t>), Pamplona / Iruña (3.087 euros/m</w:t>
      </w:r>
      <w:r>
        <w:rPr>
          <w:rFonts w:ascii="Open Sans" w:eastAsia="Open Sans" w:hAnsi="Open Sans" w:cs="Open Sans"/>
          <w:color w:val="000000"/>
          <w:vertAlign w:val="superscript"/>
        </w:rPr>
        <w:t>2</w:t>
      </w:r>
      <w:r>
        <w:rPr>
          <w:rFonts w:ascii="Open Sans" w:eastAsia="Open Sans" w:hAnsi="Open Sans" w:cs="Open Sans"/>
          <w:color w:val="000000"/>
        </w:rPr>
        <w:t>) y Cádiz capital (2.933 euros/m</w:t>
      </w:r>
      <w:r>
        <w:rPr>
          <w:rFonts w:ascii="Open Sans" w:eastAsia="Open Sans" w:hAnsi="Open Sans" w:cs="Open Sans"/>
          <w:color w:val="000000"/>
          <w:vertAlign w:val="superscript"/>
        </w:rPr>
        <w:t>2</w:t>
      </w:r>
      <w:r>
        <w:rPr>
          <w:rFonts w:ascii="Open Sans" w:eastAsia="Open Sans" w:hAnsi="Open Sans" w:cs="Open Sans"/>
          <w:color w:val="000000"/>
        </w:rPr>
        <w:t>). Por otro lado, la capital de provincia más económica es Zamora capital con 1.251 euros el metro cuadrado.</w:t>
      </w:r>
    </w:p>
    <w:tbl>
      <w:tblPr>
        <w:tblStyle w:val="a1"/>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268"/>
        <w:gridCol w:w="1984"/>
        <w:gridCol w:w="1559"/>
        <w:gridCol w:w="1692"/>
      </w:tblGrid>
      <w:tr w:rsidR="00173388" w14:paraId="796A9900" w14:textId="77777777" w:rsidTr="00173388">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28ADC60"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7435045F" w14:textId="77777777" w:rsidR="0017338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vAlign w:val="center"/>
          </w:tcPr>
          <w:p w14:paraId="30F5A4E0"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2023</w:t>
            </w:r>
          </w:p>
          <w:p w14:paraId="5AC302A9"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0649ECB5"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5D0A9107"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73388" w14:paraId="5E9A3B3B"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97C7E9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268" w:type="dxa"/>
            <w:vAlign w:val="bottom"/>
          </w:tcPr>
          <w:p w14:paraId="0810A4B3"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Soria Capital</w:t>
            </w:r>
          </w:p>
        </w:tc>
        <w:tc>
          <w:tcPr>
            <w:tcW w:w="1984" w:type="dxa"/>
            <w:vAlign w:val="bottom"/>
          </w:tcPr>
          <w:p w14:paraId="018B0B9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1.789 €</w:t>
            </w:r>
          </w:p>
        </w:tc>
        <w:tc>
          <w:tcPr>
            <w:tcW w:w="1559" w:type="dxa"/>
            <w:vAlign w:val="bottom"/>
          </w:tcPr>
          <w:p w14:paraId="4E48924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692" w:type="dxa"/>
            <w:vAlign w:val="bottom"/>
          </w:tcPr>
          <w:p w14:paraId="512048E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24,9%</w:t>
            </w:r>
          </w:p>
        </w:tc>
      </w:tr>
      <w:tr w:rsidR="00173388" w14:paraId="739CC2C3"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DDF3ACC"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vAlign w:val="bottom"/>
          </w:tcPr>
          <w:p w14:paraId="57DF8152"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Cruz de Tenerife Capital</w:t>
            </w:r>
          </w:p>
        </w:tc>
        <w:tc>
          <w:tcPr>
            <w:tcW w:w="1984" w:type="dxa"/>
            <w:vAlign w:val="bottom"/>
          </w:tcPr>
          <w:p w14:paraId="3470FF2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2.153 €</w:t>
            </w:r>
          </w:p>
        </w:tc>
        <w:tc>
          <w:tcPr>
            <w:tcW w:w="1559" w:type="dxa"/>
            <w:vAlign w:val="bottom"/>
          </w:tcPr>
          <w:p w14:paraId="6DF874B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692" w:type="dxa"/>
            <w:vAlign w:val="bottom"/>
          </w:tcPr>
          <w:p w14:paraId="6FA3A27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23,0%</w:t>
            </w:r>
          </w:p>
        </w:tc>
      </w:tr>
      <w:tr w:rsidR="00173388" w14:paraId="37461C36"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FE8A5B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7B29D5C2"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Palma de Mallorca</w:t>
            </w:r>
          </w:p>
        </w:tc>
        <w:tc>
          <w:tcPr>
            <w:tcW w:w="1984" w:type="dxa"/>
            <w:vAlign w:val="bottom"/>
          </w:tcPr>
          <w:p w14:paraId="0EFA7ED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4.103 €</w:t>
            </w:r>
          </w:p>
        </w:tc>
        <w:tc>
          <w:tcPr>
            <w:tcW w:w="1559" w:type="dxa"/>
            <w:vAlign w:val="bottom"/>
          </w:tcPr>
          <w:p w14:paraId="3AE0F89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692" w:type="dxa"/>
            <w:vAlign w:val="bottom"/>
          </w:tcPr>
          <w:p w14:paraId="63AE783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16,4%</w:t>
            </w:r>
          </w:p>
        </w:tc>
      </w:tr>
      <w:tr w:rsidR="00173388" w14:paraId="0B00237A"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7B51BBC"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19F5C627"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984" w:type="dxa"/>
            <w:vAlign w:val="bottom"/>
          </w:tcPr>
          <w:p w14:paraId="04BF8B4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3.189 €</w:t>
            </w:r>
          </w:p>
        </w:tc>
        <w:tc>
          <w:tcPr>
            <w:tcW w:w="1559" w:type="dxa"/>
            <w:vAlign w:val="bottom"/>
          </w:tcPr>
          <w:p w14:paraId="434E023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692" w:type="dxa"/>
            <w:vAlign w:val="bottom"/>
          </w:tcPr>
          <w:p w14:paraId="22B814B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14,6%</w:t>
            </w:r>
          </w:p>
        </w:tc>
      </w:tr>
      <w:tr w:rsidR="00173388" w14:paraId="4D72661D"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F5DB51F"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68FA29C5"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984" w:type="dxa"/>
            <w:vAlign w:val="bottom"/>
          </w:tcPr>
          <w:p w14:paraId="60215DA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2.157 €</w:t>
            </w:r>
          </w:p>
        </w:tc>
        <w:tc>
          <w:tcPr>
            <w:tcW w:w="1559" w:type="dxa"/>
            <w:vAlign w:val="bottom"/>
          </w:tcPr>
          <w:p w14:paraId="7B12CFD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692" w:type="dxa"/>
            <w:vAlign w:val="bottom"/>
          </w:tcPr>
          <w:p w14:paraId="1BBD6FB0"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12,8%</w:t>
            </w:r>
          </w:p>
        </w:tc>
      </w:tr>
      <w:tr w:rsidR="00173388" w14:paraId="6FF427FA"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8C442B3"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5C3F9089"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Pontevedra Capital</w:t>
            </w:r>
          </w:p>
        </w:tc>
        <w:tc>
          <w:tcPr>
            <w:tcW w:w="1984" w:type="dxa"/>
            <w:vAlign w:val="bottom"/>
          </w:tcPr>
          <w:p w14:paraId="0D98CADD"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2.078 €</w:t>
            </w:r>
          </w:p>
        </w:tc>
        <w:tc>
          <w:tcPr>
            <w:tcW w:w="1559" w:type="dxa"/>
            <w:vAlign w:val="bottom"/>
          </w:tcPr>
          <w:p w14:paraId="39AB33C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692" w:type="dxa"/>
            <w:vAlign w:val="bottom"/>
          </w:tcPr>
          <w:p w14:paraId="77ED918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12,2%</w:t>
            </w:r>
          </w:p>
        </w:tc>
      </w:tr>
      <w:tr w:rsidR="00173388" w14:paraId="1134F457"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AE967D"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38CFE5D8"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Valencia Capital</w:t>
            </w:r>
          </w:p>
        </w:tc>
        <w:tc>
          <w:tcPr>
            <w:tcW w:w="1984" w:type="dxa"/>
            <w:vAlign w:val="bottom"/>
          </w:tcPr>
          <w:p w14:paraId="1AB15E4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2.519 €</w:t>
            </w:r>
          </w:p>
        </w:tc>
        <w:tc>
          <w:tcPr>
            <w:tcW w:w="1559" w:type="dxa"/>
            <w:vAlign w:val="bottom"/>
          </w:tcPr>
          <w:p w14:paraId="217B406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692" w:type="dxa"/>
            <w:vAlign w:val="bottom"/>
          </w:tcPr>
          <w:p w14:paraId="1061C0F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11,5%</w:t>
            </w:r>
          </w:p>
        </w:tc>
      </w:tr>
      <w:tr w:rsidR="00173388" w14:paraId="6B41124B"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78E65F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268" w:type="dxa"/>
            <w:vAlign w:val="bottom"/>
          </w:tcPr>
          <w:p w14:paraId="6CEA0BE4"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Teruel Capital</w:t>
            </w:r>
          </w:p>
        </w:tc>
        <w:tc>
          <w:tcPr>
            <w:tcW w:w="1984" w:type="dxa"/>
            <w:vAlign w:val="bottom"/>
          </w:tcPr>
          <w:p w14:paraId="69D72A4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1.589 €</w:t>
            </w:r>
          </w:p>
        </w:tc>
        <w:tc>
          <w:tcPr>
            <w:tcW w:w="1559" w:type="dxa"/>
            <w:vAlign w:val="bottom"/>
          </w:tcPr>
          <w:p w14:paraId="7E7CE65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w:t>
            </w:r>
          </w:p>
        </w:tc>
        <w:tc>
          <w:tcPr>
            <w:tcW w:w="1692" w:type="dxa"/>
            <w:vAlign w:val="bottom"/>
          </w:tcPr>
          <w:p w14:paraId="189D729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10,3%</w:t>
            </w:r>
          </w:p>
        </w:tc>
      </w:tr>
      <w:tr w:rsidR="00173388" w14:paraId="5932FAA6"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A67BD7C"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38DD09CD"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Palmas de Gran Canaria</w:t>
            </w:r>
          </w:p>
        </w:tc>
        <w:tc>
          <w:tcPr>
            <w:tcW w:w="1984" w:type="dxa"/>
            <w:vAlign w:val="bottom"/>
          </w:tcPr>
          <w:p w14:paraId="12CDC97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2.469 €</w:t>
            </w:r>
          </w:p>
        </w:tc>
        <w:tc>
          <w:tcPr>
            <w:tcW w:w="1559" w:type="dxa"/>
            <w:vAlign w:val="bottom"/>
          </w:tcPr>
          <w:p w14:paraId="7BB621A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692" w:type="dxa"/>
            <w:vAlign w:val="bottom"/>
          </w:tcPr>
          <w:p w14:paraId="153624E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10,0%</w:t>
            </w:r>
          </w:p>
        </w:tc>
      </w:tr>
      <w:tr w:rsidR="00173388" w14:paraId="371412A9"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3C6A3C0"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vAlign w:val="bottom"/>
          </w:tcPr>
          <w:p w14:paraId="4684B060"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984" w:type="dxa"/>
            <w:vAlign w:val="bottom"/>
          </w:tcPr>
          <w:p w14:paraId="6B6F327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1.353 €</w:t>
            </w:r>
          </w:p>
        </w:tc>
        <w:tc>
          <w:tcPr>
            <w:tcW w:w="1559" w:type="dxa"/>
            <w:vAlign w:val="bottom"/>
          </w:tcPr>
          <w:p w14:paraId="23F0903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692" w:type="dxa"/>
            <w:vAlign w:val="bottom"/>
          </w:tcPr>
          <w:p w14:paraId="5ED89D3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9,5%</w:t>
            </w:r>
          </w:p>
        </w:tc>
      </w:tr>
      <w:tr w:rsidR="00173388" w14:paraId="6E3CFFA2"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81CA268"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1D8F2E6C"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984" w:type="dxa"/>
            <w:vAlign w:val="bottom"/>
          </w:tcPr>
          <w:p w14:paraId="18F4B96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2.712 €</w:t>
            </w:r>
          </w:p>
        </w:tc>
        <w:tc>
          <w:tcPr>
            <w:tcW w:w="1559" w:type="dxa"/>
            <w:vAlign w:val="bottom"/>
          </w:tcPr>
          <w:p w14:paraId="7F78976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692" w:type="dxa"/>
            <w:vAlign w:val="bottom"/>
          </w:tcPr>
          <w:p w14:paraId="50552A1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9,1%</w:t>
            </w:r>
          </w:p>
        </w:tc>
      </w:tr>
      <w:tr w:rsidR="00173388" w14:paraId="43F7F4FA"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527E20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56175A98"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984" w:type="dxa"/>
            <w:vAlign w:val="bottom"/>
          </w:tcPr>
          <w:p w14:paraId="58FB659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1.381 €</w:t>
            </w:r>
          </w:p>
        </w:tc>
        <w:tc>
          <w:tcPr>
            <w:tcW w:w="1559" w:type="dxa"/>
            <w:vAlign w:val="bottom"/>
          </w:tcPr>
          <w:p w14:paraId="3F74382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1692" w:type="dxa"/>
            <w:vAlign w:val="bottom"/>
          </w:tcPr>
          <w:p w14:paraId="689C01A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9,0%</w:t>
            </w:r>
          </w:p>
        </w:tc>
      </w:tr>
      <w:tr w:rsidR="00173388" w14:paraId="2720F44D"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7DF31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6CE36BC8"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984" w:type="dxa"/>
            <w:vAlign w:val="bottom"/>
          </w:tcPr>
          <w:p w14:paraId="6BAABAD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3.087 €</w:t>
            </w:r>
          </w:p>
        </w:tc>
        <w:tc>
          <w:tcPr>
            <w:tcW w:w="1559" w:type="dxa"/>
            <w:vAlign w:val="bottom"/>
          </w:tcPr>
          <w:p w14:paraId="0FCF76A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692" w:type="dxa"/>
            <w:vAlign w:val="bottom"/>
          </w:tcPr>
          <w:p w14:paraId="25076100"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8,9%</w:t>
            </w:r>
          </w:p>
        </w:tc>
      </w:tr>
      <w:tr w:rsidR="00173388" w14:paraId="6DF1EC09"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648E366"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25488717"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 Coruña Capital</w:t>
            </w:r>
          </w:p>
        </w:tc>
        <w:tc>
          <w:tcPr>
            <w:tcW w:w="1984" w:type="dxa"/>
            <w:vAlign w:val="bottom"/>
          </w:tcPr>
          <w:p w14:paraId="6A73385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2.689 €</w:t>
            </w:r>
          </w:p>
        </w:tc>
        <w:tc>
          <w:tcPr>
            <w:tcW w:w="1559" w:type="dxa"/>
            <w:vAlign w:val="bottom"/>
          </w:tcPr>
          <w:p w14:paraId="6144A01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692" w:type="dxa"/>
            <w:vAlign w:val="bottom"/>
          </w:tcPr>
          <w:p w14:paraId="20BF822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8,7%</w:t>
            </w:r>
          </w:p>
        </w:tc>
      </w:tr>
      <w:tr w:rsidR="00173388" w14:paraId="3F0BABCB"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4F9007D"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0F94B8EB"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984" w:type="dxa"/>
            <w:vAlign w:val="bottom"/>
          </w:tcPr>
          <w:p w14:paraId="5786CC70"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1.360 €</w:t>
            </w:r>
          </w:p>
        </w:tc>
        <w:tc>
          <w:tcPr>
            <w:tcW w:w="1559" w:type="dxa"/>
            <w:vAlign w:val="bottom"/>
          </w:tcPr>
          <w:p w14:paraId="695DBFF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692" w:type="dxa"/>
            <w:vAlign w:val="bottom"/>
          </w:tcPr>
          <w:p w14:paraId="4C99B04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8,5%</w:t>
            </w:r>
          </w:p>
        </w:tc>
      </w:tr>
      <w:tr w:rsidR="00173388" w14:paraId="2F958D7D"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DCA601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17D527ED"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984" w:type="dxa"/>
            <w:vAlign w:val="bottom"/>
          </w:tcPr>
          <w:p w14:paraId="6769733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6.159 €</w:t>
            </w:r>
          </w:p>
        </w:tc>
        <w:tc>
          <w:tcPr>
            <w:tcW w:w="1559" w:type="dxa"/>
            <w:vAlign w:val="bottom"/>
          </w:tcPr>
          <w:p w14:paraId="5375965D"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692" w:type="dxa"/>
            <w:vAlign w:val="bottom"/>
          </w:tcPr>
          <w:p w14:paraId="61164D0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8,4%</w:t>
            </w:r>
          </w:p>
        </w:tc>
      </w:tr>
      <w:tr w:rsidR="00173388" w14:paraId="3D4CCFBC"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761B1A1"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19E83054"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Santander</w:t>
            </w:r>
          </w:p>
        </w:tc>
        <w:tc>
          <w:tcPr>
            <w:tcW w:w="1984" w:type="dxa"/>
            <w:vAlign w:val="bottom"/>
          </w:tcPr>
          <w:p w14:paraId="7B92BAE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2.442 €</w:t>
            </w:r>
          </w:p>
        </w:tc>
        <w:tc>
          <w:tcPr>
            <w:tcW w:w="1559" w:type="dxa"/>
            <w:vAlign w:val="bottom"/>
          </w:tcPr>
          <w:p w14:paraId="4718956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92" w:type="dxa"/>
            <w:vAlign w:val="bottom"/>
          </w:tcPr>
          <w:p w14:paraId="1528122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8,4%</w:t>
            </w:r>
          </w:p>
        </w:tc>
      </w:tr>
      <w:tr w:rsidR="00173388" w14:paraId="7208E53F"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CA4546"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58D0706F"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984" w:type="dxa"/>
            <w:vAlign w:val="bottom"/>
          </w:tcPr>
          <w:p w14:paraId="4F7642A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4.567 €</w:t>
            </w:r>
          </w:p>
        </w:tc>
        <w:tc>
          <w:tcPr>
            <w:tcW w:w="1559" w:type="dxa"/>
            <w:vAlign w:val="bottom"/>
          </w:tcPr>
          <w:p w14:paraId="06E7722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692" w:type="dxa"/>
            <w:vAlign w:val="bottom"/>
          </w:tcPr>
          <w:p w14:paraId="7812530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7,9%</w:t>
            </w:r>
          </w:p>
        </w:tc>
      </w:tr>
      <w:tr w:rsidR="00173388" w14:paraId="108D4B2E"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A4FA5AF"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3C9417E5"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984" w:type="dxa"/>
            <w:vAlign w:val="bottom"/>
          </w:tcPr>
          <w:p w14:paraId="1865868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1.856 €</w:t>
            </w:r>
          </w:p>
        </w:tc>
        <w:tc>
          <w:tcPr>
            <w:tcW w:w="1559" w:type="dxa"/>
            <w:vAlign w:val="bottom"/>
          </w:tcPr>
          <w:p w14:paraId="09E7D1A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692" w:type="dxa"/>
            <w:vAlign w:val="bottom"/>
          </w:tcPr>
          <w:p w14:paraId="1D63966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7,8%</w:t>
            </w:r>
          </w:p>
        </w:tc>
      </w:tr>
      <w:tr w:rsidR="00173388" w14:paraId="6AA01DE8"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789D6D1"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268" w:type="dxa"/>
            <w:vAlign w:val="bottom"/>
          </w:tcPr>
          <w:p w14:paraId="1E02BEC2"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Huesca Capital</w:t>
            </w:r>
          </w:p>
        </w:tc>
        <w:tc>
          <w:tcPr>
            <w:tcW w:w="1984" w:type="dxa"/>
            <w:vAlign w:val="bottom"/>
          </w:tcPr>
          <w:p w14:paraId="6A5CE01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1.613 €</w:t>
            </w:r>
          </w:p>
        </w:tc>
        <w:tc>
          <w:tcPr>
            <w:tcW w:w="1559" w:type="dxa"/>
            <w:vAlign w:val="bottom"/>
          </w:tcPr>
          <w:p w14:paraId="080E5E87"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692" w:type="dxa"/>
            <w:vAlign w:val="bottom"/>
          </w:tcPr>
          <w:p w14:paraId="2A4D180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7,5%</w:t>
            </w:r>
          </w:p>
        </w:tc>
      </w:tr>
      <w:tr w:rsidR="00173388" w14:paraId="72F8A6B3"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BA84B2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225843BB"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Logroño</w:t>
            </w:r>
          </w:p>
        </w:tc>
        <w:tc>
          <w:tcPr>
            <w:tcW w:w="1984" w:type="dxa"/>
            <w:vAlign w:val="bottom"/>
          </w:tcPr>
          <w:p w14:paraId="2F2B1CA0"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1.962 €</w:t>
            </w:r>
          </w:p>
        </w:tc>
        <w:tc>
          <w:tcPr>
            <w:tcW w:w="1559" w:type="dxa"/>
            <w:vAlign w:val="bottom"/>
          </w:tcPr>
          <w:p w14:paraId="23F5E8B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692" w:type="dxa"/>
            <w:vAlign w:val="bottom"/>
          </w:tcPr>
          <w:p w14:paraId="2BEE607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7,1%</w:t>
            </w:r>
          </w:p>
        </w:tc>
      </w:tr>
      <w:tr w:rsidR="00173388" w14:paraId="0E5B902E"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201491"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Sevilla</w:t>
            </w:r>
          </w:p>
        </w:tc>
        <w:tc>
          <w:tcPr>
            <w:tcW w:w="2268" w:type="dxa"/>
            <w:vAlign w:val="bottom"/>
          </w:tcPr>
          <w:p w14:paraId="11C1DC1D"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Sevilla Capital</w:t>
            </w:r>
          </w:p>
        </w:tc>
        <w:tc>
          <w:tcPr>
            <w:tcW w:w="1984" w:type="dxa"/>
            <w:vAlign w:val="bottom"/>
          </w:tcPr>
          <w:p w14:paraId="55260B6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2.337 €</w:t>
            </w:r>
          </w:p>
        </w:tc>
        <w:tc>
          <w:tcPr>
            <w:tcW w:w="1559" w:type="dxa"/>
            <w:vAlign w:val="bottom"/>
          </w:tcPr>
          <w:p w14:paraId="2F90DB4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692" w:type="dxa"/>
            <w:vAlign w:val="bottom"/>
          </w:tcPr>
          <w:p w14:paraId="63389FE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6,2%</w:t>
            </w:r>
          </w:p>
        </w:tc>
      </w:tr>
      <w:tr w:rsidR="00173388" w14:paraId="69AB156B"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9B6E2B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2824748D"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984" w:type="dxa"/>
            <w:vAlign w:val="bottom"/>
          </w:tcPr>
          <w:p w14:paraId="1998188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1.598 €</w:t>
            </w:r>
          </w:p>
        </w:tc>
        <w:tc>
          <w:tcPr>
            <w:tcW w:w="1559" w:type="dxa"/>
            <w:vAlign w:val="bottom"/>
          </w:tcPr>
          <w:p w14:paraId="7AF265B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692" w:type="dxa"/>
            <w:vAlign w:val="bottom"/>
          </w:tcPr>
          <w:p w14:paraId="4035C3F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r>
      <w:tr w:rsidR="00173388" w14:paraId="77FE026F"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361A966"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34AC8DBD"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Granada Capital</w:t>
            </w:r>
          </w:p>
        </w:tc>
        <w:tc>
          <w:tcPr>
            <w:tcW w:w="1984" w:type="dxa"/>
            <w:vAlign w:val="bottom"/>
          </w:tcPr>
          <w:p w14:paraId="5AC663C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2.206 €</w:t>
            </w:r>
          </w:p>
        </w:tc>
        <w:tc>
          <w:tcPr>
            <w:tcW w:w="1559" w:type="dxa"/>
            <w:vAlign w:val="bottom"/>
          </w:tcPr>
          <w:p w14:paraId="07EE942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692" w:type="dxa"/>
            <w:vAlign w:val="bottom"/>
          </w:tcPr>
          <w:p w14:paraId="66B63AE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r>
      <w:tr w:rsidR="00173388" w14:paraId="1102853F"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6B052B5"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1561E9A9"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984" w:type="dxa"/>
            <w:vAlign w:val="bottom"/>
          </w:tcPr>
          <w:p w14:paraId="684DAE3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2.933 €</w:t>
            </w:r>
          </w:p>
        </w:tc>
        <w:tc>
          <w:tcPr>
            <w:tcW w:w="1559" w:type="dxa"/>
            <w:vAlign w:val="bottom"/>
          </w:tcPr>
          <w:p w14:paraId="072077A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692" w:type="dxa"/>
            <w:vAlign w:val="bottom"/>
          </w:tcPr>
          <w:p w14:paraId="039BF49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5,4%</w:t>
            </w:r>
          </w:p>
        </w:tc>
      </w:tr>
      <w:tr w:rsidR="00173388" w14:paraId="028A6B4E"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8BE6D32"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vAlign w:val="bottom"/>
          </w:tcPr>
          <w:p w14:paraId="2C6FF08E"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Guadalajara Capital</w:t>
            </w:r>
          </w:p>
        </w:tc>
        <w:tc>
          <w:tcPr>
            <w:tcW w:w="1984" w:type="dxa"/>
            <w:vAlign w:val="bottom"/>
          </w:tcPr>
          <w:p w14:paraId="5D6C45C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1.738 €</w:t>
            </w:r>
          </w:p>
        </w:tc>
        <w:tc>
          <w:tcPr>
            <w:tcW w:w="1559" w:type="dxa"/>
            <w:vAlign w:val="bottom"/>
          </w:tcPr>
          <w:p w14:paraId="1DBF085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692" w:type="dxa"/>
            <w:vAlign w:val="bottom"/>
          </w:tcPr>
          <w:p w14:paraId="44AED767"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r>
      <w:tr w:rsidR="00173388" w14:paraId="31392F76"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3433D7F"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159AE06C"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984" w:type="dxa"/>
            <w:vAlign w:val="bottom"/>
          </w:tcPr>
          <w:p w14:paraId="71A04AF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1.365 €</w:t>
            </w:r>
          </w:p>
        </w:tc>
        <w:tc>
          <w:tcPr>
            <w:tcW w:w="1559" w:type="dxa"/>
            <w:vAlign w:val="bottom"/>
          </w:tcPr>
          <w:p w14:paraId="2D68439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692" w:type="dxa"/>
            <w:vAlign w:val="bottom"/>
          </w:tcPr>
          <w:p w14:paraId="13F4CBC0"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r>
      <w:tr w:rsidR="00173388" w14:paraId="25BED3D7"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9DE89DF"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vAlign w:val="bottom"/>
          </w:tcPr>
          <w:p w14:paraId="695C1F34"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Almería Capital</w:t>
            </w:r>
          </w:p>
        </w:tc>
        <w:tc>
          <w:tcPr>
            <w:tcW w:w="1984" w:type="dxa"/>
            <w:vAlign w:val="bottom"/>
          </w:tcPr>
          <w:p w14:paraId="0E25FD0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1.486 €</w:t>
            </w:r>
          </w:p>
        </w:tc>
        <w:tc>
          <w:tcPr>
            <w:tcW w:w="1559" w:type="dxa"/>
            <w:vAlign w:val="bottom"/>
          </w:tcPr>
          <w:p w14:paraId="62681DE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692" w:type="dxa"/>
            <w:vAlign w:val="bottom"/>
          </w:tcPr>
          <w:p w14:paraId="4F4F06A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5,1%</w:t>
            </w:r>
          </w:p>
        </w:tc>
      </w:tr>
      <w:tr w:rsidR="00173388" w14:paraId="44575A00"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4D1A82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vAlign w:val="bottom"/>
          </w:tcPr>
          <w:p w14:paraId="1A2D0A8F"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984" w:type="dxa"/>
            <w:vAlign w:val="bottom"/>
          </w:tcPr>
          <w:p w14:paraId="4CFAC55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1.832 €</w:t>
            </w:r>
          </w:p>
        </w:tc>
        <w:tc>
          <w:tcPr>
            <w:tcW w:w="1559" w:type="dxa"/>
            <w:vAlign w:val="bottom"/>
          </w:tcPr>
          <w:p w14:paraId="4B72BAE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692" w:type="dxa"/>
            <w:vAlign w:val="bottom"/>
          </w:tcPr>
          <w:p w14:paraId="0B79379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r>
      <w:tr w:rsidR="00173388" w14:paraId="095A3D43"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624954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247FB87C"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984" w:type="dxa"/>
            <w:vAlign w:val="bottom"/>
          </w:tcPr>
          <w:p w14:paraId="52D531E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1.809 €</w:t>
            </w:r>
          </w:p>
        </w:tc>
        <w:tc>
          <w:tcPr>
            <w:tcW w:w="1559" w:type="dxa"/>
            <w:vAlign w:val="bottom"/>
          </w:tcPr>
          <w:p w14:paraId="57E8685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692" w:type="dxa"/>
            <w:vAlign w:val="bottom"/>
          </w:tcPr>
          <w:p w14:paraId="09F7FAB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4,6%</w:t>
            </w:r>
          </w:p>
        </w:tc>
      </w:tr>
      <w:tr w:rsidR="00173388" w14:paraId="4AF21467"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5ECF3B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4E4E1B5A"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984" w:type="dxa"/>
            <w:vAlign w:val="bottom"/>
          </w:tcPr>
          <w:p w14:paraId="257C392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1.453 €</w:t>
            </w:r>
          </w:p>
        </w:tc>
        <w:tc>
          <w:tcPr>
            <w:tcW w:w="1559" w:type="dxa"/>
            <w:vAlign w:val="bottom"/>
          </w:tcPr>
          <w:p w14:paraId="29A9E88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692" w:type="dxa"/>
            <w:vAlign w:val="bottom"/>
          </w:tcPr>
          <w:p w14:paraId="764B89C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4,2%</w:t>
            </w:r>
          </w:p>
        </w:tc>
      </w:tr>
      <w:tr w:rsidR="00173388" w14:paraId="3A68CAF1"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4057D5F"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21A78A11"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984" w:type="dxa"/>
            <w:vAlign w:val="bottom"/>
          </w:tcPr>
          <w:p w14:paraId="33687EE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1.712 €</w:t>
            </w:r>
          </w:p>
        </w:tc>
        <w:tc>
          <w:tcPr>
            <w:tcW w:w="1559" w:type="dxa"/>
            <w:vAlign w:val="bottom"/>
          </w:tcPr>
          <w:p w14:paraId="4AD822E7"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692" w:type="dxa"/>
            <w:vAlign w:val="bottom"/>
          </w:tcPr>
          <w:p w14:paraId="60BFD55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3,6%</w:t>
            </w:r>
          </w:p>
        </w:tc>
      </w:tr>
      <w:tr w:rsidR="00173388" w14:paraId="0157ACA2"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13E52F2"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2F00EE20"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Ourense Capital</w:t>
            </w:r>
          </w:p>
        </w:tc>
        <w:tc>
          <w:tcPr>
            <w:tcW w:w="1984" w:type="dxa"/>
            <w:vAlign w:val="bottom"/>
          </w:tcPr>
          <w:p w14:paraId="51BBFDC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1.584 €</w:t>
            </w:r>
          </w:p>
        </w:tc>
        <w:tc>
          <w:tcPr>
            <w:tcW w:w="1559" w:type="dxa"/>
            <w:vAlign w:val="bottom"/>
          </w:tcPr>
          <w:p w14:paraId="3404291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692" w:type="dxa"/>
            <w:vAlign w:val="bottom"/>
          </w:tcPr>
          <w:p w14:paraId="1EAA2B9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3,4%</w:t>
            </w:r>
          </w:p>
        </w:tc>
      </w:tr>
      <w:tr w:rsidR="00173388" w14:paraId="4FE530AE"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B8675BB"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105F473A"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984" w:type="dxa"/>
            <w:vAlign w:val="bottom"/>
          </w:tcPr>
          <w:p w14:paraId="323C353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1.379 €</w:t>
            </w:r>
          </w:p>
        </w:tc>
        <w:tc>
          <w:tcPr>
            <w:tcW w:w="1559" w:type="dxa"/>
            <w:vAlign w:val="bottom"/>
          </w:tcPr>
          <w:p w14:paraId="4AD1E5C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692" w:type="dxa"/>
            <w:vAlign w:val="bottom"/>
          </w:tcPr>
          <w:p w14:paraId="7168788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3,1%</w:t>
            </w:r>
          </w:p>
        </w:tc>
      </w:tr>
      <w:tr w:rsidR="00173388" w14:paraId="75239BF7"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6896871"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007879BE"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984" w:type="dxa"/>
            <w:vAlign w:val="bottom"/>
          </w:tcPr>
          <w:p w14:paraId="28E3147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2.017 €</w:t>
            </w:r>
          </w:p>
        </w:tc>
        <w:tc>
          <w:tcPr>
            <w:tcW w:w="1559" w:type="dxa"/>
            <w:vAlign w:val="bottom"/>
          </w:tcPr>
          <w:p w14:paraId="2A94D3A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692" w:type="dxa"/>
            <w:vAlign w:val="bottom"/>
          </w:tcPr>
          <w:p w14:paraId="2A896CE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3,0%</w:t>
            </w:r>
          </w:p>
        </w:tc>
      </w:tr>
      <w:tr w:rsidR="00173388" w14:paraId="01287869"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2234435"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vAlign w:val="bottom"/>
          </w:tcPr>
          <w:p w14:paraId="4DFC9605"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984" w:type="dxa"/>
            <w:vAlign w:val="bottom"/>
          </w:tcPr>
          <w:p w14:paraId="6E1425E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1.333 €</w:t>
            </w:r>
          </w:p>
        </w:tc>
        <w:tc>
          <w:tcPr>
            <w:tcW w:w="1559" w:type="dxa"/>
            <w:vAlign w:val="bottom"/>
          </w:tcPr>
          <w:p w14:paraId="15FE812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692" w:type="dxa"/>
            <w:vAlign w:val="bottom"/>
          </w:tcPr>
          <w:p w14:paraId="5FACBF0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2,9%</w:t>
            </w:r>
          </w:p>
        </w:tc>
      </w:tr>
      <w:tr w:rsidR="00173388" w14:paraId="02FF1A00"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8A00EF8"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7F6AE3C2"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984" w:type="dxa"/>
            <w:vAlign w:val="bottom"/>
          </w:tcPr>
          <w:p w14:paraId="42B08080"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1.606 €</w:t>
            </w:r>
          </w:p>
        </w:tc>
        <w:tc>
          <w:tcPr>
            <w:tcW w:w="1559" w:type="dxa"/>
            <w:vAlign w:val="bottom"/>
          </w:tcPr>
          <w:p w14:paraId="083E89D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692" w:type="dxa"/>
            <w:vAlign w:val="bottom"/>
          </w:tcPr>
          <w:p w14:paraId="623AC0B0"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w:t>
            </w:r>
          </w:p>
        </w:tc>
      </w:tr>
      <w:tr w:rsidR="00173388" w14:paraId="2B6D0D59"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F95215C"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672D721B"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León Capital</w:t>
            </w:r>
          </w:p>
        </w:tc>
        <w:tc>
          <w:tcPr>
            <w:tcW w:w="1984" w:type="dxa"/>
            <w:vAlign w:val="bottom"/>
          </w:tcPr>
          <w:p w14:paraId="557F62A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1.555 €</w:t>
            </w:r>
          </w:p>
        </w:tc>
        <w:tc>
          <w:tcPr>
            <w:tcW w:w="1559" w:type="dxa"/>
            <w:vAlign w:val="bottom"/>
          </w:tcPr>
          <w:p w14:paraId="12F9842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692" w:type="dxa"/>
            <w:vAlign w:val="bottom"/>
          </w:tcPr>
          <w:p w14:paraId="094EB47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w:t>
            </w:r>
          </w:p>
        </w:tc>
      </w:tr>
      <w:tr w:rsidR="00173388" w14:paraId="3749A97C"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1A5CEF3"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vAlign w:val="bottom"/>
          </w:tcPr>
          <w:p w14:paraId="2100FBEC"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984" w:type="dxa"/>
            <w:vAlign w:val="bottom"/>
          </w:tcPr>
          <w:p w14:paraId="3DCD56B0"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1.621 €</w:t>
            </w:r>
          </w:p>
        </w:tc>
        <w:tc>
          <w:tcPr>
            <w:tcW w:w="1559" w:type="dxa"/>
            <w:vAlign w:val="bottom"/>
          </w:tcPr>
          <w:p w14:paraId="0983827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692" w:type="dxa"/>
            <w:vAlign w:val="bottom"/>
          </w:tcPr>
          <w:p w14:paraId="1531EC7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r>
      <w:tr w:rsidR="00173388" w14:paraId="334ED61D"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FF7D77C"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021276EF"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984" w:type="dxa"/>
            <w:vAlign w:val="bottom"/>
          </w:tcPr>
          <w:p w14:paraId="19695BD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1.467 €</w:t>
            </w:r>
          </w:p>
        </w:tc>
        <w:tc>
          <w:tcPr>
            <w:tcW w:w="1559" w:type="dxa"/>
            <w:vAlign w:val="bottom"/>
          </w:tcPr>
          <w:p w14:paraId="79F5C0C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63F118B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2,6%</w:t>
            </w:r>
          </w:p>
        </w:tc>
      </w:tr>
      <w:tr w:rsidR="00173388" w14:paraId="326B8B4B"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278ED00"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24290A5E"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984" w:type="dxa"/>
            <w:vAlign w:val="bottom"/>
          </w:tcPr>
          <w:p w14:paraId="557F8B3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3.497 €</w:t>
            </w:r>
          </w:p>
        </w:tc>
        <w:tc>
          <w:tcPr>
            <w:tcW w:w="1559" w:type="dxa"/>
            <w:vAlign w:val="bottom"/>
          </w:tcPr>
          <w:p w14:paraId="190DB43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692" w:type="dxa"/>
            <w:vAlign w:val="bottom"/>
          </w:tcPr>
          <w:p w14:paraId="3DC7BB5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w:t>
            </w:r>
          </w:p>
        </w:tc>
      </w:tr>
      <w:tr w:rsidR="00173388" w14:paraId="296FF26D"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2CB920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36AE62A6"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984" w:type="dxa"/>
            <w:vAlign w:val="bottom"/>
          </w:tcPr>
          <w:p w14:paraId="5B0B4C0D"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1.316 €</w:t>
            </w:r>
          </w:p>
        </w:tc>
        <w:tc>
          <w:tcPr>
            <w:tcW w:w="1559" w:type="dxa"/>
            <w:vAlign w:val="bottom"/>
          </w:tcPr>
          <w:p w14:paraId="5B716F1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692" w:type="dxa"/>
            <w:vAlign w:val="bottom"/>
          </w:tcPr>
          <w:p w14:paraId="29BF42B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w:t>
            </w:r>
          </w:p>
        </w:tc>
      </w:tr>
      <w:tr w:rsidR="00173388" w14:paraId="32391F66"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B4080E"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03A5CD5E"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984" w:type="dxa"/>
            <w:vAlign w:val="bottom"/>
          </w:tcPr>
          <w:p w14:paraId="0AC43F2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4.454 €</w:t>
            </w:r>
          </w:p>
        </w:tc>
        <w:tc>
          <w:tcPr>
            <w:tcW w:w="1559" w:type="dxa"/>
            <w:vAlign w:val="bottom"/>
          </w:tcPr>
          <w:p w14:paraId="25B88BB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92" w:type="dxa"/>
            <w:vAlign w:val="bottom"/>
          </w:tcPr>
          <w:p w14:paraId="33D5F58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w:t>
            </w:r>
          </w:p>
        </w:tc>
      </w:tr>
      <w:tr w:rsidR="00173388" w14:paraId="7AE31EEE"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766059"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5C5B1D6F"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Lugo Capital</w:t>
            </w:r>
          </w:p>
        </w:tc>
        <w:tc>
          <w:tcPr>
            <w:tcW w:w="1984" w:type="dxa"/>
            <w:vAlign w:val="bottom"/>
          </w:tcPr>
          <w:p w14:paraId="2E8502C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1.397 €</w:t>
            </w:r>
          </w:p>
        </w:tc>
        <w:tc>
          <w:tcPr>
            <w:tcW w:w="1559" w:type="dxa"/>
            <w:vAlign w:val="bottom"/>
          </w:tcPr>
          <w:p w14:paraId="3FC7F21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692" w:type="dxa"/>
            <w:vAlign w:val="bottom"/>
          </w:tcPr>
          <w:p w14:paraId="749E605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w:t>
            </w:r>
          </w:p>
        </w:tc>
      </w:tr>
      <w:tr w:rsidR="00173388" w14:paraId="60E4628A"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626802D"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3E1037F5"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Valladolid Capital</w:t>
            </w:r>
          </w:p>
        </w:tc>
        <w:tc>
          <w:tcPr>
            <w:tcW w:w="1984" w:type="dxa"/>
            <w:vAlign w:val="bottom"/>
          </w:tcPr>
          <w:p w14:paraId="0F3F845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1.766 €</w:t>
            </w:r>
          </w:p>
        </w:tc>
        <w:tc>
          <w:tcPr>
            <w:tcW w:w="1559" w:type="dxa"/>
            <w:vAlign w:val="bottom"/>
          </w:tcPr>
          <w:p w14:paraId="12C53C1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692" w:type="dxa"/>
            <w:vAlign w:val="bottom"/>
          </w:tcPr>
          <w:p w14:paraId="339E746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0,8%</w:t>
            </w:r>
          </w:p>
        </w:tc>
      </w:tr>
      <w:tr w:rsidR="00173388" w14:paraId="5599FD9A"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4A54125"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42C0E954"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984" w:type="dxa"/>
            <w:vAlign w:val="bottom"/>
          </w:tcPr>
          <w:p w14:paraId="7DC420E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1.992 €</w:t>
            </w:r>
          </w:p>
        </w:tc>
        <w:tc>
          <w:tcPr>
            <w:tcW w:w="1559" w:type="dxa"/>
            <w:vAlign w:val="bottom"/>
          </w:tcPr>
          <w:p w14:paraId="682EC1D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692" w:type="dxa"/>
            <w:vAlign w:val="bottom"/>
          </w:tcPr>
          <w:p w14:paraId="64CE337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0,7%</w:t>
            </w:r>
          </w:p>
        </w:tc>
      </w:tr>
      <w:tr w:rsidR="00173388" w14:paraId="36361516"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FA2E9D2"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vAlign w:val="bottom"/>
          </w:tcPr>
          <w:p w14:paraId="77F0CDD7"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Cuenca Capital</w:t>
            </w:r>
          </w:p>
        </w:tc>
        <w:tc>
          <w:tcPr>
            <w:tcW w:w="1984" w:type="dxa"/>
            <w:vAlign w:val="bottom"/>
          </w:tcPr>
          <w:p w14:paraId="6C15A5E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1.485 €</w:t>
            </w:r>
          </w:p>
        </w:tc>
        <w:tc>
          <w:tcPr>
            <w:tcW w:w="1559" w:type="dxa"/>
            <w:vAlign w:val="bottom"/>
          </w:tcPr>
          <w:p w14:paraId="158B091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-2,4%</w:t>
            </w:r>
          </w:p>
        </w:tc>
        <w:tc>
          <w:tcPr>
            <w:tcW w:w="1692" w:type="dxa"/>
            <w:vAlign w:val="bottom"/>
          </w:tcPr>
          <w:p w14:paraId="11E9177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0,6%</w:t>
            </w:r>
          </w:p>
        </w:tc>
      </w:tr>
      <w:tr w:rsidR="00173388" w14:paraId="0DD3649A"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3D3B333"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7B8E8CEE"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984" w:type="dxa"/>
            <w:vAlign w:val="bottom"/>
          </w:tcPr>
          <w:p w14:paraId="26C18BC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2.789 €</w:t>
            </w:r>
          </w:p>
        </w:tc>
        <w:tc>
          <w:tcPr>
            <w:tcW w:w="1559" w:type="dxa"/>
            <w:vAlign w:val="bottom"/>
          </w:tcPr>
          <w:p w14:paraId="6A1B70B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0,3%</w:t>
            </w:r>
          </w:p>
        </w:tc>
        <w:tc>
          <w:tcPr>
            <w:tcW w:w="1692" w:type="dxa"/>
            <w:vAlign w:val="bottom"/>
          </w:tcPr>
          <w:p w14:paraId="39BFCAC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0,2%</w:t>
            </w:r>
          </w:p>
        </w:tc>
      </w:tr>
      <w:tr w:rsidR="00173388" w14:paraId="0290383F"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1C72AC9"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50C11565"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984" w:type="dxa"/>
            <w:vAlign w:val="bottom"/>
          </w:tcPr>
          <w:p w14:paraId="1A5E9C4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1.575 €</w:t>
            </w:r>
          </w:p>
        </w:tc>
        <w:tc>
          <w:tcPr>
            <w:tcW w:w="1559" w:type="dxa"/>
            <w:vAlign w:val="bottom"/>
          </w:tcPr>
          <w:p w14:paraId="3A9D754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-1,4%</w:t>
            </w:r>
          </w:p>
        </w:tc>
        <w:tc>
          <w:tcPr>
            <w:tcW w:w="1692" w:type="dxa"/>
            <w:vAlign w:val="bottom"/>
          </w:tcPr>
          <w:p w14:paraId="45A914D0"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0,0%</w:t>
            </w:r>
          </w:p>
        </w:tc>
      </w:tr>
      <w:tr w:rsidR="00173388" w14:paraId="3E0C2A78"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1CA83B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268" w:type="dxa"/>
            <w:vAlign w:val="bottom"/>
          </w:tcPr>
          <w:p w14:paraId="012B80CA"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984" w:type="dxa"/>
            <w:vAlign w:val="bottom"/>
          </w:tcPr>
          <w:p w14:paraId="7CF87B4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1.251 €</w:t>
            </w:r>
          </w:p>
        </w:tc>
        <w:tc>
          <w:tcPr>
            <w:tcW w:w="1559" w:type="dxa"/>
            <w:vAlign w:val="bottom"/>
          </w:tcPr>
          <w:p w14:paraId="639D5D7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0,3%</w:t>
            </w:r>
          </w:p>
        </w:tc>
        <w:tc>
          <w:tcPr>
            <w:tcW w:w="1692" w:type="dxa"/>
            <w:vAlign w:val="bottom"/>
          </w:tcPr>
          <w:p w14:paraId="271725A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-2,3%</w:t>
            </w:r>
          </w:p>
        </w:tc>
      </w:tr>
    </w:tbl>
    <w:p w14:paraId="73C61D46" w14:textId="77777777" w:rsidR="00173388"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125E04E9" w14:textId="77777777" w:rsidR="00173388"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el 82% de los 662 municipios con variación interanual analizados </w:t>
      </w:r>
      <w:r>
        <w:rPr>
          <w:rFonts w:ascii="Open Sans" w:eastAsia="Open Sans" w:hAnsi="Open Sans" w:cs="Open Sans"/>
        </w:rPr>
        <w:t xml:space="preserve">por </w:t>
      </w:r>
      <w:hyperlink r:id="rId12">
        <w:r>
          <w:rPr>
            <w:rFonts w:ascii="Open Sans" w:eastAsia="Open Sans" w:hAnsi="Open Sans" w:cs="Open Sans"/>
            <w:color w:val="0000FF"/>
            <w:u w:val="single"/>
          </w:rPr>
          <w:t>Fotocasa</w:t>
        </w:r>
      </w:hyperlink>
      <w:r>
        <w:rPr>
          <w:rFonts w:ascii="Open Sans" w:eastAsia="Open Sans" w:hAnsi="Open Sans" w:cs="Open Sans"/>
        </w:rPr>
        <w:t xml:space="preserve">. En 52 </w:t>
      </w:r>
      <w:r>
        <w:rPr>
          <w:rFonts w:ascii="Open Sans" w:eastAsia="Open Sans" w:hAnsi="Open Sans" w:cs="Open Sans"/>
          <w:color w:val="000000"/>
        </w:rPr>
        <w:t>de los municipios sube el valor interanual de la vivienda por encima del 20% y en concreto en dos de estos municipios sube por encima del 40% y son: San Miguel de Salinas con 80,2% y Santiago del Teide con 44,7%. Por otro lado, los cinco municipios con los mayores descensos son Montgat con -19,7%, Torredonjimeno con -19,6%, Pedreguer con -16,8%, Mollerussa con -12,4% y Gavà con -11,7%.</w:t>
      </w:r>
    </w:p>
    <w:p w14:paraId="3BEF2980" w14:textId="77777777" w:rsidR="00173388"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lastRenderedPageBreak/>
        <w:t>En cuanto al precio por metro cuadrado en octubre, vemos que el orden de las ciudades más caras es: Eivissa con 6.333 euros/m</w:t>
      </w:r>
      <w:r>
        <w:rPr>
          <w:rFonts w:ascii="Open Sans" w:eastAsia="Open Sans" w:hAnsi="Open Sans" w:cs="Open Sans"/>
          <w:color w:val="000000"/>
          <w:vertAlign w:val="superscript"/>
        </w:rPr>
        <w:t>2</w:t>
      </w:r>
      <w:r>
        <w:rPr>
          <w:rFonts w:ascii="Open Sans" w:eastAsia="Open Sans" w:hAnsi="Open Sans" w:cs="Open Sans"/>
          <w:color w:val="000000"/>
        </w:rPr>
        <w:t xml:space="preserve"> y Donostia - San Sebastián con 6.159 euros/m</w:t>
      </w:r>
      <w:r>
        <w:rPr>
          <w:rFonts w:ascii="Open Sans" w:eastAsia="Open Sans" w:hAnsi="Open Sans" w:cs="Open Sans"/>
          <w:color w:val="000000"/>
          <w:vertAlign w:val="superscript"/>
        </w:rPr>
        <w:t>2</w:t>
      </w:r>
      <w:r>
        <w:rPr>
          <w:rFonts w:ascii="Open Sans" w:eastAsia="Open Sans" w:hAnsi="Open Sans" w:cs="Open Sans"/>
          <w:color w:val="000000"/>
        </w:rPr>
        <w:t>. Por otro lado, los municipios más económicos son</w:t>
      </w:r>
      <w:r>
        <w:rPr>
          <w:rFonts w:ascii="Times New Roman" w:eastAsia="Times New Roman" w:hAnsi="Times New Roman" w:cs="Times New Roman"/>
          <w:color w:val="000000"/>
        </w:rPr>
        <w:t xml:space="preserve"> </w:t>
      </w:r>
      <w:r>
        <w:rPr>
          <w:rFonts w:ascii="Open Sans" w:eastAsia="Open Sans" w:hAnsi="Open Sans" w:cs="Open Sans"/>
          <w:color w:val="000000"/>
        </w:rPr>
        <w:t>Malagón con 501 euros/m</w:t>
      </w:r>
      <w:r>
        <w:rPr>
          <w:rFonts w:ascii="Open Sans" w:eastAsia="Open Sans" w:hAnsi="Open Sans" w:cs="Open Sans"/>
          <w:color w:val="000000"/>
          <w:vertAlign w:val="superscript"/>
        </w:rPr>
        <w:t>2</w:t>
      </w:r>
      <w:r>
        <w:rPr>
          <w:rFonts w:ascii="Open Sans" w:eastAsia="Open Sans" w:hAnsi="Open Sans" w:cs="Open Sans"/>
          <w:color w:val="000000"/>
        </w:rPr>
        <w:t xml:space="preserve"> y Socuéllamos con 577 euros/m</w:t>
      </w:r>
      <w:r>
        <w:rPr>
          <w:rFonts w:ascii="Open Sans" w:eastAsia="Open Sans" w:hAnsi="Open Sans" w:cs="Open Sans"/>
          <w:color w:val="000000"/>
          <w:vertAlign w:val="superscript"/>
        </w:rPr>
        <w:t>2</w:t>
      </w:r>
      <w:r>
        <w:rPr>
          <w:rFonts w:ascii="Open Sans" w:eastAsia="Open Sans" w:hAnsi="Open Sans" w:cs="Open Sans"/>
          <w:color w:val="000000"/>
        </w:rPr>
        <w:t>.</w:t>
      </w:r>
    </w:p>
    <w:p w14:paraId="6117D895" w14:textId="77777777" w:rsidR="00173388"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incremento interanual</w:t>
      </w:r>
    </w:p>
    <w:tbl>
      <w:tblPr>
        <w:tblStyle w:val="a2"/>
        <w:tblW w:w="893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43"/>
        <w:gridCol w:w="1972"/>
        <w:gridCol w:w="1855"/>
        <w:gridCol w:w="1560"/>
        <w:gridCol w:w="1701"/>
      </w:tblGrid>
      <w:tr w:rsidR="00173388" w14:paraId="15AE62D9" w14:textId="77777777" w:rsidTr="001733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ADCB819"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972" w:type="dxa"/>
            <w:vAlign w:val="center"/>
          </w:tcPr>
          <w:p w14:paraId="308F8D78" w14:textId="77777777" w:rsidR="0017338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55" w:type="dxa"/>
            <w:vAlign w:val="center"/>
          </w:tcPr>
          <w:p w14:paraId="0E330E23"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2023</w:t>
            </w:r>
          </w:p>
          <w:p w14:paraId="57B20A83"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60" w:type="dxa"/>
            <w:vAlign w:val="center"/>
          </w:tcPr>
          <w:p w14:paraId="644A2D76"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0CBEFAF6"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73388" w14:paraId="74622F56"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5E12CA2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72" w:type="dxa"/>
            <w:vAlign w:val="bottom"/>
          </w:tcPr>
          <w:p w14:paraId="11E1A079"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 Miguel de Salinas</w:t>
            </w:r>
          </w:p>
        </w:tc>
        <w:tc>
          <w:tcPr>
            <w:tcW w:w="1855" w:type="dxa"/>
            <w:vAlign w:val="bottom"/>
          </w:tcPr>
          <w:p w14:paraId="17D5E9D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2.216 €</w:t>
            </w:r>
          </w:p>
        </w:tc>
        <w:tc>
          <w:tcPr>
            <w:tcW w:w="1560" w:type="dxa"/>
            <w:vAlign w:val="bottom"/>
          </w:tcPr>
          <w:p w14:paraId="0477E90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0,1%</w:t>
            </w:r>
          </w:p>
        </w:tc>
        <w:tc>
          <w:tcPr>
            <w:tcW w:w="1701" w:type="dxa"/>
            <w:vAlign w:val="bottom"/>
          </w:tcPr>
          <w:p w14:paraId="073416F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80,2%</w:t>
            </w:r>
          </w:p>
        </w:tc>
      </w:tr>
      <w:tr w:rsidR="00173388" w14:paraId="7E8D9663"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75BEF11F"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972" w:type="dxa"/>
            <w:vAlign w:val="bottom"/>
          </w:tcPr>
          <w:p w14:paraId="39352E45"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Santiago del Teide</w:t>
            </w:r>
          </w:p>
        </w:tc>
        <w:tc>
          <w:tcPr>
            <w:tcW w:w="1855" w:type="dxa"/>
            <w:vAlign w:val="bottom"/>
          </w:tcPr>
          <w:p w14:paraId="483CD83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3.102 €</w:t>
            </w:r>
          </w:p>
        </w:tc>
        <w:tc>
          <w:tcPr>
            <w:tcW w:w="1560" w:type="dxa"/>
            <w:vAlign w:val="bottom"/>
          </w:tcPr>
          <w:p w14:paraId="613FBD4D"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701" w:type="dxa"/>
            <w:vAlign w:val="bottom"/>
          </w:tcPr>
          <w:p w14:paraId="654E0E7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44,7%</w:t>
            </w:r>
          </w:p>
        </w:tc>
      </w:tr>
      <w:tr w:rsidR="00173388" w14:paraId="71451E25"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18CF45C9"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972" w:type="dxa"/>
            <w:vAlign w:val="bottom"/>
          </w:tcPr>
          <w:p w14:paraId="62B4E032"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Guía de Isora</w:t>
            </w:r>
          </w:p>
        </w:tc>
        <w:tc>
          <w:tcPr>
            <w:tcW w:w="1855" w:type="dxa"/>
            <w:vAlign w:val="bottom"/>
          </w:tcPr>
          <w:p w14:paraId="5009D680"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3.669 €</w:t>
            </w:r>
          </w:p>
        </w:tc>
        <w:tc>
          <w:tcPr>
            <w:tcW w:w="1560" w:type="dxa"/>
            <w:vAlign w:val="bottom"/>
          </w:tcPr>
          <w:p w14:paraId="2476BB6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w:t>
            </w:r>
          </w:p>
        </w:tc>
        <w:tc>
          <w:tcPr>
            <w:tcW w:w="1701" w:type="dxa"/>
            <w:vAlign w:val="bottom"/>
          </w:tcPr>
          <w:p w14:paraId="7A001C2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39,1%</w:t>
            </w:r>
          </w:p>
        </w:tc>
      </w:tr>
      <w:tr w:rsidR="00173388" w14:paraId="7B61F4EE"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03A255C6"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972" w:type="dxa"/>
            <w:vAlign w:val="bottom"/>
          </w:tcPr>
          <w:p w14:paraId="05C148CD"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Puerto de la Cruz</w:t>
            </w:r>
          </w:p>
        </w:tc>
        <w:tc>
          <w:tcPr>
            <w:tcW w:w="1855" w:type="dxa"/>
            <w:vAlign w:val="bottom"/>
          </w:tcPr>
          <w:p w14:paraId="631298F7"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2.804 €</w:t>
            </w:r>
          </w:p>
        </w:tc>
        <w:tc>
          <w:tcPr>
            <w:tcW w:w="1560" w:type="dxa"/>
            <w:vAlign w:val="bottom"/>
          </w:tcPr>
          <w:p w14:paraId="5B833A4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1701" w:type="dxa"/>
            <w:vAlign w:val="bottom"/>
          </w:tcPr>
          <w:p w14:paraId="545FD457"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38,7%</w:t>
            </w:r>
          </w:p>
        </w:tc>
      </w:tr>
      <w:tr w:rsidR="00173388" w14:paraId="6414C703"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77FE3ACE"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972" w:type="dxa"/>
            <w:vAlign w:val="bottom"/>
          </w:tcPr>
          <w:p w14:paraId="6F22E3D9"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Cúllar Vega</w:t>
            </w:r>
          </w:p>
        </w:tc>
        <w:tc>
          <w:tcPr>
            <w:tcW w:w="1855" w:type="dxa"/>
            <w:vAlign w:val="bottom"/>
          </w:tcPr>
          <w:p w14:paraId="288BF52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1.464 €</w:t>
            </w:r>
          </w:p>
        </w:tc>
        <w:tc>
          <w:tcPr>
            <w:tcW w:w="1560" w:type="dxa"/>
            <w:vAlign w:val="bottom"/>
          </w:tcPr>
          <w:p w14:paraId="1C4842E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9,8%</w:t>
            </w:r>
          </w:p>
        </w:tc>
        <w:tc>
          <w:tcPr>
            <w:tcW w:w="1701" w:type="dxa"/>
            <w:vAlign w:val="bottom"/>
          </w:tcPr>
          <w:p w14:paraId="1B3BE6D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38,1%</w:t>
            </w:r>
          </w:p>
        </w:tc>
      </w:tr>
      <w:tr w:rsidR="00173388" w14:paraId="29A02722"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0C239B4E"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972" w:type="dxa"/>
            <w:vAlign w:val="bottom"/>
          </w:tcPr>
          <w:p w14:paraId="4D09B150"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Vélez de Benaudalla</w:t>
            </w:r>
          </w:p>
        </w:tc>
        <w:tc>
          <w:tcPr>
            <w:tcW w:w="1855" w:type="dxa"/>
            <w:vAlign w:val="bottom"/>
          </w:tcPr>
          <w:p w14:paraId="07E429D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1.301 €</w:t>
            </w:r>
          </w:p>
        </w:tc>
        <w:tc>
          <w:tcPr>
            <w:tcW w:w="1560" w:type="dxa"/>
            <w:vAlign w:val="bottom"/>
          </w:tcPr>
          <w:p w14:paraId="57253C5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1701" w:type="dxa"/>
            <w:vAlign w:val="bottom"/>
          </w:tcPr>
          <w:p w14:paraId="4A89F59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38,0%</w:t>
            </w:r>
          </w:p>
        </w:tc>
      </w:tr>
      <w:tr w:rsidR="00173388" w14:paraId="5BE56621"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000A0571"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972" w:type="dxa"/>
            <w:vAlign w:val="bottom"/>
          </w:tcPr>
          <w:p w14:paraId="1B7F7B79"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Adeje</w:t>
            </w:r>
          </w:p>
        </w:tc>
        <w:tc>
          <w:tcPr>
            <w:tcW w:w="1855" w:type="dxa"/>
            <w:vAlign w:val="bottom"/>
          </w:tcPr>
          <w:p w14:paraId="04B0860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4.092 €</w:t>
            </w:r>
          </w:p>
        </w:tc>
        <w:tc>
          <w:tcPr>
            <w:tcW w:w="1560" w:type="dxa"/>
            <w:vAlign w:val="bottom"/>
          </w:tcPr>
          <w:p w14:paraId="0311D2E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701" w:type="dxa"/>
            <w:vAlign w:val="bottom"/>
          </w:tcPr>
          <w:p w14:paraId="5DD5533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36,6%</w:t>
            </w:r>
          </w:p>
        </w:tc>
      </w:tr>
      <w:tr w:rsidR="00173388" w14:paraId="17AB4858"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0A8BDCF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972" w:type="dxa"/>
            <w:vAlign w:val="bottom"/>
          </w:tcPr>
          <w:p w14:paraId="32A92642"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Arona</w:t>
            </w:r>
          </w:p>
        </w:tc>
        <w:tc>
          <w:tcPr>
            <w:tcW w:w="1855" w:type="dxa"/>
            <w:vAlign w:val="bottom"/>
          </w:tcPr>
          <w:p w14:paraId="1E2D77BD"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3.134 €</w:t>
            </w:r>
          </w:p>
        </w:tc>
        <w:tc>
          <w:tcPr>
            <w:tcW w:w="1560" w:type="dxa"/>
            <w:vAlign w:val="bottom"/>
          </w:tcPr>
          <w:p w14:paraId="5157454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701" w:type="dxa"/>
            <w:vAlign w:val="bottom"/>
          </w:tcPr>
          <w:p w14:paraId="1C08C647"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36,5%</w:t>
            </w:r>
          </w:p>
        </w:tc>
      </w:tr>
      <w:tr w:rsidR="00173388" w14:paraId="5300A251"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21031470"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972" w:type="dxa"/>
            <w:vAlign w:val="bottom"/>
          </w:tcPr>
          <w:p w14:paraId="0E33D692"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Tavernes Blanques</w:t>
            </w:r>
          </w:p>
        </w:tc>
        <w:tc>
          <w:tcPr>
            <w:tcW w:w="1855" w:type="dxa"/>
            <w:vAlign w:val="bottom"/>
          </w:tcPr>
          <w:p w14:paraId="75BB564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1.886 €</w:t>
            </w:r>
          </w:p>
        </w:tc>
        <w:tc>
          <w:tcPr>
            <w:tcW w:w="1560" w:type="dxa"/>
            <w:vAlign w:val="bottom"/>
          </w:tcPr>
          <w:p w14:paraId="2EE91D2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c>
          <w:tcPr>
            <w:tcW w:w="1701" w:type="dxa"/>
            <w:vAlign w:val="bottom"/>
          </w:tcPr>
          <w:p w14:paraId="4010790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35,9%</w:t>
            </w:r>
          </w:p>
        </w:tc>
      </w:tr>
      <w:tr w:rsidR="00173388" w14:paraId="3733AEA4"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5A5FD8E9"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972" w:type="dxa"/>
            <w:vAlign w:val="bottom"/>
          </w:tcPr>
          <w:p w14:paraId="2A115A88"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Huétor Vega</w:t>
            </w:r>
          </w:p>
        </w:tc>
        <w:tc>
          <w:tcPr>
            <w:tcW w:w="1855" w:type="dxa"/>
            <w:vAlign w:val="bottom"/>
          </w:tcPr>
          <w:p w14:paraId="76CADED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1.910 €</w:t>
            </w:r>
          </w:p>
        </w:tc>
        <w:tc>
          <w:tcPr>
            <w:tcW w:w="1560" w:type="dxa"/>
            <w:vAlign w:val="bottom"/>
          </w:tcPr>
          <w:p w14:paraId="5FD4746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w:t>
            </w:r>
          </w:p>
        </w:tc>
        <w:tc>
          <w:tcPr>
            <w:tcW w:w="1701" w:type="dxa"/>
            <w:vAlign w:val="bottom"/>
          </w:tcPr>
          <w:p w14:paraId="7481EB7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35,6%</w:t>
            </w:r>
          </w:p>
        </w:tc>
      </w:tr>
    </w:tbl>
    <w:p w14:paraId="54BFA537" w14:textId="77777777" w:rsidR="00173388"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descenso interanual</w:t>
      </w:r>
    </w:p>
    <w:tbl>
      <w:tblPr>
        <w:tblStyle w:val="a3"/>
        <w:tblW w:w="893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1"/>
        <w:gridCol w:w="2127"/>
        <w:gridCol w:w="1701"/>
        <w:gridCol w:w="1701"/>
        <w:gridCol w:w="1701"/>
      </w:tblGrid>
      <w:tr w:rsidR="00173388" w14:paraId="530ED056" w14:textId="77777777" w:rsidTr="001733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7320E70"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127" w:type="dxa"/>
            <w:vAlign w:val="center"/>
          </w:tcPr>
          <w:p w14:paraId="3660C843" w14:textId="77777777" w:rsidR="0017338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vAlign w:val="center"/>
          </w:tcPr>
          <w:p w14:paraId="39EF898F"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2023</w:t>
            </w:r>
          </w:p>
          <w:p w14:paraId="357CF6E9"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701" w:type="dxa"/>
            <w:vAlign w:val="center"/>
          </w:tcPr>
          <w:p w14:paraId="161918D2"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5BD9F166"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73388" w14:paraId="49D6E8F8"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7A5B5DDD"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7" w:type="dxa"/>
            <w:vAlign w:val="bottom"/>
          </w:tcPr>
          <w:p w14:paraId="1E2CD356"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Montgat</w:t>
            </w:r>
          </w:p>
        </w:tc>
        <w:tc>
          <w:tcPr>
            <w:tcW w:w="1701" w:type="dxa"/>
            <w:vAlign w:val="bottom"/>
          </w:tcPr>
          <w:p w14:paraId="38B43B0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3.285 €</w:t>
            </w:r>
          </w:p>
        </w:tc>
        <w:tc>
          <w:tcPr>
            <w:tcW w:w="1701" w:type="dxa"/>
            <w:vAlign w:val="bottom"/>
          </w:tcPr>
          <w:p w14:paraId="7549122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-2,6%</w:t>
            </w:r>
          </w:p>
        </w:tc>
        <w:tc>
          <w:tcPr>
            <w:tcW w:w="1701" w:type="dxa"/>
            <w:vAlign w:val="bottom"/>
          </w:tcPr>
          <w:p w14:paraId="0F4AF64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-19,7%</w:t>
            </w:r>
          </w:p>
        </w:tc>
      </w:tr>
      <w:tr w:rsidR="00173388" w14:paraId="3BD9B68F"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54B45081"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127" w:type="dxa"/>
            <w:vAlign w:val="bottom"/>
          </w:tcPr>
          <w:p w14:paraId="2481399C"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Torredonjimeno</w:t>
            </w:r>
          </w:p>
        </w:tc>
        <w:tc>
          <w:tcPr>
            <w:tcW w:w="1701" w:type="dxa"/>
            <w:vAlign w:val="bottom"/>
          </w:tcPr>
          <w:p w14:paraId="0C8BD9D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827 €</w:t>
            </w:r>
          </w:p>
        </w:tc>
        <w:tc>
          <w:tcPr>
            <w:tcW w:w="1701" w:type="dxa"/>
            <w:vAlign w:val="bottom"/>
          </w:tcPr>
          <w:p w14:paraId="6C318BA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2,3%</w:t>
            </w:r>
          </w:p>
        </w:tc>
        <w:tc>
          <w:tcPr>
            <w:tcW w:w="1701" w:type="dxa"/>
            <w:vAlign w:val="bottom"/>
          </w:tcPr>
          <w:p w14:paraId="43C6C75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-19,6%</w:t>
            </w:r>
          </w:p>
        </w:tc>
      </w:tr>
      <w:tr w:rsidR="00173388" w14:paraId="016A1A1F" w14:textId="77777777" w:rsidTr="0017338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A3D6C02"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7" w:type="dxa"/>
            <w:vAlign w:val="bottom"/>
          </w:tcPr>
          <w:p w14:paraId="11655D53"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Pedreguer</w:t>
            </w:r>
          </w:p>
        </w:tc>
        <w:tc>
          <w:tcPr>
            <w:tcW w:w="1701" w:type="dxa"/>
            <w:vAlign w:val="bottom"/>
          </w:tcPr>
          <w:p w14:paraId="78B9EF6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1.508 €</w:t>
            </w:r>
          </w:p>
        </w:tc>
        <w:tc>
          <w:tcPr>
            <w:tcW w:w="1701" w:type="dxa"/>
            <w:vAlign w:val="bottom"/>
          </w:tcPr>
          <w:p w14:paraId="1022096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c>
          <w:tcPr>
            <w:tcW w:w="1701" w:type="dxa"/>
            <w:vAlign w:val="bottom"/>
          </w:tcPr>
          <w:p w14:paraId="04CE825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-16,8%</w:t>
            </w:r>
          </w:p>
        </w:tc>
      </w:tr>
      <w:tr w:rsidR="00173388" w14:paraId="7481A0D3"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5E78CFAE"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127" w:type="dxa"/>
            <w:vAlign w:val="bottom"/>
          </w:tcPr>
          <w:p w14:paraId="5BC43DCC"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Mollerussa</w:t>
            </w:r>
          </w:p>
        </w:tc>
        <w:tc>
          <w:tcPr>
            <w:tcW w:w="1701" w:type="dxa"/>
            <w:vAlign w:val="bottom"/>
          </w:tcPr>
          <w:p w14:paraId="12839C8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900 €</w:t>
            </w:r>
          </w:p>
        </w:tc>
        <w:tc>
          <w:tcPr>
            <w:tcW w:w="1701" w:type="dxa"/>
            <w:vAlign w:val="bottom"/>
          </w:tcPr>
          <w:p w14:paraId="5E1852E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1701" w:type="dxa"/>
            <w:vAlign w:val="bottom"/>
          </w:tcPr>
          <w:p w14:paraId="6630AD9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-12,4%</w:t>
            </w:r>
          </w:p>
        </w:tc>
      </w:tr>
      <w:tr w:rsidR="00173388" w14:paraId="3639E34B"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C03A65B"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7" w:type="dxa"/>
            <w:vAlign w:val="bottom"/>
          </w:tcPr>
          <w:p w14:paraId="2311B386"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Gavà</w:t>
            </w:r>
          </w:p>
        </w:tc>
        <w:tc>
          <w:tcPr>
            <w:tcW w:w="1701" w:type="dxa"/>
            <w:vAlign w:val="bottom"/>
          </w:tcPr>
          <w:p w14:paraId="7920D39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2.965 €</w:t>
            </w:r>
          </w:p>
        </w:tc>
        <w:tc>
          <w:tcPr>
            <w:tcW w:w="1701" w:type="dxa"/>
            <w:vAlign w:val="bottom"/>
          </w:tcPr>
          <w:p w14:paraId="7B619B9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1701" w:type="dxa"/>
            <w:vAlign w:val="bottom"/>
          </w:tcPr>
          <w:p w14:paraId="6A9A22E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-11,7%</w:t>
            </w:r>
          </w:p>
        </w:tc>
      </w:tr>
      <w:tr w:rsidR="00173388" w14:paraId="04A7C857"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5D172E2"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127" w:type="dxa"/>
            <w:vAlign w:val="bottom"/>
          </w:tcPr>
          <w:p w14:paraId="2F31429C"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Lebrija</w:t>
            </w:r>
          </w:p>
        </w:tc>
        <w:tc>
          <w:tcPr>
            <w:tcW w:w="1701" w:type="dxa"/>
            <w:vAlign w:val="bottom"/>
          </w:tcPr>
          <w:p w14:paraId="0FD533D7"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774 €</w:t>
            </w:r>
          </w:p>
        </w:tc>
        <w:tc>
          <w:tcPr>
            <w:tcW w:w="1701" w:type="dxa"/>
            <w:vAlign w:val="bottom"/>
          </w:tcPr>
          <w:p w14:paraId="0132786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-4,6%</w:t>
            </w:r>
          </w:p>
        </w:tc>
        <w:tc>
          <w:tcPr>
            <w:tcW w:w="1701" w:type="dxa"/>
            <w:vAlign w:val="bottom"/>
          </w:tcPr>
          <w:p w14:paraId="0842C5B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-9,5%</w:t>
            </w:r>
          </w:p>
        </w:tc>
      </w:tr>
      <w:tr w:rsidR="00173388" w14:paraId="794FB6DC"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33BD5BD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127" w:type="dxa"/>
            <w:vAlign w:val="bottom"/>
          </w:tcPr>
          <w:p w14:paraId="0278A847"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Arroyo de la Encomienda</w:t>
            </w:r>
          </w:p>
        </w:tc>
        <w:tc>
          <w:tcPr>
            <w:tcW w:w="1701" w:type="dxa"/>
            <w:vAlign w:val="bottom"/>
          </w:tcPr>
          <w:p w14:paraId="69DC55D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1.683 €</w:t>
            </w:r>
          </w:p>
        </w:tc>
        <w:tc>
          <w:tcPr>
            <w:tcW w:w="1701" w:type="dxa"/>
            <w:vAlign w:val="bottom"/>
          </w:tcPr>
          <w:p w14:paraId="44D6EBF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701" w:type="dxa"/>
            <w:vAlign w:val="bottom"/>
          </w:tcPr>
          <w:p w14:paraId="042778B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-9,4%</w:t>
            </w:r>
          </w:p>
        </w:tc>
      </w:tr>
      <w:tr w:rsidR="00173388" w14:paraId="28759912"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02270BB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7" w:type="dxa"/>
            <w:vAlign w:val="bottom"/>
          </w:tcPr>
          <w:p w14:paraId="2EF90D46"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Almenara</w:t>
            </w:r>
          </w:p>
        </w:tc>
        <w:tc>
          <w:tcPr>
            <w:tcW w:w="1701" w:type="dxa"/>
            <w:vAlign w:val="bottom"/>
          </w:tcPr>
          <w:p w14:paraId="237F0D3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1.213 €</w:t>
            </w:r>
          </w:p>
        </w:tc>
        <w:tc>
          <w:tcPr>
            <w:tcW w:w="1701" w:type="dxa"/>
            <w:vAlign w:val="bottom"/>
          </w:tcPr>
          <w:p w14:paraId="5C2A350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5A41C6D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-9,4%</w:t>
            </w:r>
          </w:p>
        </w:tc>
      </w:tr>
      <w:tr w:rsidR="00173388" w14:paraId="20065C93"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427E0A2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127" w:type="dxa"/>
            <w:vAlign w:val="bottom"/>
          </w:tcPr>
          <w:p w14:paraId="78583FFF"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Arrasate / Mondragón</w:t>
            </w:r>
          </w:p>
        </w:tc>
        <w:tc>
          <w:tcPr>
            <w:tcW w:w="1701" w:type="dxa"/>
            <w:vAlign w:val="bottom"/>
          </w:tcPr>
          <w:p w14:paraId="6C9C24E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2.217 €</w:t>
            </w:r>
          </w:p>
        </w:tc>
        <w:tc>
          <w:tcPr>
            <w:tcW w:w="1701" w:type="dxa"/>
            <w:vAlign w:val="bottom"/>
          </w:tcPr>
          <w:p w14:paraId="3D418BB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701" w:type="dxa"/>
            <w:vAlign w:val="bottom"/>
          </w:tcPr>
          <w:p w14:paraId="1699A97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-9,2%</w:t>
            </w:r>
          </w:p>
        </w:tc>
      </w:tr>
      <w:tr w:rsidR="00173388" w14:paraId="60AA63D0"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F1A24EE"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7" w:type="dxa"/>
            <w:vAlign w:val="bottom"/>
          </w:tcPr>
          <w:p w14:paraId="19079AC6"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Mataró</w:t>
            </w:r>
          </w:p>
        </w:tc>
        <w:tc>
          <w:tcPr>
            <w:tcW w:w="1701" w:type="dxa"/>
            <w:vAlign w:val="bottom"/>
          </w:tcPr>
          <w:p w14:paraId="53C96F6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2.211 €</w:t>
            </w:r>
          </w:p>
        </w:tc>
        <w:tc>
          <w:tcPr>
            <w:tcW w:w="1701" w:type="dxa"/>
            <w:vAlign w:val="bottom"/>
          </w:tcPr>
          <w:p w14:paraId="71C2A0B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1701" w:type="dxa"/>
            <w:vAlign w:val="bottom"/>
          </w:tcPr>
          <w:p w14:paraId="529CB3C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-8,7%</w:t>
            </w:r>
          </w:p>
        </w:tc>
      </w:tr>
    </w:tbl>
    <w:p w14:paraId="03C40014" w14:textId="77777777" w:rsidR="00173388" w:rsidRDefault="00000000">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 xml:space="preserve">Municipios con mayor precio </w:t>
      </w:r>
    </w:p>
    <w:tbl>
      <w:tblPr>
        <w:tblStyle w:val="a4"/>
        <w:tblW w:w="893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268"/>
        <w:gridCol w:w="1701"/>
        <w:gridCol w:w="1701"/>
        <w:gridCol w:w="1701"/>
      </w:tblGrid>
      <w:tr w:rsidR="00173388" w14:paraId="37B4144A" w14:textId="77777777" w:rsidTr="00173388">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143A6C2"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6B610963" w14:textId="77777777" w:rsidR="0017338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vAlign w:val="center"/>
          </w:tcPr>
          <w:p w14:paraId="04B1FB8D"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2023</w:t>
            </w:r>
          </w:p>
          <w:p w14:paraId="3B0C08F2"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701" w:type="dxa"/>
            <w:vAlign w:val="center"/>
          </w:tcPr>
          <w:p w14:paraId="57BFF2A5"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79CC8FC3"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73388" w14:paraId="4E05DA3F"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27B3CD1"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1CD8E0EA"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Eivissa</w:t>
            </w:r>
          </w:p>
        </w:tc>
        <w:tc>
          <w:tcPr>
            <w:tcW w:w="1701" w:type="dxa"/>
            <w:vAlign w:val="bottom"/>
          </w:tcPr>
          <w:p w14:paraId="4739335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6.333 €</w:t>
            </w:r>
          </w:p>
        </w:tc>
        <w:tc>
          <w:tcPr>
            <w:tcW w:w="1701" w:type="dxa"/>
            <w:vAlign w:val="bottom"/>
          </w:tcPr>
          <w:p w14:paraId="7872A11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5,2%</w:t>
            </w:r>
          </w:p>
        </w:tc>
        <w:tc>
          <w:tcPr>
            <w:tcW w:w="1701" w:type="dxa"/>
            <w:vAlign w:val="bottom"/>
          </w:tcPr>
          <w:p w14:paraId="609BA49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19,3%</w:t>
            </w:r>
          </w:p>
        </w:tc>
      </w:tr>
      <w:tr w:rsidR="00173388" w14:paraId="2417AB83"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1926EDD"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79B3F52A"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701" w:type="dxa"/>
            <w:vAlign w:val="bottom"/>
          </w:tcPr>
          <w:p w14:paraId="07D14725"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6.159 €</w:t>
            </w:r>
          </w:p>
        </w:tc>
        <w:tc>
          <w:tcPr>
            <w:tcW w:w="1701" w:type="dxa"/>
            <w:vAlign w:val="bottom"/>
          </w:tcPr>
          <w:p w14:paraId="02A305B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w:t>
            </w:r>
          </w:p>
        </w:tc>
        <w:tc>
          <w:tcPr>
            <w:tcW w:w="1701" w:type="dxa"/>
            <w:vAlign w:val="bottom"/>
          </w:tcPr>
          <w:p w14:paraId="431F554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8,4%</w:t>
            </w:r>
          </w:p>
        </w:tc>
      </w:tr>
      <w:tr w:rsidR="00173388" w14:paraId="0CF540D2"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1B90D7"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2B905030"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Eulària des Riu</w:t>
            </w:r>
          </w:p>
        </w:tc>
        <w:tc>
          <w:tcPr>
            <w:tcW w:w="1701" w:type="dxa"/>
            <w:vAlign w:val="bottom"/>
          </w:tcPr>
          <w:p w14:paraId="5A61113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5.981 €</w:t>
            </w:r>
          </w:p>
        </w:tc>
        <w:tc>
          <w:tcPr>
            <w:tcW w:w="1701" w:type="dxa"/>
            <w:vAlign w:val="bottom"/>
          </w:tcPr>
          <w:p w14:paraId="58DF15C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2,3%</w:t>
            </w:r>
          </w:p>
        </w:tc>
        <w:tc>
          <w:tcPr>
            <w:tcW w:w="1701" w:type="dxa"/>
            <w:vAlign w:val="bottom"/>
          </w:tcPr>
          <w:p w14:paraId="0153F54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173388" w14:paraId="5AC5C1AD"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7C46938"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05055FC7"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Moraleja</w:t>
            </w:r>
          </w:p>
        </w:tc>
        <w:tc>
          <w:tcPr>
            <w:tcW w:w="1701" w:type="dxa"/>
            <w:vAlign w:val="bottom"/>
          </w:tcPr>
          <w:p w14:paraId="3A38099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5.611 €</w:t>
            </w:r>
          </w:p>
        </w:tc>
        <w:tc>
          <w:tcPr>
            <w:tcW w:w="1701" w:type="dxa"/>
            <w:vAlign w:val="bottom"/>
          </w:tcPr>
          <w:p w14:paraId="12D4DDD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0,1%</w:t>
            </w:r>
          </w:p>
        </w:tc>
        <w:tc>
          <w:tcPr>
            <w:tcW w:w="1701" w:type="dxa"/>
            <w:vAlign w:val="bottom"/>
          </w:tcPr>
          <w:p w14:paraId="0B4E6D5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r>
      <w:tr w:rsidR="00173388" w14:paraId="415C7A83"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FA3FB96"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00F79F5C"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Calvià</w:t>
            </w:r>
          </w:p>
        </w:tc>
        <w:tc>
          <w:tcPr>
            <w:tcW w:w="1701" w:type="dxa"/>
            <w:vAlign w:val="bottom"/>
          </w:tcPr>
          <w:p w14:paraId="36A9354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5.604 €</w:t>
            </w:r>
          </w:p>
        </w:tc>
        <w:tc>
          <w:tcPr>
            <w:tcW w:w="1701" w:type="dxa"/>
            <w:vAlign w:val="bottom"/>
          </w:tcPr>
          <w:p w14:paraId="146CFE9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w:t>
            </w:r>
          </w:p>
        </w:tc>
        <w:tc>
          <w:tcPr>
            <w:tcW w:w="1701" w:type="dxa"/>
            <w:vAlign w:val="bottom"/>
          </w:tcPr>
          <w:p w14:paraId="346FD57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12,8%</w:t>
            </w:r>
          </w:p>
        </w:tc>
      </w:tr>
      <w:tr w:rsidR="00173388" w14:paraId="368805DC"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3D4D659"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672FD73E"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Andratx</w:t>
            </w:r>
          </w:p>
        </w:tc>
        <w:tc>
          <w:tcPr>
            <w:tcW w:w="1701" w:type="dxa"/>
            <w:vAlign w:val="bottom"/>
          </w:tcPr>
          <w:p w14:paraId="3161473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5.595 €</w:t>
            </w:r>
          </w:p>
        </w:tc>
        <w:tc>
          <w:tcPr>
            <w:tcW w:w="1701" w:type="dxa"/>
            <w:vAlign w:val="bottom"/>
          </w:tcPr>
          <w:p w14:paraId="7BF676E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-6,4%</w:t>
            </w:r>
          </w:p>
        </w:tc>
        <w:tc>
          <w:tcPr>
            <w:tcW w:w="1701" w:type="dxa"/>
          </w:tcPr>
          <w:p w14:paraId="393B646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173388" w14:paraId="2748DB51"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B558A1D"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3BA02F0F"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Josep de sa Talaia</w:t>
            </w:r>
          </w:p>
        </w:tc>
        <w:tc>
          <w:tcPr>
            <w:tcW w:w="1701" w:type="dxa"/>
            <w:vAlign w:val="bottom"/>
          </w:tcPr>
          <w:p w14:paraId="0B3A38F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5.383 €</w:t>
            </w:r>
          </w:p>
        </w:tc>
        <w:tc>
          <w:tcPr>
            <w:tcW w:w="1701" w:type="dxa"/>
            <w:vAlign w:val="bottom"/>
          </w:tcPr>
          <w:p w14:paraId="53A7AEB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701" w:type="dxa"/>
          </w:tcPr>
          <w:p w14:paraId="62E5DC7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w:t>
            </w:r>
          </w:p>
        </w:tc>
      </w:tr>
      <w:tr w:rsidR="00173388" w14:paraId="7899E126"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1126A79"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2A8B78B4"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Zarautz</w:t>
            </w:r>
          </w:p>
        </w:tc>
        <w:tc>
          <w:tcPr>
            <w:tcW w:w="1701" w:type="dxa"/>
            <w:vAlign w:val="bottom"/>
          </w:tcPr>
          <w:p w14:paraId="43A2559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5.315 €</w:t>
            </w:r>
          </w:p>
        </w:tc>
        <w:tc>
          <w:tcPr>
            <w:tcW w:w="1701" w:type="dxa"/>
            <w:vAlign w:val="bottom"/>
          </w:tcPr>
          <w:p w14:paraId="45B9CD7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701" w:type="dxa"/>
          </w:tcPr>
          <w:p w14:paraId="040CC2CD"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w:t>
            </w:r>
          </w:p>
        </w:tc>
      </w:tr>
      <w:tr w:rsidR="00173388" w14:paraId="610091D4" w14:textId="77777777" w:rsidTr="001733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25F753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632106D0" w14:textId="77777777" w:rsidR="0017338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Ojén</w:t>
            </w:r>
          </w:p>
        </w:tc>
        <w:tc>
          <w:tcPr>
            <w:tcW w:w="1701" w:type="dxa"/>
            <w:vAlign w:val="bottom"/>
          </w:tcPr>
          <w:p w14:paraId="050F441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5.220 €</w:t>
            </w:r>
          </w:p>
        </w:tc>
        <w:tc>
          <w:tcPr>
            <w:tcW w:w="1701" w:type="dxa"/>
            <w:vAlign w:val="bottom"/>
          </w:tcPr>
          <w:p w14:paraId="35B4CB40"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7,5%</w:t>
            </w:r>
          </w:p>
        </w:tc>
        <w:tc>
          <w:tcPr>
            <w:tcW w:w="1701" w:type="dxa"/>
          </w:tcPr>
          <w:p w14:paraId="73E6315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173388" w14:paraId="6A385709" w14:textId="77777777" w:rsidTr="001733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DE75225"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5E47575E" w14:textId="77777777" w:rsidR="0017338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Cugat del Vallès</w:t>
            </w:r>
          </w:p>
        </w:tc>
        <w:tc>
          <w:tcPr>
            <w:tcW w:w="1701" w:type="dxa"/>
            <w:vAlign w:val="bottom"/>
          </w:tcPr>
          <w:p w14:paraId="71EF89C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5.067 €</w:t>
            </w:r>
          </w:p>
        </w:tc>
        <w:tc>
          <w:tcPr>
            <w:tcW w:w="1701" w:type="dxa"/>
            <w:vAlign w:val="bottom"/>
          </w:tcPr>
          <w:p w14:paraId="0D85DFA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w:t>
            </w:r>
          </w:p>
        </w:tc>
        <w:tc>
          <w:tcPr>
            <w:tcW w:w="1701" w:type="dxa"/>
            <w:vAlign w:val="bottom"/>
          </w:tcPr>
          <w:p w14:paraId="63E1D86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11,2%</w:t>
            </w:r>
          </w:p>
        </w:tc>
      </w:tr>
    </w:tbl>
    <w:p w14:paraId="0E6FF021" w14:textId="77777777" w:rsidR="00173388"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w:t>
      </w:r>
    </w:p>
    <w:p w14:paraId="775BDF20" w14:textId="77777777" w:rsidR="00173388"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19 de los 21 distritos con variación interanual analizados por </w:t>
      </w:r>
      <w:hyperlink r:id="rId13">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Los cuatro incrementos de la vivienda más acusados corresponden a los distritos de Centro con 17,2%, Usera con 15,7%, Tetuán con 13,1% y Villa de Vallecas con 10,8%. Por otro lado, los dos distritos en el que desciende el precio de la vivienda interanual en octubre son Puente de Vallecas con -1,3% y Barajas con -0,1%.</w:t>
      </w:r>
    </w:p>
    <w:p w14:paraId="1A8BD739" w14:textId="77777777" w:rsidR="00173388" w:rsidRDefault="00173388">
      <w:pPr>
        <w:spacing w:line="276" w:lineRule="auto"/>
        <w:jc w:val="both"/>
        <w:rPr>
          <w:rFonts w:ascii="Open Sans" w:eastAsia="Open Sans" w:hAnsi="Open Sans" w:cs="Open Sans"/>
          <w:color w:val="000000"/>
        </w:rPr>
      </w:pPr>
    </w:p>
    <w:p w14:paraId="01CC5E48" w14:textId="77777777" w:rsidR="00173388"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octubre, vemos que los tres distritos más caros son Barrio de Salamanca con 7.610 euros/m</w:t>
      </w:r>
      <w:r>
        <w:rPr>
          <w:rFonts w:ascii="Open Sans" w:eastAsia="Open Sans" w:hAnsi="Open Sans" w:cs="Open Sans"/>
          <w:color w:val="000000"/>
          <w:vertAlign w:val="superscript"/>
        </w:rPr>
        <w:t>2</w:t>
      </w:r>
      <w:r>
        <w:rPr>
          <w:rFonts w:ascii="Open Sans" w:eastAsia="Open Sans" w:hAnsi="Open Sans" w:cs="Open Sans"/>
          <w:color w:val="000000"/>
        </w:rPr>
        <w:t>, Centro con 6.585 euros/m</w:t>
      </w:r>
      <w:r>
        <w:rPr>
          <w:rFonts w:ascii="Open Sans" w:eastAsia="Open Sans" w:hAnsi="Open Sans" w:cs="Open Sans"/>
          <w:color w:val="000000"/>
          <w:vertAlign w:val="superscript"/>
        </w:rPr>
        <w:t xml:space="preserve">2 </w:t>
      </w:r>
      <w:r>
        <w:rPr>
          <w:rFonts w:ascii="Open Sans" w:eastAsia="Open Sans" w:hAnsi="Open Sans" w:cs="Open Sans"/>
          <w:color w:val="000000"/>
        </w:rPr>
        <w:t>y Chamberí con 6.314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Villaverde con 1.982 euros/m</w:t>
      </w:r>
      <w:r>
        <w:rPr>
          <w:rFonts w:ascii="Open Sans" w:eastAsia="Open Sans" w:hAnsi="Open Sans" w:cs="Open Sans"/>
          <w:color w:val="000000"/>
          <w:vertAlign w:val="superscript"/>
        </w:rPr>
        <w:t>2</w:t>
      </w:r>
      <w:r>
        <w:rPr>
          <w:rFonts w:ascii="Open Sans" w:eastAsia="Open Sans" w:hAnsi="Open Sans" w:cs="Open Sans"/>
          <w:color w:val="000000"/>
        </w:rPr>
        <w:t>, Puente de Vallecas con 2.422 euros/m</w:t>
      </w:r>
      <w:r>
        <w:rPr>
          <w:rFonts w:ascii="Open Sans" w:eastAsia="Open Sans" w:hAnsi="Open Sans" w:cs="Open Sans"/>
          <w:color w:val="000000"/>
          <w:vertAlign w:val="superscript"/>
        </w:rPr>
        <w:t>2</w:t>
      </w:r>
      <w:r>
        <w:rPr>
          <w:rFonts w:ascii="Open Sans" w:eastAsia="Open Sans" w:hAnsi="Open Sans" w:cs="Open Sans"/>
          <w:color w:val="000000"/>
        </w:rPr>
        <w:t xml:space="preserve"> y Carabanchel con 2.579 euros/m</w:t>
      </w:r>
      <w:r>
        <w:rPr>
          <w:rFonts w:ascii="Open Sans" w:eastAsia="Open Sans" w:hAnsi="Open Sans" w:cs="Open Sans"/>
          <w:color w:val="000000"/>
          <w:vertAlign w:val="superscript"/>
        </w:rPr>
        <w:t>2</w:t>
      </w:r>
      <w:r>
        <w:rPr>
          <w:rFonts w:ascii="Open Sans" w:eastAsia="Open Sans" w:hAnsi="Open Sans" w:cs="Open Sans"/>
          <w:color w:val="000000"/>
        </w:rPr>
        <w:t>.</w:t>
      </w:r>
    </w:p>
    <w:p w14:paraId="1849A8F4" w14:textId="77777777" w:rsidR="00173388" w:rsidRDefault="00173388">
      <w:pPr>
        <w:spacing w:line="276" w:lineRule="auto"/>
        <w:jc w:val="both"/>
        <w:rPr>
          <w:rFonts w:ascii="Open Sans" w:eastAsia="Open Sans" w:hAnsi="Open Sans" w:cs="Open Sans"/>
          <w:color w:val="000000"/>
        </w:rPr>
      </w:pPr>
    </w:p>
    <w:tbl>
      <w:tblPr>
        <w:tblStyle w:val="a5"/>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2268"/>
        <w:gridCol w:w="1985"/>
        <w:gridCol w:w="1963"/>
      </w:tblGrid>
      <w:tr w:rsidR="00173388" w14:paraId="10C53451" w14:textId="77777777" w:rsidTr="00173388">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FFFFFF"/>
            </w:tcBorders>
            <w:vAlign w:val="center"/>
          </w:tcPr>
          <w:p w14:paraId="5CE36658"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vAlign w:val="center"/>
          </w:tcPr>
          <w:p w14:paraId="1ADA1650"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2023</w:t>
            </w:r>
          </w:p>
          <w:p w14:paraId="3B96B475"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85" w:type="dxa"/>
            <w:tcBorders>
              <w:bottom w:val="single" w:sz="4" w:space="0" w:color="FFFFFF"/>
            </w:tcBorders>
            <w:vAlign w:val="center"/>
          </w:tcPr>
          <w:p w14:paraId="1F95CB97"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63" w:type="dxa"/>
            <w:tcBorders>
              <w:bottom w:val="single" w:sz="4" w:space="0" w:color="FFFFFF"/>
            </w:tcBorders>
            <w:vAlign w:val="center"/>
          </w:tcPr>
          <w:p w14:paraId="50B02696"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73388" w14:paraId="61FE4D21"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7874C982"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Centro</w:t>
            </w:r>
          </w:p>
        </w:tc>
        <w:tc>
          <w:tcPr>
            <w:tcW w:w="2268" w:type="dxa"/>
            <w:tcBorders>
              <w:top w:val="single" w:sz="4" w:space="0" w:color="FFFFFF"/>
              <w:left w:val="single" w:sz="4" w:space="0" w:color="FFFFFF"/>
              <w:bottom w:val="single" w:sz="4" w:space="0" w:color="FFFFFF"/>
              <w:right w:val="single" w:sz="4" w:space="0" w:color="FFFFFF"/>
            </w:tcBorders>
            <w:vAlign w:val="bottom"/>
          </w:tcPr>
          <w:p w14:paraId="3363885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6.585 €</w:t>
            </w:r>
          </w:p>
        </w:tc>
        <w:tc>
          <w:tcPr>
            <w:tcW w:w="1985" w:type="dxa"/>
            <w:tcBorders>
              <w:top w:val="single" w:sz="4" w:space="0" w:color="FFFFFF"/>
              <w:left w:val="single" w:sz="4" w:space="0" w:color="FFFFFF"/>
              <w:bottom w:val="single" w:sz="4" w:space="0" w:color="FFFFFF"/>
              <w:right w:val="single" w:sz="4" w:space="0" w:color="FFFFFF"/>
            </w:tcBorders>
            <w:vAlign w:val="bottom"/>
          </w:tcPr>
          <w:p w14:paraId="0C73800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6,9%</w:t>
            </w:r>
          </w:p>
        </w:tc>
        <w:tc>
          <w:tcPr>
            <w:tcW w:w="1963" w:type="dxa"/>
            <w:tcBorders>
              <w:top w:val="single" w:sz="4" w:space="0" w:color="FFFFFF"/>
              <w:left w:val="single" w:sz="4" w:space="0" w:color="FFFFFF"/>
              <w:bottom w:val="single" w:sz="4" w:space="0" w:color="FFFFFF"/>
              <w:right w:val="single" w:sz="4" w:space="0" w:color="FFFFFF"/>
            </w:tcBorders>
            <w:vAlign w:val="bottom"/>
          </w:tcPr>
          <w:p w14:paraId="4602518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17,2%</w:t>
            </w:r>
          </w:p>
        </w:tc>
      </w:tr>
      <w:tr w:rsidR="00173388" w14:paraId="7C0696FC"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73E1E7D1"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Usera</w:t>
            </w:r>
          </w:p>
        </w:tc>
        <w:tc>
          <w:tcPr>
            <w:tcW w:w="2268" w:type="dxa"/>
            <w:tcBorders>
              <w:top w:val="single" w:sz="4" w:space="0" w:color="FFFFFF"/>
              <w:left w:val="single" w:sz="4" w:space="0" w:color="FFFFFF"/>
              <w:bottom w:val="single" w:sz="4" w:space="0" w:color="FFFFFF"/>
              <w:right w:val="single" w:sz="4" w:space="0" w:color="FFFFFF"/>
            </w:tcBorders>
            <w:vAlign w:val="bottom"/>
          </w:tcPr>
          <w:p w14:paraId="3C872E4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2.626 €</w:t>
            </w:r>
          </w:p>
        </w:tc>
        <w:tc>
          <w:tcPr>
            <w:tcW w:w="1985" w:type="dxa"/>
            <w:tcBorders>
              <w:top w:val="single" w:sz="4" w:space="0" w:color="FFFFFF"/>
              <w:left w:val="single" w:sz="4" w:space="0" w:color="FFFFFF"/>
              <w:bottom w:val="single" w:sz="4" w:space="0" w:color="FFFFFF"/>
              <w:right w:val="single" w:sz="4" w:space="0" w:color="FFFFFF"/>
            </w:tcBorders>
            <w:vAlign w:val="bottom"/>
          </w:tcPr>
          <w:p w14:paraId="2907C65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w:t>
            </w:r>
          </w:p>
        </w:tc>
        <w:tc>
          <w:tcPr>
            <w:tcW w:w="1963" w:type="dxa"/>
            <w:tcBorders>
              <w:top w:val="single" w:sz="4" w:space="0" w:color="FFFFFF"/>
              <w:left w:val="single" w:sz="4" w:space="0" w:color="FFFFFF"/>
              <w:bottom w:val="single" w:sz="4" w:space="0" w:color="FFFFFF"/>
              <w:right w:val="single" w:sz="4" w:space="0" w:color="FFFFFF"/>
            </w:tcBorders>
            <w:vAlign w:val="bottom"/>
          </w:tcPr>
          <w:p w14:paraId="2A50E24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15,7%</w:t>
            </w:r>
          </w:p>
        </w:tc>
      </w:tr>
      <w:tr w:rsidR="00173388" w14:paraId="53F39F89"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23DB3AC8"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Tetuán</w:t>
            </w:r>
          </w:p>
        </w:tc>
        <w:tc>
          <w:tcPr>
            <w:tcW w:w="2268" w:type="dxa"/>
            <w:tcBorders>
              <w:top w:val="single" w:sz="4" w:space="0" w:color="FFFFFF"/>
              <w:left w:val="single" w:sz="4" w:space="0" w:color="FFFFFF"/>
              <w:bottom w:val="single" w:sz="4" w:space="0" w:color="FFFFFF"/>
              <w:right w:val="single" w:sz="4" w:space="0" w:color="FFFFFF"/>
            </w:tcBorders>
            <w:vAlign w:val="bottom"/>
          </w:tcPr>
          <w:p w14:paraId="2C6AE09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4.752 €</w:t>
            </w:r>
          </w:p>
        </w:tc>
        <w:tc>
          <w:tcPr>
            <w:tcW w:w="1985" w:type="dxa"/>
            <w:tcBorders>
              <w:top w:val="single" w:sz="4" w:space="0" w:color="FFFFFF"/>
              <w:left w:val="single" w:sz="4" w:space="0" w:color="FFFFFF"/>
              <w:bottom w:val="single" w:sz="4" w:space="0" w:color="FFFFFF"/>
              <w:right w:val="single" w:sz="4" w:space="0" w:color="FFFFFF"/>
            </w:tcBorders>
            <w:vAlign w:val="bottom"/>
          </w:tcPr>
          <w:p w14:paraId="1B37348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0,9%</w:t>
            </w:r>
          </w:p>
        </w:tc>
        <w:tc>
          <w:tcPr>
            <w:tcW w:w="1963" w:type="dxa"/>
            <w:tcBorders>
              <w:top w:val="single" w:sz="4" w:space="0" w:color="FFFFFF"/>
              <w:left w:val="single" w:sz="4" w:space="0" w:color="FFFFFF"/>
              <w:bottom w:val="single" w:sz="4" w:space="0" w:color="FFFFFF"/>
              <w:right w:val="single" w:sz="4" w:space="0" w:color="FFFFFF"/>
            </w:tcBorders>
            <w:vAlign w:val="bottom"/>
          </w:tcPr>
          <w:p w14:paraId="2FE7354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13,1%</w:t>
            </w:r>
          </w:p>
        </w:tc>
      </w:tr>
      <w:tr w:rsidR="00173388" w14:paraId="6C57F2CE"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443C3432"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Villa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54AB2B7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2.762 €</w:t>
            </w:r>
          </w:p>
        </w:tc>
        <w:tc>
          <w:tcPr>
            <w:tcW w:w="1985" w:type="dxa"/>
            <w:tcBorders>
              <w:top w:val="single" w:sz="4" w:space="0" w:color="FFFFFF"/>
              <w:left w:val="single" w:sz="4" w:space="0" w:color="FFFFFF"/>
              <w:bottom w:val="single" w:sz="4" w:space="0" w:color="FFFFFF"/>
              <w:right w:val="single" w:sz="4" w:space="0" w:color="FFFFFF"/>
            </w:tcBorders>
            <w:vAlign w:val="bottom"/>
          </w:tcPr>
          <w:p w14:paraId="45AE809E"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5288FCD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10,8%</w:t>
            </w:r>
          </w:p>
        </w:tc>
      </w:tr>
      <w:tr w:rsidR="00173388" w14:paraId="221B9824"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050AC5F8"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Barrio de Salamanca</w:t>
            </w:r>
          </w:p>
        </w:tc>
        <w:tc>
          <w:tcPr>
            <w:tcW w:w="2268" w:type="dxa"/>
            <w:tcBorders>
              <w:top w:val="single" w:sz="4" w:space="0" w:color="FFFFFF"/>
              <w:left w:val="single" w:sz="4" w:space="0" w:color="FFFFFF"/>
              <w:bottom w:val="single" w:sz="4" w:space="0" w:color="FFFFFF"/>
              <w:right w:val="single" w:sz="4" w:space="0" w:color="FFFFFF"/>
            </w:tcBorders>
            <w:vAlign w:val="bottom"/>
          </w:tcPr>
          <w:p w14:paraId="09597BC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7.610 €</w:t>
            </w:r>
          </w:p>
        </w:tc>
        <w:tc>
          <w:tcPr>
            <w:tcW w:w="1985" w:type="dxa"/>
            <w:tcBorders>
              <w:top w:val="single" w:sz="4" w:space="0" w:color="FFFFFF"/>
              <w:left w:val="single" w:sz="4" w:space="0" w:color="FFFFFF"/>
              <w:bottom w:val="single" w:sz="4" w:space="0" w:color="FFFFFF"/>
              <w:right w:val="single" w:sz="4" w:space="0" w:color="FFFFFF"/>
            </w:tcBorders>
            <w:vAlign w:val="bottom"/>
          </w:tcPr>
          <w:p w14:paraId="48ED91F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3,6%</w:t>
            </w:r>
          </w:p>
        </w:tc>
        <w:tc>
          <w:tcPr>
            <w:tcW w:w="1963" w:type="dxa"/>
            <w:tcBorders>
              <w:top w:val="single" w:sz="4" w:space="0" w:color="FFFFFF"/>
              <w:left w:val="single" w:sz="4" w:space="0" w:color="FFFFFF"/>
              <w:bottom w:val="single" w:sz="4" w:space="0" w:color="FFFFFF"/>
              <w:right w:val="single" w:sz="4" w:space="0" w:color="FFFFFF"/>
            </w:tcBorders>
            <w:vAlign w:val="bottom"/>
          </w:tcPr>
          <w:p w14:paraId="5D04F44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8,8%</w:t>
            </w:r>
          </w:p>
        </w:tc>
      </w:tr>
      <w:tr w:rsidR="00173388" w14:paraId="23347AAA"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17A862D7"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Hortaleza</w:t>
            </w:r>
          </w:p>
        </w:tc>
        <w:tc>
          <w:tcPr>
            <w:tcW w:w="2268" w:type="dxa"/>
            <w:tcBorders>
              <w:top w:val="single" w:sz="4" w:space="0" w:color="FFFFFF"/>
              <w:left w:val="single" w:sz="4" w:space="0" w:color="FFFFFF"/>
              <w:bottom w:val="single" w:sz="4" w:space="0" w:color="FFFFFF"/>
              <w:right w:val="single" w:sz="4" w:space="0" w:color="FFFFFF"/>
            </w:tcBorders>
            <w:vAlign w:val="bottom"/>
          </w:tcPr>
          <w:p w14:paraId="31E489B4"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4.269 €</w:t>
            </w:r>
          </w:p>
        </w:tc>
        <w:tc>
          <w:tcPr>
            <w:tcW w:w="1985" w:type="dxa"/>
            <w:tcBorders>
              <w:top w:val="single" w:sz="4" w:space="0" w:color="FFFFFF"/>
              <w:left w:val="single" w:sz="4" w:space="0" w:color="FFFFFF"/>
              <w:bottom w:val="single" w:sz="4" w:space="0" w:color="FFFFFF"/>
              <w:right w:val="single" w:sz="4" w:space="0" w:color="FFFFFF"/>
            </w:tcBorders>
            <w:vAlign w:val="bottom"/>
          </w:tcPr>
          <w:p w14:paraId="27838FB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0,3%</w:t>
            </w:r>
          </w:p>
        </w:tc>
        <w:tc>
          <w:tcPr>
            <w:tcW w:w="1963" w:type="dxa"/>
            <w:tcBorders>
              <w:top w:val="single" w:sz="4" w:space="0" w:color="FFFFFF"/>
              <w:left w:val="single" w:sz="4" w:space="0" w:color="FFFFFF"/>
              <w:bottom w:val="single" w:sz="4" w:space="0" w:color="FFFFFF"/>
              <w:right w:val="single" w:sz="4" w:space="0" w:color="FFFFFF"/>
            </w:tcBorders>
            <w:vAlign w:val="bottom"/>
          </w:tcPr>
          <w:p w14:paraId="7D2C2FD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5,6%</w:t>
            </w:r>
          </w:p>
        </w:tc>
      </w:tr>
      <w:tr w:rsidR="00173388" w14:paraId="5DDBB561"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2F5295B7"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Fuencarral - El Pardo</w:t>
            </w:r>
          </w:p>
        </w:tc>
        <w:tc>
          <w:tcPr>
            <w:tcW w:w="2268" w:type="dxa"/>
            <w:tcBorders>
              <w:top w:val="single" w:sz="4" w:space="0" w:color="FFFFFF"/>
              <w:left w:val="single" w:sz="4" w:space="0" w:color="FFFFFF"/>
              <w:bottom w:val="single" w:sz="4" w:space="0" w:color="FFFFFF"/>
              <w:right w:val="single" w:sz="4" w:space="0" w:color="FFFFFF"/>
            </w:tcBorders>
            <w:vAlign w:val="bottom"/>
          </w:tcPr>
          <w:p w14:paraId="0E464BA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4.206 €</w:t>
            </w:r>
          </w:p>
        </w:tc>
        <w:tc>
          <w:tcPr>
            <w:tcW w:w="1985" w:type="dxa"/>
            <w:tcBorders>
              <w:top w:val="single" w:sz="4" w:space="0" w:color="FFFFFF"/>
              <w:left w:val="single" w:sz="4" w:space="0" w:color="FFFFFF"/>
              <w:bottom w:val="single" w:sz="4" w:space="0" w:color="FFFFFF"/>
              <w:right w:val="single" w:sz="4" w:space="0" w:color="FFFFFF"/>
            </w:tcBorders>
            <w:vAlign w:val="bottom"/>
          </w:tcPr>
          <w:p w14:paraId="39D1D62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2,4%</w:t>
            </w:r>
          </w:p>
        </w:tc>
        <w:tc>
          <w:tcPr>
            <w:tcW w:w="1963" w:type="dxa"/>
            <w:tcBorders>
              <w:top w:val="single" w:sz="4" w:space="0" w:color="FFFFFF"/>
              <w:left w:val="single" w:sz="4" w:space="0" w:color="FFFFFF"/>
              <w:bottom w:val="single" w:sz="4" w:space="0" w:color="FFFFFF"/>
              <w:right w:val="single" w:sz="4" w:space="0" w:color="FFFFFF"/>
            </w:tcBorders>
            <w:vAlign w:val="bottom"/>
          </w:tcPr>
          <w:p w14:paraId="4212949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4,1%</w:t>
            </w:r>
          </w:p>
        </w:tc>
      </w:tr>
      <w:tr w:rsidR="00173388" w14:paraId="0B19B399"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50CA377C"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Retiro</w:t>
            </w:r>
          </w:p>
        </w:tc>
        <w:tc>
          <w:tcPr>
            <w:tcW w:w="2268" w:type="dxa"/>
            <w:tcBorders>
              <w:top w:val="single" w:sz="4" w:space="0" w:color="FFFFFF"/>
              <w:left w:val="single" w:sz="4" w:space="0" w:color="FFFFFF"/>
              <w:bottom w:val="single" w:sz="4" w:space="0" w:color="FFFFFF"/>
              <w:right w:val="single" w:sz="4" w:space="0" w:color="FFFFFF"/>
            </w:tcBorders>
            <w:vAlign w:val="bottom"/>
          </w:tcPr>
          <w:p w14:paraId="78BF637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5.402 €</w:t>
            </w:r>
          </w:p>
        </w:tc>
        <w:tc>
          <w:tcPr>
            <w:tcW w:w="1985" w:type="dxa"/>
            <w:tcBorders>
              <w:top w:val="single" w:sz="4" w:space="0" w:color="FFFFFF"/>
              <w:left w:val="single" w:sz="4" w:space="0" w:color="FFFFFF"/>
              <w:bottom w:val="single" w:sz="4" w:space="0" w:color="FFFFFF"/>
              <w:right w:val="single" w:sz="4" w:space="0" w:color="FFFFFF"/>
            </w:tcBorders>
            <w:vAlign w:val="bottom"/>
          </w:tcPr>
          <w:p w14:paraId="6156C64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bottom"/>
          </w:tcPr>
          <w:p w14:paraId="5900B48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4,1%</w:t>
            </w:r>
          </w:p>
        </w:tc>
      </w:tr>
      <w:tr w:rsidR="00173388" w14:paraId="7D79BD12"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740BBC49"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Carabanchel</w:t>
            </w:r>
          </w:p>
        </w:tc>
        <w:tc>
          <w:tcPr>
            <w:tcW w:w="2268" w:type="dxa"/>
            <w:tcBorders>
              <w:top w:val="single" w:sz="4" w:space="0" w:color="FFFFFF"/>
              <w:left w:val="single" w:sz="4" w:space="0" w:color="FFFFFF"/>
              <w:bottom w:val="single" w:sz="4" w:space="0" w:color="FFFFFF"/>
              <w:right w:val="single" w:sz="4" w:space="0" w:color="FFFFFF"/>
            </w:tcBorders>
            <w:vAlign w:val="bottom"/>
          </w:tcPr>
          <w:p w14:paraId="01433635"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2.579 €</w:t>
            </w:r>
          </w:p>
        </w:tc>
        <w:tc>
          <w:tcPr>
            <w:tcW w:w="1985" w:type="dxa"/>
            <w:tcBorders>
              <w:top w:val="single" w:sz="4" w:space="0" w:color="FFFFFF"/>
              <w:left w:val="single" w:sz="4" w:space="0" w:color="FFFFFF"/>
              <w:bottom w:val="single" w:sz="4" w:space="0" w:color="FFFFFF"/>
              <w:right w:val="single" w:sz="4" w:space="0" w:color="FFFFFF"/>
            </w:tcBorders>
            <w:vAlign w:val="bottom"/>
          </w:tcPr>
          <w:p w14:paraId="0A83422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-2,6%</w:t>
            </w:r>
          </w:p>
        </w:tc>
        <w:tc>
          <w:tcPr>
            <w:tcW w:w="1963" w:type="dxa"/>
            <w:tcBorders>
              <w:top w:val="single" w:sz="4" w:space="0" w:color="FFFFFF"/>
              <w:left w:val="single" w:sz="4" w:space="0" w:color="FFFFFF"/>
              <w:bottom w:val="single" w:sz="4" w:space="0" w:color="FFFFFF"/>
              <w:right w:val="single" w:sz="4" w:space="0" w:color="FFFFFF"/>
            </w:tcBorders>
            <w:vAlign w:val="bottom"/>
          </w:tcPr>
          <w:p w14:paraId="688CD2A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4,1%</w:t>
            </w:r>
          </w:p>
        </w:tc>
      </w:tr>
      <w:tr w:rsidR="00173388" w14:paraId="1CF07E30"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42575BD1"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Moratalaz</w:t>
            </w:r>
          </w:p>
        </w:tc>
        <w:tc>
          <w:tcPr>
            <w:tcW w:w="2268" w:type="dxa"/>
            <w:tcBorders>
              <w:top w:val="single" w:sz="4" w:space="0" w:color="FFFFFF"/>
              <w:left w:val="single" w:sz="4" w:space="0" w:color="FFFFFF"/>
              <w:bottom w:val="single" w:sz="4" w:space="0" w:color="FFFFFF"/>
              <w:right w:val="single" w:sz="4" w:space="0" w:color="FFFFFF"/>
            </w:tcBorders>
            <w:vAlign w:val="bottom"/>
          </w:tcPr>
          <w:p w14:paraId="2C6A3991"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2.866 €</w:t>
            </w:r>
          </w:p>
        </w:tc>
        <w:tc>
          <w:tcPr>
            <w:tcW w:w="1985" w:type="dxa"/>
            <w:tcBorders>
              <w:top w:val="single" w:sz="4" w:space="0" w:color="FFFFFF"/>
              <w:left w:val="single" w:sz="4" w:space="0" w:color="FFFFFF"/>
              <w:bottom w:val="single" w:sz="4" w:space="0" w:color="FFFFFF"/>
              <w:right w:val="single" w:sz="4" w:space="0" w:color="FFFFFF"/>
            </w:tcBorders>
            <w:vAlign w:val="bottom"/>
          </w:tcPr>
          <w:p w14:paraId="022F44F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bottom"/>
          </w:tcPr>
          <w:p w14:paraId="6A74C68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4,0%</w:t>
            </w:r>
          </w:p>
        </w:tc>
      </w:tr>
      <w:tr w:rsidR="00173388" w14:paraId="15A70336"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5125C5D0"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Chamartín</w:t>
            </w:r>
          </w:p>
        </w:tc>
        <w:tc>
          <w:tcPr>
            <w:tcW w:w="2268" w:type="dxa"/>
            <w:tcBorders>
              <w:top w:val="single" w:sz="4" w:space="0" w:color="FFFFFF"/>
              <w:left w:val="single" w:sz="4" w:space="0" w:color="FFFFFF"/>
              <w:bottom w:val="single" w:sz="4" w:space="0" w:color="FFFFFF"/>
              <w:right w:val="single" w:sz="4" w:space="0" w:color="FFFFFF"/>
            </w:tcBorders>
            <w:vAlign w:val="bottom"/>
          </w:tcPr>
          <w:p w14:paraId="3122964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5.819 €</w:t>
            </w:r>
          </w:p>
        </w:tc>
        <w:tc>
          <w:tcPr>
            <w:tcW w:w="1985" w:type="dxa"/>
            <w:tcBorders>
              <w:top w:val="single" w:sz="4" w:space="0" w:color="FFFFFF"/>
              <w:left w:val="single" w:sz="4" w:space="0" w:color="FFFFFF"/>
              <w:bottom w:val="single" w:sz="4" w:space="0" w:color="FFFFFF"/>
              <w:right w:val="single" w:sz="4" w:space="0" w:color="FFFFFF"/>
            </w:tcBorders>
            <w:vAlign w:val="bottom"/>
          </w:tcPr>
          <w:p w14:paraId="16EAFF5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5052DAF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3,7%</w:t>
            </w:r>
          </w:p>
        </w:tc>
      </w:tr>
      <w:tr w:rsidR="00173388" w14:paraId="15C7779C"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4332DB0D"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Latina</w:t>
            </w:r>
          </w:p>
        </w:tc>
        <w:tc>
          <w:tcPr>
            <w:tcW w:w="2268" w:type="dxa"/>
            <w:tcBorders>
              <w:top w:val="single" w:sz="4" w:space="0" w:color="FFFFFF"/>
              <w:left w:val="single" w:sz="4" w:space="0" w:color="FFFFFF"/>
              <w:bottom w:val="single" w:sz="4" w:space="0" w:color="FFFFFF"/>
              <w:right w:val="single" w:sz="4" w:space="0" w:color="FFFFFF"/>
            </w:tcBorders>
            <w:vAlign w:val="bottom"/>
          </w:tcPr>
          <w:p w14:paraId="110A508D"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2.724 €</w:t>
            </w:r>
          </w:p>
        </w:tc>
        <w:tc>
          <w:tcPr>
            <w:tcW w:w="1985" w:type="dxa"/>
            <w:tcBorders>
              <w:top w:val="single" w:sz="4" w:space="0" w:color="FFFFFF"/>
              <w:left w:val="single" w:sz="4" w:space="0" w:color="FFFFFF"/>
              <w:bottom w:val="single" w:sz="4" w:space="0" w:color="FFFFFF"/>
              <w:right w:val="single" w:sz="4" w:space="0" w:color="FFFFFF"/>
            </w:tcBorders>
            <w:vAlign w:val="bottom"/>
          </w:tcPr>
          <w:p w14:paraId="53C0E7F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0,0%</w:t>
            </w:r>
          </w:p>
        </w:tc>
        <w:tc>
          <w:tcPr>
            <w:tcW w:w="1963" w:type="dxa"/>
            <w:tcBorders>
              <w:top w:val="single" w:sz="4" w:space="0" w:color="FFFFFF"/>
              <w:left w:val="single" w:sz="4" w:space="0" w:color="FFFFFF"/>
              <w:bottom w:val="single" w:sz="4" w:space="0" w:color="FFFFFF"/>
              <w:right w:val="single" w:sz="4" w:space="0" w:color="FFFFFF"/>
            </w:tcBorders>
            <w:vAlign w:val="bottom"/>
          </w:tcPr>
          <w:p w14:paraId="2A90F30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3,4%</w:t>
            </w:r>
          </w:p>
        </w:tc>
      </w:tr>
      <w:tr w:rsidR="00173388" w14:paraId="2A8DA573"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20445405"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Chamberí</w:t>
            </w:r>
          </w:p>
        </w:tc>
        <w:tc>
          <w:tcPr>
            <w:tcW w:w="2268" w:type="dxa"/>
            <w:tcBorders>
              <w:top w:val="single" w:sz="4" w:space="0" w:color="FFFFFF"/>
              <w:left w:val="single" w:sz="4" w:space="0" w:color="FFFFFF"/>
              <w:bottom w:val="single" w:sz="4" w:space="0" w:color="FFFFFF"/>
              <w:right w:val="single" w:sz="4" w:space="0" w:color="FFFFFF"/>
            </w:tcBorders>
            <w:vAlign w:val="bottom"/>
          </w:tcPr>
          <w:p w14:paraId="78580E11"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6.314 €</w:t>
            </w:r>
          </w:p>
        </w:tc>
        <w:tc>
          <w:tcPr>
            <w:tcW w:w="1985" w:type="dxa"/>
            <w:tcBorders>
              <w:top w:val="single" w:sz="4" w:space="0" w:color="FFFFFF"/>
              <w:left w:val="single" w:sz="4" w:space="0" w:color="FFFFFF"/>
              <w:bottom w:val="single" w:sz="4" w:space="0" w:color="FFFFFF"/>
              <w:right w:val="single" w:sz="4" w:space="0" w:color="FFFFFF"/>
            </w:tcBorders>
            <w:vAlign w:val="bottom"/>
          </w:tcPr>
          <w:p w14:paraId="6520A29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c>
          <w:tcPr>
            <w:tcW w:w="1963" w:type="dxa"/>
            <w:tcBorders>
              <w:top w:val="single" w:sz="4" w:space="0" w:color="FFFFFF"/>
              <w:left w:val="single" w:sz="4" w:space="0" w:color="FFFFFF"/>
              <w:bottom w:val="single" w:sz="4" w:space="0" w:color="FFFFFF"/>
              <w:right w:val="single" w:sz="4" w:space="0" w:color="FFFFFF"/>
            </w:tcBorders>
            <w:vAlign w:val="bottom"/>
          </w:tcPr>
          <w:p w14:paraId="300AD4AC"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3,3%</w:t>
            </w:r>
          </w:p>
        </w:tc>
      </w:tr>
      <w:tr w:rsidR="00173388" w14:paraId="489203D4"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1710F3E3"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Moncloa - Aravaca</w:t>
            </w:r>
          </w:p>
        </w:tc>
        <w:tc>
          <w:tcPr>
            <w:tcW w:w="2268" w:type="dxa"/>
            <w:tcBorders>
              <w:top w:val="single" w:sz="4" w:space="0" w:color="FFFFFF"/>
              <w:left w:val="single" w:sz="4" w:space="0" w:color="FFFFFF"/>
              <w:bottom w:val="single" w:sz="4" w:space="0" w:color="FFFFFF"/>
              <w:right w:val="single" w:sz="4" w:space="0" w:color="FFFFFF"/>
            </w:tcBorders>
            <w:vAlign w:val="bottom"/>
          </w:tcPr>
          <w:p w14:paraId="00690D6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4.911 €</w:t>
            </w:r>
          </w:p>
        </w:tc>
        <w:tc>
          <w:tcPr>
            <w:tcW w:w="1985" w:type="dxa"/>
            <w:tcBorders>
              <w:top w:val="single" w:sz="4" w:space="0" w:color="FFFFFF"/>
              <w:left w:val="single" w:sz="4" w:space="0" w:color="FFFFFF"/>
              <w:bottom w:val="single" w:sz="4" w:space="0" w:color="FFFFFF"/>
              <w:right w:val="single" w:sz="4" w:space="0" w:color="FFFFFF"/>
            </w:tcBorders>
            <w:vAlign w:val="bottom"/>
          </w:tcPr>
          <w:p w14:paraId="5933FC4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bottom"/>
          </w:tcPr>
          <w:p w14:paraId="3A6179F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3,0%</w:t>
            </w:r>
          </w:p>
        </w:tc>
      </w:tr>
      <w:tr w:rsidR="00173388" w14:paraId="42B2DF02"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24A9ADD7"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Villaverde</w:t>
            </w:r>
          </w:p>
        </w:tc>
        <w:tc>
          <w:tcPr>
            <w:tcW w:w="2268" w:type="dxa"/>
            <w:tcBorders>
              <w:top w:val="single" w:sz="4" w:space="0" w:color="FFFFFF"/>
              <w:left w:val="single" w:sz="4" w:space="0" w:color="FFFFFF"/>
              <w:bottom w:val="single" w:sz="4" w:space="0" w:color="FFFFFF"/>
              <w:right w:val="single" w:sz="4" w:space="0" w:color="FFFFFF"/>
            </w:tcBorders>
            <w:vAlign w:val="bottom"/>
          </w:tcPr>
          <w:p w14:paraId="1C7ED21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1.982 €</w:t>
            </w:r>
          </w:p>
        </w:tc>
        <w:tc>
          <w:tcPr>
            <w:tcW w:w="1985" w:type="dxa"/>
            <w:tcBorders>
              <w:top w:val="single" w:sz="4" w:space="0" w:color="FFFFFF"/>
              <w:left w:val="single" w:sz="4" w:space="0" w:color="FFFFFF"/>
              <w:bottom w:val="single" w:sz="4" w:space="0" w:color="FFFFFF"/>
              <w:right w:val="single" w:sz="4" w:space="0" w:color="FFFFFF"/>
            </w:tcBorders>
            <w:vAlign w:val="bottom"/>
          </w:tcPr>
          <w:p w14:paraId="484DC28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bottom"/>
          </w:tcPr>
          <w:p w14:paraId="6A2C5B2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2,7%</w:t>
            </w:r>
          </w:p>
        </w:tc>
      </w:tr>
      <w:tr w:rsidR="00173388" w14:paraId="53C0B1BD"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63222DC2"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Vicálvaro</w:t>
            </w:r>
          </w:p>
        </w:tc>
        <w:tc>
          <w:tcPr>
            <w:tcW w:w="2268" w:type="dxa"/>
            <w:tcBorders>
              <w:top w:val="single" w:sz="4" w:space="0" w:color="FFFFFF"/>
              <w:left w:val="single" w:sz="4" w:space="0" w:color="FFFFFF"/>
              <w:bottom w:val="single" w:sz="4" w:space="0" w:color="FFFFFF"/>
              <w:right w:val="single" w:sz="4" w:space="0" w:color="FFFFFF"/>
            </w:tcBorders>
            <w:vAlign w:val="bottom"/>
          </w:tcPr>
          <w:p w14:paraId="31426A1B"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2.894 €</w:t>
            </w:r>
          </w:p>
        </w:tc>
        <w:tc>
          <w:tcPr>
            <w:tcW w:w="1985" w:type="dxa"/>
            <w:tcBorders>
              <w:top w:val="single" w:sz="4" w:space="0" w:color="FFFFFF"/>
              <w:left w:val="single" w:sz="4" w:space="0" w:color="FFFFFF"/>
              <w:bottom w:val="single" w:sz="4" w:space="0" w:color="FFFFFF"/>
              <w:right w:val="single" w:sz="4" w:space="0" w:color="FFFFFF"/>
            </w:tcBorders>
            <w:vAlign w:val="bottom"/>
          </w:tcPr>
          <w:p w14:paraId="5BED6699"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3D85DEC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2,1%</w:t>
            </w:r>
          </w:p>
        </w:tc>
      </w:tr>
      <w:tr w:rsidR="00173388" w14:paraId="758A732C"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226F8F01"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San Blas</w:t>
            </w:r>
          </w:p>
        </w:tc>
        <w:tc>
          <w:tcPr>
            <w:tcW w:w="2268" w:type="dxa"/>
            <w:tcBorders>
              <w:top w:val="single" w:sz="4" w:space="0" w:color="FFFFFF"/>
              <w:left w:val="single" w:sz="4" w:space="0" w:color="FFFFFF"/>
              <w:bottom w:val="single" w:sz="4" w:space="0" w:color="FFFFFF"/>
              <w:right w:val="single" w:sz="4" w:space="0" w:color="FFFFFF"/>
            </w:tcBorders>
            <w:vAlign w:val="bottom"/>
          </w:tcPr>
          <w:p w14:paraId="2CCDF00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3.042 €</w:t>
            </w:r>
          </w:p>
        </w:tc>
        <w:tc>
          <w:tcPr>
            <w:tcW w:w="1985" w:type="dxa"/>
            <w:tcBorders>
              <w:top w:val="single" w:sz="4" w:space="0" w:color="FFFFFF"/>
              <w:left w:val="single" w:sz="4" w:space="0" w:color="FFFFFF"/>
              <w:bottom w:val="single" w:sz="4" w:space="0" w:color="FFFFFF"/>
              <w:right w:val="single" w:sz="4" w:space="0" w:color="FFFFFF"/>
            </w:tcBorders>
            <w:vAlign w:val="bottom"/>
          </w:tcPr>
          <w:p w14:paraId="737F28F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1963" w:type="dxa"/>
            <w:tcBorders>
              <w:top w:val="single" w:sz="4" w:space="0" w:color="FFFFFF"/>
              <w:left w:val="single" w:sz="4" w:space="0" w:color="FFFFFF"/>
              <w:bottom w:val="single" w:sz="4" w:space="0" w:color="FFFFFF"/>
              <w:right w:val="single" w:sz="4" w:space="0" w:color="FFFFFF"/>
            </w:tcBorders>
            <w:vAlign w:val="bottom"/>
          </w:tcPr>
          <w:p w14:paraId="7054854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1,5%</w:t>
            </w:r>
          </w:p>
        </w:tc>
      </w:tr>
      <w:tr w:rsidR="00173388" w14:paraId="0CEE4F2D"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5B715299"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Ciudad Lineal</w:t>
            </w:r>
          </w:p>
        </w:tc>
        <w:tc>
          <w:tcPr>
            <w:tcW w:w="2268" w:type="dxa"/>
            <w:tcBorders>
              <w:top w:val="single" w:sz="4" w:space="0" w:color="FFFFFF"/>
              <w:left w:val="single" w:sz="4" w:space="0" w:color="FFFFFF"/>
              <w:bottom w:val="single" w:sz="4" w:space="0" w:color="FFFFFF"/>
              <w:right w:val="single" w:sz="4" w:space="0" w:color="FFFFFF"/>
            </w:tcBorders>
            <w:vAlign w:val="bottom"/>
          </w:tcPr>
          <w:p w14:paraId="257A9BE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3.628 €</w:t>
            </w:r>
          </w:p>
        </w:tc>
        <w:tc>
          <w:tcPr>
            <w:tcW w:w="1985" w:type="dxa"/>
            <w:tcBorders>
              <w:top w:val="single" w:sz="4" w:space="0" w:color="FFFFFF"/>
              <w:left w:val="single" w:sz="4" w:space="0" w:color="FFFFFF"/>
              <w:bottom w:val="single" w:sz="4" w:space="0" w:color="FFFFFF"/>
              <w:right w:val="single" w:sz="4" w:space="0" w:color="FFFFFF"/>
            </w:tcBorders>
            <w:vAlign w:val="bottom"/>
          </w:tcPr>
          <w:p w14:paraId="6BBC1BC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963" w:type="dxa"/>
            <w:tcBorders>
              <w:top w:val="single" w:sz="4" w:space="0" w:color="FFFFFF"/>
              <w:left w:val="single" w:sz="4" w:space="0" w:color="FFFFFF"/>
              <w:bottom w:val="single" w:sz="4" w:space="0" w:color="FFFFFF"/>
              <w:right w:val="single" w:sz="4" w:space="0" w:color="FFFFFF"/>
            </w:tcBorders>
            <w:vAlign w:val="bottom"/>
          </w:tcPr>
          <w:p w14:paraId="2A835F5D"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0,2%</w:t>
            </w:r>
          </w:p>
        </w:tc>
      </w:tr>
      <w:tr w:rsidR="00173388" w14:paraId="289347F3"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2D602367"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Arganzuela</w:t>
            </w:r>
          </w:p>
        </w:tc>
        <w:tc>
          <w:tcPr>
            <w:tcW w:w="2268" w:type="dxa"/>
            <w:tcBorders>
              <w:top w:val="single" w:sz="4" w:space="0" w:color="FFFFFF"/>
              <w:left w:val="single" w:sz="4" w:space="0" w:color="FFFFFF"/>
              <w:bottom w:val="single" w:sz="4" w:space="0" w:color="FFFFFF"/>
              <w:right w:val="single" w:sz="4" w:space="0" w:color="FFFFFF"/>
            </w:tcBorders>
            <w:vAlign w:val="bottom"/>
          </w:tcPr>
          <w:p w14:paraId="5C3AE6C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4.528 €</w:t>
            </w:r>
          </w:p>
        </w:tc>
        <w:tc>
          <w:tcPr>
            <w:tcW w:w="1985" w:type="dxa"/>
            <w:tcBorders>
              <w:top w:val="single" w:sz="4" w:space="0" w:color="FFFFFF"/>
              <w:left w:val="single" w:sz="4" w:space="0" w:color="FFFFFF"/>
              <w:bottom w:val="single" w:sz="4" w:space="0" w:color="FFFFFF"/>
              <w:right w:val="single" w:sz="4" w:space="0" w:color="FFFFFF"/>
            </w:tcBorders>
            <w:vAlign w:val="bottom"/>
          </w:tcPr>
          <w:p w14:paraId="5AB4619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bottom"/>
          </w:tcPr>
          <w:p w14:paraId="5511D7D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0,1%</w:t>
            </w:r>
          </w:p>
        </w:tc>
      </w:tr>
      <w:tr w:rsidR="00173388" w14:paraId="70EE6AAB"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353C0920"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Barajas</w:t>
            </w:r>
          </w:p>
        </w:tc>
        <w:tc>
          <w:tcPr>
            <w:tcW w:w="2268" w:type="dxa"/>
            <w:tcBorders>
              <w:top w:val="single" w:sz="4" w:space="0" w:color="FFFFFF"/>
              <w:left w:val="single" w:sz="4" w:space="0" w:color="FFFFFF"/>
              <w:bottom w:val="single" w:sz="4" w:space="0" w:color="FFFFFF"/>
              <w:right w:val="single" w:sz="4" w:space="0" w:color="FFFFFF"/>
            </w:tcBorders>
            <w:vAlign w:val="bottom"/>
          </w:tcPr>
          <w:p w14:paraId="5B36CDE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3.464 €</w:t>
            </w:r>
          </w:p>
        </w:tc>
        <w:tc>
          <w:tcPr>
            <w:tcW w:w="1985" w:type="dxa"/>
            <w:tcBorders>
              <w:top w:val="single" w:sz="4" w:space="0" w:color="FFFFFF"/>
              <w:left w:val="single" w:sz="4" w:space="0" w:color="FFFFFF"/>
              <w:bottom w:val="single" w:sz="4" w:space="0" w:color="FFFFFF"/>
              <w:right w:val="single" w:sz="4" w:space="0" w:color="FFFFFF"/>
            </w:tcBorders>
            <w:vAlign w:val="bottom"/>
          </w:tcPr>
          <w:p w14:paraId="60867A2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bottom"/>
          </w:tcPr>
          <w:p w14:paraId="2209E6F8"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-0,1%</w:t>
            </w:r>
          </w:p>
        </w:tc>
      </w:tr>
      <w:tr w:rsidR="00173388" w14:paraId="52240070"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right w:val="single" w:sz="4" w:space="0" w:color="FFFFFF"/>
            </w:tcBorders>
            <w:vAlign w:val="bottom"/>
          </w:tcPr>
          <w:p w14:paraId="057F1344" w14:textId="77777777" w:rsidR="00173388" w:rsidRDefault="00000000">
            <w:pPr>
              <w:rPr>
                <w:rFonts w:ascii="Open Sans" w:eastAsia="Open Sans" w:hAnsi="Open Sans" w:cs="Open Sans"/>
                <w:sz w:val="20"/>
                <w:szCs w:val="20"/>
              </w:rPr>
            </w:pPr>
            <w:r>
              <w:rPr>
                <w:rFonts w:ascii="Open Sans" w:eastAsia="Open Sans" w:hAnsi="Open Sans" w:cs="Open Sans"/>
                <w:b w:val="0"/>
                <w:sz w:val="22"/>
                <w:szCs w:val="22"/>
              </w:rPr>
              <w:t>Puente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7712D5F7"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2.422 €</w:t>
            </w:r>
          </w:p>
        </w:tc>
        <w:tc>
          <w:tcPr>
            <w:tcW w:w="1985" w:type="dxa"/>
            <w:tcBorders>
              <w:top w:val="single" w:sz="4" w:space="0" w:color="FFFFFF"/>
              <w:left w:val="single" w:sz="4" w:space="0" w:color="FFFFFF"/>
              <w:bottom w:val="single" w:sz="4" w:space="0" w:color="FFFFFF"/>
              <w:right w:val="single" w:sz="4" w:space="0" w:color="FFFFFF"/>
            </w:tcBorders>
            <w:vAlign w:val="bottom"/>
          </w:tcPr>
          <w:p w14:paraId="28A762C3"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c>
          <w:tcPr>
            <w:tcW w:w="1963" w:type="dxa"/>
            <w:tcBorders>
              <w:top w:val="single" w:sz="4" w:space="0" w:color="FFFFFF"/>
              <w:left w:val="single" w:sz="4" w:space="0" w:color="FFFFFF"/>
              <w:bottom w:val="single" w:sz="4" w:space="0" w:color="FFFFFF"/>
              <w:right w:val="single" w:sz="4" w:space="0" w:color="FFFFFF"/>
            </w:tcBorders>
            <w:vAlign w:val="bottom"/>
          </w:tcPr>
          <w:p w14:paraId="38849A66"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-1,3%</w:t>
            </w:r>
          </w:p>
        </w:tc>
      </w:tr>
    </w:tbl>
    <w:p w14:paraId="4A31AA2B" w14:textId="77777777" w:rsidR="00173388" w:rsidRDefault="00173388">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6E5A1985" w14:textId="77777777" w:rsidR="00173388"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Barcelona</w:t>
      </w:r>
    </w:p>
    <w:p w14:paraId="119204B9" w14:textId="77777777" w:rsidR="00173388"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ocho de los diez distritos con variación interanual analizados por </w:t>
      </w:r>
      <w:hyperlink r:id="rId14">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 xml:space="preserve">Los incrementos de la vivienda corresponden a los distritos de Gràcia con 5,2%, Sants - Montjuïc con 3,5%, Nou Barris con 2,9%, Horta - Guinardó con 2,7%, Sant Andreu con 2,6%, Sarrià - Sant Gervasi con 2,6%, Sant Martí con 0,8% y Ciutat Vella con 0,6%. Por otro lado, el distrito en donde el precio del alquiler desciende son Eixample con -0,3% y Les Corts con -4,1%.   </w:t>
      </w:r>
    </w:p>
    <w:p w14:paraId="29CBD4FF" w14:textId="77777777" w:rsidR="00173388" w:rsidRDefault="00173388">
      <w:pPr>
        <w:spacing w:line="276" w:lineRule="auto"/>
        <w:jc w:val="both"/>
        <w:rPr>
          <w:rFonts w:ascii="Open Sans" w:eastAsia="Open Sans" w:hAnsi="Open Sans" w:cs="Open Sans"/>
          <w:color w:val="000000"/>
        </w:rPr>
      </w:pPr>
    </w:p>
    <w:p w14:paraId="0BB6FF6D" w14:textId="77777777" w:rsidR="00173388"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octubre, vemos que los tres distritos más caros son Sarrià - Sant Gervasi con 5.970 euros/m</w:t>
      </w:r>
      <w:r>
        <w:rPr>
          <w:rFonts w:ascii="Open Sans" w:eastAsia="Open Sans" w:hAnsi="Open Sans" w:cs="Open Sans"/>
          <w:color w:val="000000"/>
          <w:vertAlign w:val="superscript"/>
        </w:rPr>
        <w:t>2</w:t>
      </w:r>
      <w:r>
        <w:rPr>
          <w:rFonts w:ascii="Open Sans" w:eastAsia="Open Sans" w:hAnsi="Open Sans" w:cs="Open Sans"/>
          <w:color w:val="000000"/>
        </w:rPr>
        <w:t>, Eixample con 5.599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Les Corts con 5.185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w:t>
      </w:r>
      <w:r>
        <w:t xml:space="preserve"> </w:t>
      </w:r>
      <w:r>
        <w:rPr>
          <w:rFonts w:ascii="Open Sans" w:eastAsia="Open Sans" w:hAnsi="Open Sans" w:cs="Open Sans"/>
          <w:color w:val="000000"/>
        </w:rPr>
        <w:t>Nou Barris con 2.627 euros/m</w:t>
      </w:r>
      <w:r>
        <w:rPr>
          <w:rFonts w:ascii="Open Sans" w:eastAsia="Open Sans" w:hAnsi="Open Sans" w:cs="Open Sans"/>
          <w:color w:val="000000"/>
          <w:vertAlign w:val="superscript"/>
        </w:rPr>
        <w:t>2</w:t>
      </w:r>
      <w:r>
        <w:rPr>
          <w:rFonts w:ascii="Open Sans" w:eastAsia="Open Sans" w:hAnsi="Open Sans" w:cs="Open Sans"/>
          <w:color w:val="000000"/>
        </w:rPr>
        <w:t>, Sant Andreu con 3.302 euros/m</w:t>
      </w:r>
      <w:r>
        <w:rPr>
          <w:rFonts w:ascii="Open Sans" w:eastAsia="Open Sans" w:hAnsi="Open Sans" w:cs="Open Sans"/>
          <w:color w:val="000000"/>
          <w:vertAlign w:val="superscript"/>
        </w:rPr>
        <w:t>2</w:t>
      </w:r>
      <w:r>
        <w:rPr>
          <w:rFonts w:ascii="Open Sans" w:eastAsia="Open Sans" w:hAnsi="Open Sans" w:cs="Open Sans"/>
          <w:color w:val="000000"/>
        </w:rPr>
        <w:t xml:space="preserve"> y Horta - Guinardó con 3.509 euros/m</w:t>
      </w:r>
      <w:r>
        <w:rPr>
          <w:rFonts w:ascii="Open Sans" w:eastAsia="Open Sans" w:hAnsi="Open Sans" w:cs="Open Sans"/>
          <w:color w:val="000000"/>
          <w:vertAlign w:val="superscript"/>
        </w:rPr>
        <w:t>2</w:t>
      </w:r>
      <w:r>
        <w:rPr>
          <w:rFonts w:ascii="Open Sans" w:eastAsia="Open Sans" w:hAnsi="Open Sans" w:cs="Open Sans"/>
          <w:color w:val="000000"/>
        </w:rPr>
        <w:t>.</w:t>
      </w:r>
    </w:p>
    <w:p w14:paraId="0671A256" w14:textId="77777777" w:rsidR="00173388" w:rsidRDefault="00173388">
      <w:pPr>
        <w:spacing w:line="276" w:lineRule="auto"/>
        <w:jc w:val="both"/>
        <w:rPr>
          <w:rFonts w:ascii="Open Sans" w:eastAsia="Open Sans" w:hAnsi="Open Sans" w:cs="Open Sans"/>
          <w:color w:val="000000"/>
        </w:rPr>
      </w:pPr>
    </w:p>
    <w:tbl>
      <w:tblPr>
        <w:tblStyle w:val="a6"/>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409"/>
        <w:gridCol w:w="1985"/>
        <w:gridCol w:w="1963"/>
      </w:tblGrid>
      <w:tr w:rsidR="00173388" w14:paraId="3211B206" w14:textId="77777777" w:rsidTr="00173388">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506D7763"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409" w:type="dxa"/>
            <w:tcBorders>
              <w:bottom w:val="single" w:sz="4" w:space="0" w:color="FFFFFF"/>
            </w:tcBorders>
            <w:vAlign w:val="center"/>
          </w:tcPr>
          <w:p w14:paraId="1289E902"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2023</w:t>
            </w:r>
          </w:p>
          <w:p w14:paraId="4FBCB59C"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85" w:type="dxa"/>
            <w:tcBorders>
              <w:bottom w:val="single" w:sz="4" w:space="0" w:color="FFFFFF"/>
            </w:tcBorders>
            <w:vAlign w:val="center"/>
          </w:tcPr>
          <w:p w14:paraId="1590113E"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63" w:type="dxa"/>
            <w:tcBorders>
              <w:bottom w:val="single" w:sz="4" w:space="0" w:color="FFFFFF"/>
            </w:tcBorders>
            <w:vAlign w:val="center"/>
          </w:tcPr>
          <w:p w14:paraId="52F23CC2" w14:textId="77777777" w:rsidR="0017338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73388" w14:paraId="3FE589BE"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BE757F5"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409" w:type="dxa"/>
            <w:tcBorders>
              <w:top w:val="single" w:sz="4" w:space="0" w:color="FFFFFF"/>
              <w:left w:val="single" w:sz="4" w:space="0" w:color="FFFFFF"/>
              <w:bottom w:val="single" w:sz="4" w:space="0" w:color="FFFFFF"/>
              <w:right w:val="single" w:sz="4" w:space="0" w:color="FFFFFF"/>
            </w:tcBorders>
            <w:vAlign w:val="bottom"/>
          </w:tcPr>
          <w:p w14:paraId="252652A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4.934 €</w:t>
            </w:r>
          </w:p>
        </w:tc>
        <w:tc>
          <w:tcPr>
            <w:tcW w:w="1985" w:type="dxa"/>
            <w:tcBorders>
              <w:top w:val="single" w:sz="4" w:space="0" w:color="FFFFFF"/>
              <w:left w:val="single" w:sz="4" w:space="0" w:color="FFFFFF"/>
              <w:bottom w:val="single" w:sz="4" w:space="0" w:color="FFFFFF"/>
              <w:right w:val="single" w:sz="4" w:space="0" w:color="FFFFFF"/>
            </w:tcBorders>
            <w:vAlign w:val="bottom"/>
          </w:tcPr>
          <w:p w14:paraId="4A3DCC39"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3FD094B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5,2%</w:t>
            </w:r>
          </w:p>
        </w:tc>
      </w:tr>
      <w:tr w:rsidR="00173388" w14:paraId="7D2B3F77"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3E21B62"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409" w:type="dxa"/>
            <w:tcBorders>
              <w:top w:val="single" w:sz="4" w:space="0" w:color="FFFFFF"/>
              <w:left w:val="single" w:sz="4" w:space="0" w:color="FFFFFF"/>
              <w:bottom w:val="single" w:sz="4" w:space="0" w:color="FFFFFF"/>
              <w:right w:val="single" w:sz="4" w:space="0" w:color="FFFFFF"/>
            </w:tcBorders>
            <w:vAlign w:val="bottom"/>
          </w:tcPr>
          <w:p w14:paraId="744164E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3.643 €</w:t>
            </w:r>
          </w:p>
        </w:tc>
        <w:tc>
          <w:tcPr>
            <w:tcW w:w="1985" w:type="dxa"/>
            <w:tcBorders>
              <w:top w:val="single" w:sz="4" w:space="0" w:color="FFFFFF"/>
              <w:left w:val="single" w:sz="4" w:space="0" w:color="FFFFFF"/>
              <w:bottom w:val="single" w:sz="4" w:space="0" w:color="FFFFFF"/>
              <w:right w:val="single" w:sz="4" w:space="0" w:color="FFFFFF"/>
            </w:tcBorders>
            <w:vAlign w:val="bottom"/>
          </w:tcPr>
          <w:p w14:paraId="0BC7E342"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c>
          <w:tcPr>
            <w:tcW w:w="1963" w:type="dxa"/>
            <w:tcBorders>
              <w:top w:val="single" w:sz="4" w:space="0" w:color="FFFFFF"/>
              <w:left w:val="single" w:sz="4" w:space="0" w:color="FFFFFF"/>
              <w:bottom w:val="single" w:sz="4" w:space="0" w:color="FFFFFF"/>
              <w:right w:val="single" w:sz="4" w:space="0" w:color="FFFFFF"/>
            </w:tcBorders>
            <w:vAlign w:val="bottom"/>
          </w:tcPr>
          <w:p w14:paraId="0E661473"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3,5%</w:t>
            </w:r>
          </w:p>
        </w:tc>
      </w:tr>
      <w:tr w:rsidR="00173388" w14:paraId="59DB7806"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F2EA13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409" w:type="dxa"/>
            <w:tcBorders>
              <w:top w:val="single" w:sz="4" w:space="0" w:color="FFFFFF"/>
              <w:left w:val="single" w:sz="4" w:space="0" w:color="FFFFFF"/>
              <w:bottom w:val="single" w:sz="4" w:space="0" w:color="FFFFFF"/>
              <w:right w:val="single" w:sz="4" w:space="0" w:color="FFFFFF"/>
            </w:tcBorders>
            <w:vAlign w:val="bottom"/>
          </w:tcPr>
          <w:p w14:paraId="3AEB342A"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2.627 €</w:t>
            </w:r>
          </w:p>
        </w:tc>
        <w:tc>
          <w:tcPr>
            <w:tcW w:w="1985" w:type="dxa"/>
            <w:tcBorders>
              <w:top w:val="single" w:sz="4" w:space="0" w:color="FFFFFF"/>
              <w:left w:val="single" w:sz="4" w:space="0" w:color="FFFFFF"/>
              <w:bottom w:val="single" w:sz="4" w:space="0" w:color="FFFFFF"/>
              <w:right w:val="single" w:sz="4" w:space="0" w:color="FFFFFF"/>
            </w:tcBorders>
            <w:vAlign w:val="bottom"/>
          </w:tcPr>
          <w:p w14:paraId="6C3CF4DD"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0,0%</w:t>
            </w:r>
          </w:p>
        </w:tc>
        <w:tc>
          <w:tcPr>
            <w:tcW w:w="1963" w:type="dxa"/>
            <w:tcBorders>
              <w:top w:val="single" w:sz="4" w:space="0" w:color="FFFFFF"/>
              <w:left w:val="single" w:sz="4" w:space="0" w:color="FFFFFF"/>
              <w:bottom w:val="single" w:sz="4" w:space="0" w:color="FFFFFF"/>
              <w:right w:val="single" w:sz="4" w:space="0" w:color="FFFFFF"/>
            </w:tcBorders>
            <w:vAlign w:val="bottom"/>
          </w:tcPr>
          <w:p w14:paraId="798AB8AB"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2,9%</w:t>
            </w:r>
          </w:p>
        </w:tc>
      </w:tr>
      <w:tr w:rsidR="00173388" w14:paraId="7A591996"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3985A6A"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409" w:type="dxa"/>
            <w:tcBorders>
              <w:top w:val="single" w:sz="4" w:space="0" w:color="FFFFFF"/>
              <w:left w:val="single" w:sz="4" w:space="0" w:color="FFFFFF"/>
              <w:bottom w:val="single" w:sz="4" w:space="0" w:color="FFFFFF"/>
              <w:right w:val="single" w:sz="4" w:space="0" w:color="FFFFFF"/>
            </w:tcBorders>
            <w:vAlign w:val="bottom"/>
          </w:tcPr>
          <w:p w14:paraId="16D1855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3.509 €</w:t>
            </w:r>
          </w:p>
        </w:tc>
        <w:tc>
          <w:tcPr>
            <w:tcW w:w="1985" w:type="dxa"/>
            <w:tcBorders>
              <w:top w:val="single" w:sz="4" w:space="0" w:color="FFFFFF"/>
              <w:left w:val="single" w:sz="4" w:space="0" w:color="FFFFFF"/>
              <w:bottom w:val="single" w:sz="4" w:space="0" w:color="FFFFFF"/>
              <w:right w:val="single" w:sz="4" w:space="0" w:color="FFFFFF"/>
            </w:tcBorders>
            <w:vAlign w:val="bottom"/>
          </w:tcPr>
          <w:p w14:paraId="7EF5964C"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2,2%</w:t>
            </w:r>
          </w:p>
        </w:tc>
        <w:tc>
          <w:tcPr>
            <w:tcW w:w="1963" w:type="dxa"/>
            <w:tcBorders>
              <w:top w:val="single" w:sz="4" w:space="0" w:color="FFFFFF"/>
              <w:left w:val="single" w:sz="4" w:space="0" w:color="FFFFFF"/>
              <w:bottom w:val="single" w:sz="4" w:space="0" w:color="FFFFFF"/>
              <w:right w:val="single" w:sz="4" w:space="0" w:color="FFFFFF"/>
            </w:tcBorders>
            <w:vAlign w:val="bottom"/>
          </w:tcPr>
          <w:p w14:paraId="2E93E23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2,7%</w:t>
            </w:r>
          </w:p>
        </w:tc>
      </w:tr>
      <w:tr w:rsidR="00173388" w14:paraId="5ECD76BC"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7377AA4"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409" w:type="dxa"/>
            <w:tcBorders>
              <w:top w:val="single" w:sz="4" w:space="0" w:color="FFFFFF"/>
              <w:left w:val="single" w:sz="4" w:space="0" w:color="FFFFFF"/>
              <w:bottom w:val="single" w:sz="4" w:space="0" w:color="FFFFFF"/>
              <w:right w:val="single" w:sz="4" w:space="0" w:color="FFFFFF"/>
            </w:tcBorders>
            <w:vAlign w:val="bottom"/>
          </w:tcPr>
          <w:p w14:paraId="3668B5D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3.302 €</w:t>
            </w:r>
          </w:p>
        </w:tc>
        <w:tc>
          <w:tcPr>
            <w:tcW w:w="1985" w:type="dxa"/>
            <w:tcBorders>
              <w:top w:val="single" w:sz="4" w:space="0" w:color="FFFFFF"/>
              <w:left w:val="single" w:sz="4" w:space="0" w:color="FFFFFF"/>
              <w:bottom w:val="single" w:sz="4" w:space="0" w:color="FFFFFF"/>
              <w:right w:val="single" w:sz="4" w:space="0" w:color="FFFFFF"/>
            </w:tcBorders>
            <w:vAlign w:val="bottom"/>
          </w:tcPr>
          <w:p w14:paraId="6A144E1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bottom"/>
          </w:tcPr>
          <w:p w14:paraId="2804E4E2"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2,6%</w:t>
            </w:r>
          </w:p>
        </w:tc>
      </w:tr>
      <w:tr w:rsidR="00173388" w14:paraId="5A2D8898"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B50F2D3"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Sarrià - Sant Gervasi</w:t>
            </w:r>
          </w:p>
        </w:tc>
        <w:tc>
          <w:tcPr>
            <w:tcW w:w="2409" w:type="dxa"/>
            <w:tcBorders>
              <w:top w:val="single" w:sz="4" w:space="0" w:color="FFFFFF"/>
              <w:left w:val="single" w:sz="4" w:space="0" w:color="FFFFFF"/>
              <w:bottom w:val="single" w:sz="4" w:space="0" w:color="FFFFFF"/>
              <w:right w:val="single" w:sz="4" w:space="0" w:color="FFFFFF"/>
            </w:tcBorders>
            <w:vAlign w:val="bottom"/>
          </w:tcPr>
          <w:p w14:paraId="3B804B0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5.970 €</w:t>
            </w:r>
          </w:p>
        </w:tc>
        <w:tc>
          <w:tcPr>
            <w:tcW w:w="1985" w:type="dxa"/>
            <w:tcBorders>
              <w:top w:val="single" w:sz="4" w:space="0" w:color="FFFFFF"/>
              <w:left w:val="single" w:sz="4" w:space="0" w:color="FFFFFF"/>
              <w:bottom w:val="single" w:sz="4" w:space="0" w:color="FFFFFF"/>
              <w:right w:val="single" w:sz="4" w:space="0" w:color="FFFFFF"/>
            </w:tcBorders>
            <w:vAlign w:val="bottom"/>
          </w:tcPr>
          <w:p w14:paraId="43CB95ED"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-1,3%</w:t>
            </w:r>
          </w:p>
        </w:tc>
        <w:tc>
          <w:tcPr>
            <w:tcW w:w="1963" w:type="dxa"/>
            <w:tcBorders>
              <w:top w:val="single" w:sz="4" w:space="0" w:color="FFFFFF"/>
              <w:left w:val="single" w:sz="4" w:space="0" w:color="FFFFFF"/>
              <w:bottom w:val="single" w:sz="4" w:space="0" w:color="FFFFFF"/>
              <w:right w:val="single" w:sz="4" w:space="0" w:color="FFFFFF"/>
            </w:tcBorders>
            <w:vAlign w:val="bottom"/>
          </w:tcPr>
          <w:p w14:paraId="7443700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2,6%</w:t>
            </w:r>
          </w:p>
        </w:tc>
      </w:tr>
      <w:tr w:rsidR="00173388" w14:paraId="69BCE650"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FDE1726"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409" w:type="dxa"/>
            <w:tcBorders>
              <w:top w:val="single" w:sz="4" w:space="0" w:color="FFFFFF"/>
              <w:left w:val="single" w:sz="4" w:space="0" w:color="FFFFFF"/>
              <w:bottom w:val="single" w:sz="4" w:space="0" w:color="FFFFFF"/>
              <w:right w:val="single" w:sz="4" w:space="0" w:color="FFFFFF"/>
            </w:tcBorders>
            <w:vAlign w:val="bottom"/>
          </w:tcPr>
          <w:p w14:paraId="262ABDCF"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4.155 €</w:t>
            </w:r>
          </w:p>
        </w:tc>
        <w:tc>
          <w:tcPr>
            <w:tcW w:w="1985" w:type="dxa"/>
            <w:tcBorders>
              <w:top w:val="single" w:sz="4" w:space="0" w:color="FFFFFF"/>
              <w:left w:val="single" w:sz="4" w:space="0" w:color="FFFFFF"/>
              <w:bottom w:val="single" w:sz="4" w:space="0" w:color="FFFFFF"/>
              <w:right w:val="single" w:sz="4" w:space="0" w:color="FFFFFF"/>
            </w:tcBorders>
            <w:vAlign w:val="bottom"/>
          </w:tcPr>
          <w:p w14:paraId="50C0801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w:t>
            </w:r>
          </w:p>
        </w:tc>
        <w:tc>
          <w:tcPr>
            <w:tcW w:w="1963" w:type="dxa"/>
            <w:tcBorders>
              <w:top w:val="single" w:sz="4" w:space="0" w:color="FFFFFF"/>
              <w:left w:val="single" w:sz="4" w:space="0" w:color="FFFFFF"/>
              <w:bottom w:val="single" w:sz="4" w:space="0" w:color="FFFFFF"/>
              <w:right w:val="single" w:sz="4" w:space="0" w:color="FFFFFF"/>
            </w:tcBorders>
            <w:vAlign w:val="bottom"/>
          </w:tcPr>
          <w:p w14:paraId="03FF0704"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0,8%</w:t>
            </w:r>
          </w:p>
        </w:tc>
      </w:tr>
      <w:tr w:rsidR="00173388" w14:paraId="6E38D260"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EDC7E4E"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Ciutat Vella</w:t>
            </w:r>
          </w:p>
        </w:tc>
        <w:tc>
          <w:tcPr>
            <w:tcW w:w="2409" w:type="dxa"/>
            <w:tcBorders>
              <w:top w:val="single" w:sz="4" w:space="0" w:color="FFFFFF"/>
              <w:left w:val="single" w:sz="4" w:space="0" w:color="FFFFFF"/>
              <w:bottom w:val="single" w:sz="4" w:space="0" w:color="FFFFFF"/>
              <w:right w:val="single" w:sz="4" w:space="0" w:color="FFFFFF"/>
            </w:tcBorders>
            <w:vAlign w:val="bottom"/>
          </w:tcPr>
          <w:p w14:paraId="3BE637C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4.724 €</w:t>
            </w:r>
          </w:p>
        </w:tc>
        <w:tc>
          <w:tcPr>
            <w:tcW w:w="1985" w:type="dxa"/>
            <w:tcBorders>
              <w:top w:val="single" w:sz="4" w:space="0" w:color="FFFFFF"/>
              <w:left w:val="single" w:sz="4" w:space="0" w:color="FFFFFF"/>
              <w:bottom w:val="single" w:sz="4" w:space="0" w:color="FFFFFF"/>
              <w:right w:val="single" w:sz="4" w:space="0" w:color="FFFFFF"/>
            </w:tcBorders>
            <w:vAlign w:val="bottom"/>
          </w:tcPr>
          <w:p w14:paraId="09F58A2F"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bottom"/>
          </w:tcPr>
          <w:p w14:paraId="2BC2E0DA"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0,6%</w:t>
            </w:r>
          </w:p>
        </w:tc>
      </w:tr>
      <w:tr w:rsidR="00173388" w14:paraId="3D2DD6E9" w14:textId="77777777" w:rsidTr="001733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4EB9C25"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409" w:type="dxa"/>
            <w:tcBorders>
              <w:top w:val="single" w:sz="4" w:space="0" w:color="FFFFFF"/>
              <w:left w:val="single" w:sz="4" w:space="0" w:color="FFFFFF"/>
              <w:bottom w:val="single" w:sz="4" w:space="0" w:color="FFFFFF"/>
              <w:right w:val="single" w:sz="4" w:space="0" w:color="FFFFFF"/>
            </w:tcBorders>
            <w:vAlign w:val="bottom"/>
          </w:tcPr>
          <w:p w14:paraId="2DD2073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5.599 €</w:t>
            </w:r>
          </w:p>
        </w:tc>
        <w:tc>
          <w:tcPr>
            <w:tcW w:w="1985" w:type="dxa"/>
            <w:tcBorders>
              <w:top w:val="single" w:sz="4" w:space="0" w:color="FFFFFF"/>
              <w:left w:val="single" w:sz="4" w:space="0" w:color="FFFFFF"/>
              <w:bottom w:val="single" w:sz="4" w:space="0" w:color="FFFFFF"/>
              <w:right w:val="single" w:sz="4" w:space="0" w:color="FFFFFF"/>
            </w:tcBorders>
            <w:vAlign w:val="bottom"/>
          </w:tcPr>
          <w:p w14:paraId="6D6C9A28"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-1,1%</w:t>
            </w:r>
          </w:p>
        </w:tc>
        <w:tc>
          <w:tcPr>
            <w:tcW w:w="1963" w:type="dxa"/>
            <w:tcBorders>
              <w:top w:val="single" w:sz="4" w:space="0" w:color="FFFFFF"/>
              <w:left w:val="single" w:sz="4" w:space="0" w:color="FFFFFF"/>
              <w:bottom w:val="single" w:sz="4" w:space="0" w:color="FFFFFF"/>
              <w:right w:val="single" w:sz="4" w:space="0" w:color="FFFFFF"/>
            </w:tcBorders>
            <w:vAlign w:val="bottom"/>
          </w:tcPr>
          <w:p w14:paraId="7A62D90E" w14:textId="77777777" w:rsidR="0017338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-0,3%</w:t>
            </w:r>
          </w:p>
        </w:tc>
      </w:tr>
      <w:tr w:rsidR="00173388" w14:paraId="462B3412" w14:textId="77777777" w:rsidTr="001733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229A86FB" w14:textId="77777777" w:rsidR="00173388"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409" w:type="dxa"/>
            <w:tcBorders>
              <w:top w:val="single" w:sz="4" w:space="0" w:color="FFFFFF"/>
              <w:left w:val="single" w:sz="4" w:space="0" w:color="FFFFFF"/>
              <w:bottom w:val="single" w:sz="4" w:space="0" w:color="FFFFFF"/>
              <w:right w:val="single" w:sz="4" w:space="0" w:color="FFFFFF"/>
            </w:tcBorders>
            <w:vAlign w:val="bottom"/>
          </w:tcPr>
          <w:p w14:paraId="1D3918F6"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5.185 €</w:t>
            </w:r>
          </w:p>
        </w:tc>
        <w:tc>
          <w:tcPr>
            <w:tcW w:w="1985" w:type="dxa"/>
            <w:tcBorders>
              <w:top w:val="single" w:sz="4" w:space="0" w:color="FFFFFF"/>
              <w:left w:val="single" w:sz="4" w:space="0" w:color="FFFFFF"/>
              <w:bottom w:val="single" w:sz="4" w:space="0" w:color="FFFFFF"/>
              <w:right w:val="single" w:sz="4" w:space="0" w:color="FFFFFF"/>
            </w:tcBorders>
            <w:vAlign w:val="bottom"/>
          </w:tcPr>
          <w:p w14:paraId="327F5DAD"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-1,4%</w:t>
            </w:r>
          </w:p>
        </w:tc>
        <w:tc>
          <w:tcPr>
            <w:tcW w:w="1963" w:type="dxa"/>
            <w:tcBorders>
              <w:top w:val="single" w:sz="4" w:space="0" w:color="FFFFFF"/>
              <w:left w:val="single" w:sz="4" w:space="0" w:color="FFFFFF"/>
              <w:bottom w:val="single" w:sz="4" w:space="0" w:color="FFFFFF"/>
              <w:right w:val="single" w:sz="4" w:space="0" w:color="FFFFFF"/>
            </w:tcBorders>
            <w:vAlign w:val="bottom"/>
          </w:tcPr>
          <w:p w14:paraId="5B397430" w14:textId="77777777" w:rsidR="0017338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-4,1%</w:t>
            </w:r>
          </w:p>
        </w:tc>
      </w:tr>
    </w:tbl>
    <w:p w14:paraId="02798031" w14:textId="77777777" w:rsidR="00173388" w:rsidRDefault="00173388">
      <w:pPr>
        <w:spacing w:line="276" w:lineRule="auto"/>
        <w:ind w:right="-433"/>
        <w:jc w:val="right"/>
        <w:rPr>
          <w:rFonts w:ascii="Open Sans Light" w:eastAsia="Open Sans Light" w:hAnsi="Open Sans Light" w:cs="Open Sans Light"/>
          <w:b/>
          <w:color w:val="303AB2"/>
        </w:rPr>
      </w:pPr>
    </w:p>
    <w:p w14:paraId="0A378FA0" w14:textId="77777777" w:rsidR="00173388" w:rsidRDefault="00173388">
      <w:pPr>
        <w:spacing w:line="276" w:lineRule="auto"/>
        <w:jc w:val="right"/>
        <w:rPr>
          <w:rFonts w:ascii="Open Sans Light" w:eastAsia="Open Sans Light" w:hAnsi="Open Sans Light" w:cs="Open Sans Light"/>
          <w:b/>
          <w:color w:val="303AB2"/>
        </w:rPr>
      </w:pPr>
    </w:p>
    <w:p w14:paraId="108DACF8" w14:textId="77777777" w:rsidR="00173388"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6316746" w14:textId="77777777" w:rsidR="00173388"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5053B412" w14:textId="77777777" w:rsidR="00173388"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7">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362FEB3F" w14:textId="77777777" w:rsidR="00173388" w:rsidRDefault="00000000">
      <w:pPr>
        <w:shd w:val="clear" w:color="auto" w:fill="FFFFFF"/>
        <w:spacing w:before="280" w:after="280" w:line="276" w:lineRule="auto"/>
        <w:jc w:val="both"/>
        <w:rPr>
          <w:rFonts w:ascii="Open Sans" w:eastAsia="Open Sans" w:hAnsi="Open Sans" w:cs="Open Sans"/>
          <w:color w:val="000000"/>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760A3CE" w14:textId="77777777" w:rsidR="00173388"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01790077" w14:textId="77777777" w:rsidR="00173388" w:rsidRDefault="00000000">
      <w:pPr>
        <w:spacing w:before="143" w:after="200"/>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4">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1A13748E" w14:textId="77777777" w:rsidR="00173388"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76B1C36" w14:textId="77777777" w:rsidR="00173388"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10 países. El conjunto de sus plataformas locales recibe un promedio de 3.000 millones de visitas cada mes. </w:t>
      </w:r>
    </w:p>
    <w:p w14:paraId="63264AE6" w14:textId="77777777" w:rsidR="00173388"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4F1444C7" w14:textId="77777777" w:rsidR="00173388" w:rsidRDefault="00173388">
      <w:pPr>
        <w:spacing w:after="160"/>
        <w:jc w:val="both"/>
        <w:rPr>
          <w:rFonts w:ascii="Open Sans" w:eastAsia="Open Sans" w:hAnsi="Open Sans" w:cs="Open Sans"/>
        </w:rPr>
      </w:pPr>
    </w:p>
    <w:p w14:paraId="023255A2" w14:textId="77777777" w:rsidR="0047091A" w:rsidRDefault="0047091A">
      <w:pPr>
        <w:spacing w:after="160"/>
        <w:jc w:val="both"/>
        <w:rPr>
          <w:rFonts w:ascii="Open Sans" w:eastAsia="Open Sans" w:hAnsi="Open Sans" w:cs="Open Sans"/>
        </w:rPr>
      </w:pPr>
    </w:p>
    <w:p w14:paraId="4373C579" w14:textId="77777777" w:rsidR="0047091A" w:rsidRDefault="0047091A">
      <w:pPr>
        <w:spacing w:after="160"/>
        <w:jc w:val="both"/>
        <w:rPr>
          <w:rFonts w:ascii="Open Sans" w:eastAsia="Open Sans" w:hAnsi="Open Sans" w:cs="Open Sans"/>
        </w:rPr>
      </w:pPr>
    </w:p>
    <w:p w14:paraId="579F5D5C" w14:textId="77777777" w:rsidR="00173388"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Departamento Comunicación Fotocasa</w:t>
      </w:r>
    </w:p>
    <w:p w14:paraId="17CD6ED0" w14:textId="77777777" w:rsidR="00173388"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3F20D39D" w14:textId="77777777" w:rsidR="00173388" w:rsidRDefault="00000000">
      <w:pPr>
        <w:shd w:val="clear" w:color="auto" w:fill="FFFFFF"/>
        <w:spacing w:line="276" w:lineRule="auto"/>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696314C2" w14:textId="77777777" w:rsidR="00173388"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92057CE" w14:textId="77777777" w:rsidR="00173388" w:rsidRDefault="00173388">
      <w:pPr>
        <w:spacing w:line="276" w:lineRule="auto"/>
        <w:rPr>
          <w:rFonts w:ascii="Open Sans Light" w:eastAsia="Open Sans Light" w:hAnsi="Open Sans Light" w:cs="Open Sans Light"/>
          <w:b/>
          <w:color w:val="303AB2"/>
          <w:sz w:val="22"/>
          <w:szCs w:val="22"/>
        </w:rPr>
      </w:pPr>
    </w:p>
    <w:p w14:paraId="08D540F2" w14:textId="77777777" w:rsidR="00173388" w:rsidRDefault="00173388">
      <w:pPr>
        <w:spacing w:line="276" w:lineRule="auto"/>
        <w:rPr>
          <w:rFonts w:ascii="Open Sans Light" w:eastAsia="Open Sans Light" w:hAnsi="Open Sans Light" w:cs="Open Sans Light"/>
          <w:b/>
          <w:color w:val="303AB2"/>
          <w:sz w:val="22"/>
          <w:szCs w:val="22"/>
        </w:rPr>
      </w:pPr>
    </w:p>
    <w:p w14:paraId="782945D9" w14:textId="77777777" w:rsidR="00173388"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6269900A" w14:textId="77777777" w:rsidR="00173388"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6C7B35E" w14:textId="77777777" w:rsidR="00173388" w:rsidRPr="0047091A" w:rsidRDefault="00000000">
      <w:pPr>
        <w:shd w:val="clear" w:color="auto" w:fill="FFFFFF"/>
        <w:spacing w:line="276" w:lineRule="auto"/>
        <w:rPr>
          <w:rFonts w:ascii="Open Sans" w:eastAsia="Open Sans" w:hAnsi="Open Sans" w:cs="Open Sans"/>
          <w:color w:val="0000FF"/>
          <w:sz w:val="22"/>
          <w:szCs w:val="22"/>
          <w:u w:val="single"/>
          <w:lang w:val="en-US"/>
        </w:rPr>
      </w:pPr>
      <w:hyperlink r:id="rId27">
        <w:r w:rsidRPr="0047091A">
          <w:rPr>
            <w:rFonts w:ascii="Open Sans" w:eastAsia="Open Sans" w:hAnsi="Open Sans" w:cs="Open Sans"/>
            <w:color w:val="0000FF"/>
            <w:sz w:val="22"/>
            <w:szCs w:val="22"/>
            <w:u w:val="single"/>
            <w:lang w:val="en-US"/>
          </w:rPr>
          <w:t>rtorne@llorenteycuenca.com</w:t>
        </w:r>
      </w:hyperlink>
      <w:r w:rsidRPr="0047091A">
        <w:rPr>
          <w:rFonts w:ascii="Open Sans" w:eastAsia="Open Sans" w:hAnsi="Open Sans" w:cs="Open Sans"/>
          <w:color w:val="0000FF"/>
          <w:sz w:val="22"/>
          <w:szCs w:val="22"/>
          <w:lang w:val="en-US"/>
        </w:rPr>
        <w:tab/>
      </w:r>
      <w:r w:rsidRPr="0047091A">
        <w:rPr>
          <w:rFonts w:ascii="Open Sans" w:eastAsia="Open Sans" w:hAnsi="Open Sans" w:cs="Open Sans"/>
          <w:color w:val="0000FF"/>
          <w:sz w:val="22"/>
          <w:szCs w:val="22"/>
          <w:lang w:val="en-US"/>
        </w:rPr>
        <w:tab/>
      </w:r>
      <w:r w:rsidRPr="0047091A">
        <w:rPr>
          <w:rFonts w:ascii="Open Sans" w:eastAsia="Open Sans" w:hAnsi="Open Sans" w:cs="Open Sans"/>
          <w:color w:val="0000FF"/>
          <w:sz w:val="22"/>
          <w:szCs w:val="22"/>
          <w:lang w:val="en-US"/>
        </w:rPr>
        <w:tab/>
      </w:r>
    </w:p>
    <w:p w14:paraId="3638C78F" w14:textId="77777777" w:rsidR="00173388" w:rsidRPr="0047091A" w:rsidRDefault="00000000">
      <w:pPr>
        <w:shd w:val="clear" w:color="auto" w:fill="FFFFFF"/>
        <w:spacing w:line="276" w:lineRule="auto"/>
        <w:rPr>
          <w:rFonts w:ascii="Open Sans" w:eastAsia="Open Sans" w:hAnsi="Open Sans" w:cs="Open Sans"/>
          <w:color w:val="000000"/>
          <w:sz w:val="22"/>
          <w:szCs w:val="22"/>
          <w:lang w:val="en-US"/>
        </w:rPr>
      </w:pPr>
      <w:r w:rsidRPr="0047091A">
        <w:rPr>
          <w:rFonts w:ascii="Open Sans" w:eastAsia="Open Sans" w:hAnsi="Open Sans" w:cs="Open Sans"/>
          <w:color w:val="000000"/>
          <w:sz w:val="22"/>
          <w:szCs w:val="22"/>
          <w:lang w:val="en-US"/>
        </w:rPr>
        <w:t xml:space="preserve">638 68 19 85      </w:t>
      </w:r>
      <w:r w:rsidRPr="0047091A">
        <w:rPr>
          <w:rFonts w:ascii="Open Sans" w:eastAsia="Open Sans" w:hAnsi="Open Sans" w:cs="Open Sans"/>
          <w:color w:val="000000"/>
          <w:sz w:val="22"/>
          <w:szCs w:val="22"/>
          <w:lang w:val="en-US"/>
        </w:rPr>
        <w:tab/>
      </w:r>
      <w:r w:rsidRPr="0047091A">
        <w:rPr>
          <w:rFonts w:ascii="Open Sans" w:eastAsia="Open Sans" w:hAnsi="Open Sans" w:cs="Open Sans"/>
          <w:color w:val="000000"/>
          <w:sz w:val="22"/>
          <w:szCs w:val="22"/>
          <w:lang w:val="en-US"/>
        </w:rPr>
        <w:tab/>
      </w:r>
      <w:r w:rsidRPr="0047091A">
        <w:rPr>
          <w:rFonts w:ascii="Open Sans" w:eastAsia="Open Sans" w:hAnsi="Open Sans" w:cs="Open Sans"/>
          <w:color w:val="000000"/>
          <w:sz w:val="22"/>
          <w:szCs w:val="22"/>
          <w:lang w:val="en-US"/>
        </w:rPr>
        <w:tab/>
      </w:r>
      <w:r w:rsidRPr="0047091A">
        <w:rPr>
          <w:rFonts w:ascii="Open Sans" w:eastAsia="Open Sans" w:hAnsi="Open Sans" w:cs="Open Sans"/>
          <w:color w:val="000000"/>
          <w:sz w:val="22"/>
          <w:szCs w:val="22"/>
          <w:lang w:val="en-US"/>
        </w:rPr>
        <w:tab/>
      </w:r>
      <w:r w:rsidRPr="0047091A">
        <w:rPr>
          <w:rFonts w:ascii="Open Sans" w:eastAsia="Open Sans" w:hAnsi="Open Sans" w:cs="Open Sans"/>
          <w:color w:val="000000"/>
          <w:sz w:val="22"/>
          <w:szCs w:val="22"/>
          <w:lang w:val="en-US"/>
        </w:rPr>
        <w:tab/>
      </w:r>
      <w:r w:rsidRPr="0047091A">
        <w:rPr>
          <w:rFonts w:ascii="Open Sans" w:eastAsia="Open Sans" w:hAnsi="Open Sans" w:cs="Open Sans"/>
          <w:color w:val="000000"/>
          <w:sz w:val="22"/>
          <w:szCs w:val="22"/>
          <w:lang w:val="en-US"/>
        </w:rPr>
        <w:tab/>
      </w:r>
      <w:r w:rsidRPr="0047091A">
        <w:rPr>
          <w:rFonts w:ascii="Open Sans" w:eastAsia="Open Sans" w:hAnsi="Open Sans" w:cs="Open Sans"/>
          <w:color w:val="000000"/>
          <w:sz w:val="22"/>
          <w:szCs w:val="22"/>
          <w:lang w:val="en-US"/>
        </w:rPr>
        <w:tab/>
      </w:r>
      <w:r w:rsidRPr="0047091A">
        <w:rPr>
          <w:rFonts w:ascii="Open Sans" w:eastAsia="Open Sans" w:hAnsi="Open Sans" w:cs="Open Sans"/>
          <w:color w:val="000000"/>
          <w:sz w:val="22"/>
          <w:szCs w:val="22"/>
          <w:lang w:val="en-US"/>
        </w:rPr>
        <w:tab/>
      </w:r>
    </w:p>
    <w:p w14:paraId="3B4C8B72" w14:textId="77777777" w:rsidR="00173388" w:rsidRPr="0047091A" w:rsidRDefault="00000000">
      <w:pPr>
        <w:shd w:val="clear" w:color="auto" w:fill="FFFFFF"/>
        <w:rPr>
          <w:rFonts w:ascii="Arial" w:eastAsia="Arial" w:hAnsi="Arial" w:cs="Arial"/>
          <w:color w:val="222222"/>
          <w:sz w:val="22"/>
          <w:szCs w:val="22"/>
          <w:lang w:val="en-US"/>
        </w:rPr>
      </w:pPr>
      <w:r w:rsidRPr="0047091A">
        <w:rPr>
          <w:rFonts w:ascii="Arial" w:eastAsia="Arial" w:hAnsi="Arial" w:cs="Arial"/>
          <w:color w:val="222222"/>
          <w:sz w:val="22"/>
          <w:szCs w:val="22"/>
          <w:lang w:val="en-US"/>
        </w:rPr>
        <w:tab/>
      </w:r>
    </w:p>
    <w:p w14:paraId="028E6DBC" w14:textId="77777777" w:rsidR="00173388" w:rsidRPr="0047091A" w:rsidRDefault="00000000">
      <w:pPr>
        <w:shd w:val="clear" w:color="auto" w:fill="FFFFFF"/>
        <w:rPr>
          <w:rFonts w:ascii="Arial" w:eastAsia="Arial" w:hAnsi="Arial" w:cs="Arial"/>
          <w:color w:val="222222"/>
          <w:sz w:val="22"/>
          <w:szCs w:val="22"/>
          <w:lang w:val="en-US"/>
        </w:rPr>
      </w:pPr>
      <w:r w:rsidRPr="0047091A">
        <w:rPr>
          <w:rFonts w:ascii="Arial" w:eastAsia="Arial" w:hAnsi="Arial" w:cs="Arial"/>
          <w:color w:val="222222"/>
          <w:sz w:val="22"/>
          <w:szCs w:val="22"/>
          <w:lang w:val="en-US"/>
        </w:rPr>
        <w:tab/>
      </w:r>
      <w:r w:rsidRPr="0047091A">
        <w:rPr>
          <w:rFonts w:ascii="Arial" w:eastAsia="Arial" w:hAnsi="Arial" w:cs="Arial"/>
          <w:color w:val="222222"/>
          <w:sz w:val="22"/>
          <w:szCs w:val="22"/>
          <w:lang w:val="en-US"/>
        </w:rPr>
        <w:tab/>
      </w:r>
      <w:r w:rsidRPr="0047091A">
        <w:rPr>
          <w:rFonts w:ascii="Arial" w:eastAsia="Arial" w:hAnsi="Arial" w:cs="Arial"/>
          <w:color w:val="222222"/>
          <w:sz w:val="22"/>
          <w:szCs w:val="22"/>
          <w:lang w:val="en-US"/>
        </w:rPr>
        <w:tab/>
      </w:r>
      <w:r w:rsidRPr="0047091A">
        <w:rPr>
          <w:rFonts w:ascii="Arial" w:eastAsia="Arial" w:hAnsi="Arial" w:cs="Arial"/>
          <w:color w:val="222222"/>
          <w:sz w:val="22"/>
          <w:szCs w:val="22"/>
          <w:lang w:val="en-US"/>
        </w:rPr>
        <w:tab/>
      </w:r>
      <w:r w:rsidRPr="0047091A">
        <w:rPr>
          <w:rFonts w:ascii="Arial" w:eastAsia="Arial" w:hAnsi="Arial" w:cs="Arial"/>
          <w:color w:val="222222"/>
          <w:sz w:val="22"/>
          <w:szCs w:val="22"/>
          <w:lang w:val="en-US"/>
        </w:rPr>
        <w:tab/>
      </w:r>
      <w:r w:rsidRPr="0047091A">
        <w:rPr>
          <w:rFonts w:ascii="Arial" w:eastAsia="Arial" w:hAnsi="Arial" w:cs="Arial"/>
          <w:color w:val="222222"/>
          <w:sz w:val="22"/>
          <w:szCs w:val="22"/>
          <w:lang w:val="en-US"/>
        </w:rPr>
        <w:tab/>
        <w:t xml:space="preserve">     </w:t>
      </w:r>
    </w:p>
    <w:p w14:paraId="2D146631" w14:textId="77777777" w:rsidR="00173388" w:rsidRPr="0047091A" w:rsidRDefault="00000000">
      <w:pPr>
        <w:shd w:val="clear" w:color="auto" w:fill="FFFFFF"/>
        <w:rPr>
          <w:rFonts w:ascii="Open Sans" w:eastAsia="Open Sans" w:hAnsi="Open Sans" w:cs="Open Sans"/>
          <w:b/>
          <w:color w:val="000000"/>
          <w:sz w:val="22"/>
          <w:szCs w:val="22"/>
          <w:lang w:val="en-US"/>
        </w:rPr>
      </w:pPr>
      <w:r w:rsidRPr="0047091A">
        <w:rPr>
          <w:rFonts w:ascii="Open Sans" w:eastAsia="Open Sans" w:hAnsi="Open Sans" w:cs="Open Sans"/>
          <w:b/>
          <w:color w:val="000000"/>
          <w:sz w:val="22"/>
          <w:szCs w:val="22"/>
          <w:lang w:val="en-US"/>
        </w:rPr>
        <w:t>Fanny Merino</w:t>
      </w:r>
    </w:p>
    <w:p w14:paraId="02A135AE" w14:textId="77777777" w:rsidR="00173388" w:rsidRPr="0047091A" w:rsidRDefault="00000000">
      <w:pPr>
        <w:shd w:val="clear" w:color="auto" w:fill="FFFFFF"/>
        <w:rPr>
          <w:rFonts w:ascii="Open Sans" w:eastAsia="Open Sans" w:hAnsi="Open Sans" w:cs="Open Sans"/>
          <w:b/>
          <w:color w:val="000000"/>
          <w:sz w:val="22"/>
          <w:szCs w:val="22"/>
          <w:lang w:val="en-US"/>
        </w:rPr>
      </w:pPr>
      <w:hyperlink r:id="rId28">
        <w:r w:rsidRPr="0047091A">
          <w:rPr>
            <w:rFonts w:ascii="Open Sans" w:eastAsia="Open Sans" w:hAnsi="Open Sans" w:cs="Open Sans"/>
            <w:color w:val="0000FF"/>
            <w:sz w:val="22"/>
            <w:szCs w:val="22"/>
            <w:u w:val="single"/>
            <w:lang w:val="en-US"/>
          </w:rPr>
          <w:t>emerino@llorenteycuenca.com</w:t>
        </w:r>
      </w:hyperlink>
      <w:r w:rsidRPr="0047091A">
        <w:rPr>
          <w:rFonts w:ascii="Open Sans" w:eastAsia="Open Sans" w:hAnsi="Open Sans" w:cs="Open Sans"/>
          <w:color w:val="0000FF"/>
          <w:sz w:val="22"/>
          <w:szCs w:val="22"/>
          <w:lang w:val="en-US"/>
        </w:rPr>
        <w:tab/>
      </w:r>
      <w:r w:rsidRPr="0047091A">
        <w:rPr>
          <w:rFonts w:ascii="Open Sans" w:eastAsia="Open Sans" w:hAnsi="Open Sans" w:cs="Open Sans"/>
          <w:color w:val="0000FF"/>
          <w:sz w:val="22"/>
          <w:szCs w:val="22"/>
          <w:lang w:val="en-US"/>
        </w:rPr>
        <w:tab/>
      </w:r>
    </w:p>
    <w:p w14:paraId="7D951073" w14:textId="77777777" w:rsidR="00173388"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5AA50D7B" w14:textId="77777777" w:rsidR="00173388" w:rsidRDefault="00173388">
      <w:pPr>
        <w:shd w:val="clear" w:color="auto" w:fill="FFFFFF"/>
        <w:rPr>
          <w:rFonts w:ascii="Open Sans" w:eastAsia="Open Sans" w:hAnsi="Open Sans" w:cs="Open Sans"/>
          <w:color w:val="000000"/>
          <w:sz w:val="22"/>
          <w:szCs w:val="22"/>
        </w:rPr>
      </w:pPr>
    </w:p>
    <w:p w14:paraId="09030247" w14:textId="77777777" w:rsidR="00173388" w:rsidRDefault="00173388">
      <w:pPr>
        <w:spacing w:line="276" w:lineRule="auto"/>
        <w:jc w:val="right"/>
        <w:rPr>
          <w:rFonts w:ascii="Open Sans" w:eastAsia="Open Sans" w:hAnsi="Open Sans" w:cs="Open Sans"/>
          <w:color w:val="000000"/>
          <w:sz w:val="21"/>
          <w:szCs w:val="21"/>
        </w:rPr>
      </w:pPr>
    </w:p>
    <w:sectPr w:rsidR="00173388">
      <w:footerReference w:type="default" r:id="rId29"/>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DDC9" w14:textId="77777777" w:rsidR="00CA2EE8" w:rsidRDefault="00CA2EE8">
      <w:r>
        <w:separator/>
      </w:r>
    </w:p>
  </w:endnote>
  <w:endnote w:type="continuationSeparator" w:id="0">
    <w:p w14:paraId="2ED7A7C7" w14:textId="77777777" w:rsidR="00CA2EE8" w:rsidRDefault="00CA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4117" w14:textId="77777777" w:rsidR="0017338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5066039D" wp14:editId="74A5783F">
          <wp:simplePos x="0" y="0"/>
          <wp:positionH relativeFrom="column">
            <wp:posOffset>-1068069</wp:posOffset>
          </wp:positionH>
          <wp:positionV relativeFrom="paragraph">
            <wp:posOffset>174608</wp:posOffset>
          </wp:positionV>
          <wp:extent cx="7670550" cy="451315"/>
          <wp:effectExtent l="0" t="0" r="0" b="0"/>
          <wp:wrapNone/>
          <wp:docPr id="70089888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C4CF" w14:textId="77777777" w:rsidR="00CA2EE8" w:rsidRDefault="00CA2EE8">
      <w:r>
        <w:separator/>
      </w:r>
    </w:p>
  </w:footnote>
  <w:footnote w:type="continuationSeparator" w:id="0">
    <w:p w14:paraId="25C41504" w14:textId="77777777" w:rsidR="00CA2EE8" w:rsidRDefault="00CA2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554CE"/>
    <w:multiLevelType w:val="multilevel"/>
    <w:tmpl w:val="6D886B96"/>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406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8"/>
    <w:rsid w:val="00173388"/>
    <w:rsid w:val="0047091A"/>
    <w:rsid w:val="00A778CA"/>
    <w:rsid w:val="00CA2EE8"/>
    <w:rsid w:val="00E55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B88A"/>
  <w15:docId w15:val="{81CA383C-F585-41B8-AF20-C935B323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6D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fotocasa.es/es/quienes-somo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adevinta.com/"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habitacl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milanuncios.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emerino@llorenteycuenca.com" TargetMode="External"/><Relationship Id="rId10" Type="http://schemas.openxmlformats.org/officeDocument/2006/relationships/chart" Target="charts/chart1.xml"/><Relationship Id="rId19" Type="http://schemas.openxmlformats.org/officeDocument/2006/relationships/hyperlink" Target="https://www.fotocasa.e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www.fotocasa.es" TargetMode="External"/><Relationship Id="rId22" Type="http://schemas.openxmlformats.org/officeDocument/2006/relationships/hyperlink" Target="https://www.coches.net/" TargetMode="External"/><Relationship Id="rId27" Type="http://schemas.openxmlformats.org/officeDocument/2006/relationships/hyperlink" Target="mailto:rtorne@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1-VENTA\01-NOTAS%20DE%20PRENSA\2023\10-OCTUBRE\PRENSA%20VENTA%20octubre%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4.605375202992458E-2"/>
          <c:y val="4.3348280546401358E-2"/>
          <c:w val="0.89913341540741254"/>
          <c:h val="0.70374090312574566"/>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5"/>
              <c:layout>
                <c:manualLayout>
                  <c:x val="6.78264575522980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37-48A1-8278-E93418E6C43E}"/>
                </c:ext>
              </c:extLst>
            </c:dLbl>
            <c:dLbl>
              <c:idx val="9"/>
              <c:layout>
                <c:manualLayout>
                  <c:x val="-1.8832023099033309E-3"/>
                  <c:y val="5.96734914765040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37-48A1-8278-E93418E6C43E}"/>
                </c:ext>
              </c:extLst>
            </c:dLbl>
            <c:numFmt formatCode="#,##0.0&quot;%&quot;"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Hoja5!$A$31:$B$43</c:f>
              <c:multiLvlStrCache>
                <c:ptCount val="13"/>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lvl>
                <c:lvl>
                  <c:pt idx="0">
                    <c:v>2022</c:v>
                  </c:pt>
                  <c:pt idx="3">
                    <c:v>2023</c:v>
                  </c:pt>
                </c:lvl>
              </c:multiLvlStrCache>
            </c:multiLvlStrRef>
          </c:cat>
          <c:val>
            <c:numRef>
              <c:f>Hoja5!$C$31:$C$43</c:f>
              <c:numCache>
                <c:formatCode>#,##0.0"%"</c:formatCode>
                <c:ptCount val="13"/>
                <c:pt idx="0">
                  <c:v>0.70278577716766932</c:v>
                </c:pt>
                <c:pt idx="1">
                  <c:v>1.0584284091470275</c:v>
                </c:pt>
                <c:pt idx="2">
                  <c:v>0.22921319759741099</c:v>
                </c:pt>
                <c:pt idx="3">
                  <c:v>0.53198232901960907</c:v>
                </c:pt>
                <c:pt idx="4">
                  <c:v>1.1635859205618493</c:v>
                </c:pt>
                <c:pt idx="5">
                  <c:v>0.80116218859673793</c:v>
                </c:pt>
                <c:pt idx="6">
                  <c:v>0.51464258025237797</c:v>
                </c:pt>
                <c:pt idx="7">
                  <c:v>0.83189400212941855</c:v>
                </c:pt>
                <c:pt idx="8">
                  <c:v>0.71756076270748093</c:v>
                </c:pt>
                <c:pt idx="9">
                  <c:v>0.17426798128716836</c:v>
                </c:pt>
                <c:pt idx="10">
                  <c:v>-0.2381550426539536</c:v>
                </c:pt>
                <c:pt idx="11">
                  <c:v>0.30353329541110902</c:v>
                </c:pt>
                <c:pt idx="12">
                  <c:v>0.37048227774549858</c:v>
                </c:pt>
              </c:numCache>
            </c:numRef>
          </c:val>
          <c:extLst>
            <c:ext xmlns:c16="http://schemas.microsoft.com/office/drawing/2014/chart" uri="{C3380CC4-5D6E-409C-BE32-E72D297353CC}">
              <c16:uniqueId val="{00000002-2937-48A1-8278-E93418E6C43E}"/>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0"/>
              <c:layout>
                <c:manualLayout>
                  <c:x val="0"/>
                  <c:y val="1.234609721949001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37-48A1-8278-E93418E6C43E}"/>
                </c:ext>
              </c:extLst>
            </c:dLbl>
            <c:dLbl>
              <c:idx val="1"/>
              <c:layout>
                <c:manualLayout>
                  <c:x val="0"/>
                  <c:y val="3.86424444264649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37-48A1-8278-E93418E6C43E}"/>
                </c:ext>
              </c:extLst>
            </c:dLbl>
            <c:numFmt formatCode="#,##0.0&quot;%&quot;"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lvl>
                <c:lvl>
                  <c:pt idx="0">
                    <c:v>2022</c:v>
                  </c:pt>
                  <c:pt idx="3">
                    <c:v>2023</c:v>
                  </c:pt>
                </c:lvl>
              </c:multiLvlStrCache>
            </c:multiLvlStrRef>
          </c:cat>
          <c:val>
            <c:numRef>
              <c:f>Hoja5!$D$31:$D$43</c:f>
              <c:numCache>
                <c:formatCode>#,##0.0"%"</c:formatCode>
                <c:ptCount val="13"/>
                <c:pt idx="0">
                  <c:v>6.9696425363750647</c:v>
                </c:pt>
                <c:pt idx="1">
                  <c:v>7.0784511766891711</c:v>
                </c:pt>
                <c:pt idx="2">
                  <c:v>7.5281558692141592</c:v>
                </c:pt>
                <c:pt idx="3">
                  <c:v>8.997430664960838</c:v>
                </c:pt>
                <c:pt idx="4">
                  <c:v>9.887516134980622</c:v>
                </c:pt>
                <c:pt idx="5">
                  <c:v>9.8890358190076419</c:v>
                </c:pt>
                <c:pt idx="6">
                  <c:v>10.044470828386354</c:v>
                </c:pt>
                <c:pt idx="7">
                  <c:v>10.193876020706295</c:v>
                </c:pt>
                <c:pt idx="8">
                  <c:v>10.847580186973804</c:v>
                </c:pt>
                <c:pt idx="9">
                  <c:v>9.6945700203075802</c:v>
                </c:pt>
                <c:pt idx="10">
                  <c:v>7.8783367117513547</c:v>
                </c:pt>
                <c:pt idx="11">
                  <c:v>6.9970207453607713</c:v>
                </c:pt>
                <c:pt idx="12">
                  <c:v>6.6439472514446374</c:v>
                </c:pt>
              </c:numCache>
            </c:numRef>
          </c:val>
          <c:extLst>
            <c:ext xmlns:c16="http://schemas.microsoft.com/office/drawing/2014/chart" uri="{C3380CC4-5D6E-409C-BE32-E72D297353CC}">
              <c16:uniqueId val="{00000005-2937-48A1-8278-E93418E6C43E}"/>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0.12402571386666411"/>
          <c:y val="0.89729815127644519"/>
          <c:w val="0.84440494727317739"/>
          <c:h val="9.18170281031738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0">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0.04503</cdr:x>
      <cdr:y>0.64721</cdr:y>
    </cdr:from>
    <cdr:to>
      <cdr:x>0.94077</cdr:x>
      <cdr:y>0.64728</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flipV="1">
          <a:off x="259389" y="1735960"/>
          <a:ext cx="5160108" cy="187"/>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q7FRDe3LZYqBP5aAYP6QUhzOig==">CgMxLjAyCGguZ2pkZ3hzMgloLjJzOGV5bzE4AHIhMVpUVW9wMWZucFF2b2huY3loU0d0eXhMcU1QQzBPa1VS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2750</Words>
  <Characters>15127</Characters>
  <Application>Microsoft Office Word</Application>
  <DocSecurity>0</DocSecurity>
  <Lines>126</Lines>
  <Paragraphs>35</Paragraphs>
  <ScaleCrop>false</ScaleCrop>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3</cp:revision>
  <dcterms:created xsi:type="dcterms:W3CDTF">2020-08-26T10:47:00Z</dcterms:created>
  <dcterms:modified xsi:type="dcterms:W3CDTF">2023-11-01T21:37:00Z</dcterms:modified>
</cp:coreProperties>
</file>