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57D92" w14:textId="77777777" w:rsidR="00E26BD0" w:rsidRDefault="00000000">
      <w:r>
        <w:rPr>
          <w:noProof/>
        </w:rPr>
        <w:drawing>
          <wp:anchor distT="0" distB="0" distL="114300" distR="114300" simplePos="0" relativeHeight="251658240" behindDoc="0" locked="0" layoutInCell="1" hidden="0" allowOverlap="1" wp14:anchorId="6CE202C4" wp14:editId="35910B52">
            <wp:simplePos x="0" y="0"/>
            <wp:positionH relativeFrom="column">
              <wp:posOffset>-1078860</wp:posOffset>
            </wp:positionH>
            <wp:positionV relativeFrom="paragraph">
              <wp:posOffset>-350448</wp:posOffset>
            </wp:positionV>
            <wp:extent cx="7581265" cy="101917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CFF38EF" w14:textId="77777777" w:rsidR="00E26BD0" w:rsidRDefault="00E26BD0">
      <w:pPr>
        <w:jc w:val="right"/>
        <w:rPr>
          <w:rFonts w:ascii="National" w:eastAsia="National" w:hAnsi="National" w:cs="National"/>
          <w:color w:val="303AB2"/>
          <w:sz w:val="36"/>
          <w:szCs w:val="36"/>
        </w:rPr>
      </w:pPr>
    </w:p>
    <w:p w14:paraId="2637FC12" w14:textId="77777777" w:rsidR="00E26BD0" w:rsidRDefault="00E26BD0">
      <w:pPr>
        <w:jc w:val="right"/>
        <w:rPr>
          <w:rFonts w:ascii="National" w:eastAsia="National" w:hAnsi="National" w:cs="National"/>
          <w:color w:val="303AB2"/>
          <w:sz w:val="36"/>
          <w:szCs w:val="36"/>
        </w:rPr>
      </w:pPr>
    </w:p>
    <w:p w14:paraId="4CCE10CF" w14:textId="77777777" w:rsidR="00E26BD0" w:rsidRDefault="00E26BD0">
      <w:pPr>
        <w:rPr>
          <w:rFonts w:ascii="National" w:eastAsia="National" w:hAnsi="National" w:cs="National"/>
          <w:color w:val="303AB2"/>
          <w:sz w:val="18"/>
          <w:szCs w:val="18"/>
        </w:rPr>
      </w:pPr>
    </w:p>
    <w:p w14:paraId="1867BFFA" w14:textId="77777777" w:rsidR="00E26BD0"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5F3C8713" w14:textId="77777777" w:rsidR="00E26BD0" w:rsidRDefault="00000000">
      <w:pPr>
        <w:jc w:val="center"/>
        <w:rPr>
          <w:rFonts w:ascii="National" w:eastAsia="National" w:hAnsi="National" w:cs="National"/>
          <w:b/>
          <w:color w:val="303AB2"/>
          <w:sz w:val="14"/>
          <w:szCs w:val="14"/>
        </w:rPr>
      </w:pPr>
      <w:r>
        <w:rPr>
          <w:rFonts w:ascii="National" w:eastAsia="National" w:hAnsi="National" w:cs="National"/>
          <w:b/>
          <w:color w:val="303AB2"/>
          <w:sz w:val="54"/>
          <w:szCs w:val="54"/>
        </w:rPr>
        <w:t>La subida de tipos reduce la sobredemanda de compra, pero persiste el desequilibrio con la oferta</w:t>
      </w:r>
    </w:p>
    <w:p w14:paraId="3016D904" w14:textId="77777777" w:rsidR="00E26BD0" w:rsidRDefault="00E26BD0">
      <w:pPr>
        <w:spacing w:line="276" w:lineRule="auto"/>
        <w:ind w:right="4"/>
        <w:jc w:val="both"/>
        <w:rPr>
          <w:rFonts w:ascii="Open Sans" w:eastAsia="Open Sans" w:hAnsi="Open Sans" w:cs="Open Sans"/>
          <w:color w:val="303AB2"/>
        </w:rPr>
      </w:pPr>
    </w:p>
    <w:p w14:paraId="7790449E" w14:textId="24BDCD41" w:rsidR="00E26BD0"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demanda de compra cae dos puntos porcentuales en un año, debido al cambio en la política monetaria y a la subida del precio</w:t>
      </w:r>
      <w:r w:rsidR="00FC4C4F">
        <w:rPr>
          <w:rFonts w:ascii="Open Sans" w:eastAsia="Open Sans" w:hAnsi="Open Sans" w:cs="Open Sans"/>
          <w:color w:val="303AB2"/>
        </w:rPr>
        <w:t xml:space="preserve"> de la vivienda</w:t>
      </w:r>
    </w:p>
    <w:p w14:paraId="74A55D41" w14:textId="77777777" w:rsidR="00E26BD0"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diferencia entre compradores (14%) y vendedores (4%) es de 10 puntos, un desfase muy pronunciado</w:t>
      </w:r>
    </w:p>
    <w:p w14:paraId="06F76A32" w14:textId="77777777" w:rsidR="00E26BD0"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oferta de venta se mantiene estable tras una tendencia a la baja en los cuatro ejercicios anteriores</w:t>
      </w:r>
    </w:p>
    <w:p w14:paraId="5CB1C313" w14:textId="77777777" w:rsidR="00E26BD0" w:rsidRDefault="00E26BD0">
      <w:pPr>
        <w:spacing w:line="276" w:lineRule="auto"/>
        <w:ind w:right="4"/>
        <w:jc w:val="both"/>
        <w:rPr>
          <w:rFonts w:ascii="Open Sans" w:eastAsia="Open Sans" w:hAnsi="Open Sans" w:cs="Open Sans"/>
          <w:color w:val="303AB2"/>
        </w:rPr>
      </w:pPr>
    </w:p>
    <w:p w14:paraId="2A95919C" w14:textId="77777777" w:rsidR="00E26BD0" w:rsidRDefault="00000000">
      <w:pPr>
        <w:spacing w:line="276" w:lineRule="auto"/>
        <w:ind w:right="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8 de noviembre de 2023</w:t>
      </w:r>
    </w:p>
    <w:p w14:paraId="46FFE21E" w14:textId="77777777" w:rsidR="00E26BD0" w:rsidRDefault="00E26BD0">
      <w:pPr>
        <w:spacing w:line="276" w:lineRule="auto"/>
        <w:ind w:right="4"/>
        <w:jc w:val="both"/>
        <w:rPr>
          <w:rFonts w:ascii="Open Sans Light" w:eastAsia="Open Sans Light" w:hAnsi="Open Sans Light" w:cs="Open Sans Light"/>
          <w:b/>
          <w:color w:val="303AB2"/>
        </w:rPr>
      </w:pPr>
    </w:p>
    <w:p w14:paraId="61926792" w14:textId="7F1E9566" w:rsidR="00E26BD0"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mercado de la compraventa de vivienda permanece desequilibrado pese a las alteraciones producidas por la subida de los tipos de interés, que han logrado reducir la demanda, pero no lo suficiente. La situación sigue siendo similar a la de la prepandemia en 2019. </w:t>
      </w:r>
      <w:r>
        <w:rPr>
          <w:rFonts w:ascii="Open Sans" w:eastAsia="Open Sans" w:hAnsi="Open Sans" w:cs="Open Sans"/>
          <w:b/>
        </w:rPr>
        <w:t>El 14% de particulares buscan comprar una vivienda, frente a sólo el 4% que la oferta</w:t>
      </w:r>
      <w:r w:rsidR="00FC4C4F">
        <w:rPr>
          <w:rFonts w:ascii="Open Sans" w:eastAsia="Open Sans" w:hAnsi="Open Sans" w:cs="Open Sans"/>
        </w:rPr>
        <w:t xml:space="preserve">. Esta </w:t>
      </w:r>
      <w:r>
        <w:rPr>
          <w:rFonts w:ascii="Open Sans" w:eastAsia="Open Sans" w:hAnsi="Open Sans" w:cs="Open Sans"/>
        </w:rPr>
        <w:t xml:space="preserve">es una de las principales conclusiones que se desprenden del informe </w:t>
      </w:r>
      <w:r>
        <w:rPr>
          <w:rFonts w:ascii="Open Sans" w:eastAsia="Open Sans" w:hAnsi="Open Sans" w:cs="Open Sans"/>
          <w:i/>
        </w:rPr>
        <w:t>“</w:t>
      </w:r>
      <w:hyperlink r:id="rId9" w:history="1">
        <w:r w:rsidRPr="008A0B05">
          <w:rPr>
            <w:rStyle w:val="Hipervnculo"/>
            <w:rFonts w:ascii="Open Sans" w:eastAsia="Open Sans" w:hAnsi="Open Sans" w:cs="Open Sans"/>
            <w:b/>
            <w:bCs/>
            <w:i/>
          </w:rPr>
          <w:t>Experiencia en compraventa en el primer semestre de 2023</w:t>
        </w:r>
      </w:hyperlink>
      <w:r w:rsidRPr="008A0B05">
        <w:rPr>
          <w:rFonts w:ascii="Open Sans" w:eastAsia="Open Sans" w:hAnsi="Open Sans" w:cs="Open Sans"/>
          <w:i/>
        </w:rPr>
        <w:t>”</w:t>
      </w:r>
      <w:r>
        <w:rPr>
          <w:rFonts w:ascii="Open Sans" w:eastAsia="Open Sans" w:hAnsi="Open Sans" w:cs="Open Sans"/>
        </w:rPr>
        <w:t xml:space="preserve"> en el que se analiza el comportamiento del mercado</w:t>
      </w:r>
      <w:r w:rsidR="00FC4C4F">
        <w:rPr>
          <w:rFonts w:ascii="Open Sans" w:eastAsia="Open Sans" w:hAnsi="Open Sans" w:cs="Open Sans"/>
        </w:rPr>
        <w:t xml:space="preserve"> de compra y venta</w:t>
      </w:r>
      <w:r>
        <w:rPr>
          <w:rFonts w:ascii="Open Sans" w:eastAsia="Open Sans" w:hAnsi="Open Sans" w:cs="Open Sans"/>
        </w:rPr>
        <w:t xml:space="preserve"> y de los actores que conforman el mismo. </w:t>
      </w:r>
    </w:p>
    <w:p w14:paraId="489C419A" w14:textId="77777777" w:rsidR="00E26BD0" w:rsidRDefault="00E26BD0">
      <w:pPr>
        <w:spacing w:line="276" w:lineRule="auto"/>
        <w:ind w:right="4"/>
        <w:jc w:val="both"/>
        <w:rPr>
          <w:rFonts w:ascii="Open Sans" w:eastAsia="Open Sans" w:hAnsi="Open Sans" w:cs="Open Sans"/>
        </w:rPr>
      </w:pPr>
    </w:p>
    <w:p w14:paraId="2D8D8A90" w14:textId="1C201317" w:rsidR="00E26BD0" w:rsidRDefault="00000000">
      <w:pPr>
        <w:spacing w:line="276" w:lineRule="auto"/>
        <w:ind w:right="4"/>
        <w:jc w:val="both"/>
        <w:rPr>
          <w:rFonts w:ascii="Open Sans" w:eastAsia="Open Sans" w:hAnsi="Open Sans" w:cs="Open Sans"/>
        </w:rPr>
      </w:pPr>
      <w:r>
        <w:rPr>
          <w:rFonts w:ascii="Open Sans" w:eastAsia="Open Sans" w:hAnsi="Open Sans" w:cs="Open Sans"/>
        </w:rPr>
        <w:t>Al poner el foco de manera separada en compra y venta, se muestra que</w:t>
      </w:r>
      <w:r w:rsidR="00AE2EB9">
        <w:rPr>
          <w:rFonts w:ascii="Open Sans" w:eastAsia="Open Sans" w:hAnsi="Open Sans" w:cs="Open Sans"/>
        </w:rPr>
        <w:t>,</w:t>
      </w:r>
      <w:r>
        <w:rPr>
          <w:rFonts w:ascii="Open Sans" w:eastAsia="Open Sans" w:hAnsi="Open Sans" w:cs="Open Sans"/>
        </w:rPr>
        <w:t xml:space="preserve"> el 16% de la actividad general se desglosa entre un 14% de los particulares que ha participado como demandante de vivienda de compra y un 4% lo ha hecho como ofertante (hay que recordar que estos porcentajes incluyen particulares que han tomado parte en ambos mercados, por lo que su suma supera el 16% general). </w:t>
      </w:r>
    </w:p>
    <w:p w14:paraId="2A097315" w14:textId="77777777" w:rsidR="00E26BD0" w:rsidRDefault="00E26BD0">
      <w:pPr>
        <w:spacing w:line="276" w:lineRule="auto"/>
        <w:ind w:right="4"/>
        <w:jc w:val="both"/>
        <w:rPr>
          <w:rFonts w:ascii="Open Sans" w:eastAsia="Open Sans" w:hAnsi="Open Sans" w:cs="Open Sans"/>
        </w:rPr>
      </w:pPr>
    </w:p>
    <w:p w14:paraId="4790AC05" w14:textId="77777777" w:rsidR="00E26BD0"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El cambio más destacable es la bajada de la demanda de vivienda que, no encuentra su efecto similar en la oferta, ya que esta permanece en niveles similares (aunque hay una reducción progresiva, ésta no llega a ser significativa). Así, </w:t>
      </w:r>
      <w:r>
        <w:rPr>
          <w:rFonts w:ascii="Open Sans" w:eastAsia="Open Sans" w:hAnsi="Open Sans" w:cs="Open Sans"/>
          <w:b/>
        </w:rPr>
        <w:t>la progresiva contracción de la demanda se produce desde el dato de febrero de 2022 (16%</w:t>
      </w:r>
      <w:r>
        <w:rPr>
          <w:rFonts w:ascii="Open Sans" w:eastAsia="Open Sans" w:hAnsi="Open Sans" w:cs="Open Sans"/>
        </w:rPr>
        <w:t>), pasando por el 15% de agosto de ese año, y cae en el primer semestre de 2023 al citado 14%.</w:t>
      </w:r>
    </w:p>
    <w:p w14:paraId="142408EC" w14:textId="77777777" w:rsidR="00E26BD0" w:rsidRDefault="00E26BD0">
      <w:pPr>
        <w:spacing w:line="276" w:lineRule="auto"/>
        <w:ind w:right="4"/>
        <w:jc w:val="both"/>
        <w:rPr>
          <w:rFonts w:ascii="Open Sans" w:eastAsia="Open Sans" w:hAnsi="Open Sans" w:cs="Open Sans"/>
        </w:rPr>
      </w:pPr>
    </w:p>
    <w:p w14:paraId="4576F5B0" w14:textId="22DDDB90" w:rsidR="00E26BD0"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el caso de la oferta, ésta se mantiene en el 4%, invariable con respecto a ejercicios </w:t>
      </w:r>
      <w:r w:rsidR="00FA3D8C">
        <w:rPr>
          <w:rFonts w:ascii="Open Sans" w:eastAsia="Open Sans" w:hAnsi="Open Sans" w:cs="Open Sans"/>
        </w:rPr>
        <w:t>anteriores,</w:t>
      </w:r>
      <w:r>
        <w:rPr>
          <w:rFonts w:ascii="Open Sans" w:eastAsia="Open Sans" w:hAnsi="Open Sans" w:cs="Open Sans"/>
        </w:rPr>
        <w:t xml:space="preserve"> aunque con tendencia a la baja en cada medición sucesiva. Por lo tanto, </w:t>
      </w:r>
      <w:r>
        <w:rPr>
          <w:rFonts w:ascii="Open Sans" w:eastAsia="Open Sans" w:hAnsi="Open Sans" w:cs="Open Sans"/>
          <w:b/>
        </w:rPr>
        <w:t>la evolución del mercado de compraventa muestra un leve acortamiento en la brecha entre la demanda y la oferta</w:t>
      </w:r>
      <w:r>
        <w:rPr>
          <w:rFonts w:ascii="Open Sans" w:eastAsia="Open Sans" w:hAnsi="Open Sans" w:cs="Open Sans"/>
        </w:rPr>
        <w:t xml:space="preserve">, provocado por el retroceso en la demanda y la estabilidad en la venta (o pretensión de vender). </w:t>
      </w:r>
    </w:p>
    <w:p w14:paraId="7FBC445D" w14:textId="77777777" w:rsidR="00E26BD0" w:rsidRDefault="00E26BD0">
      <w:pPr>
        <w:spacing w:line="276" w:lineRule="auto"/>
        <w:ind w:right="4"/>
        <w:jc w:val="both"/>
        <w:rPr>
          <w:rFonts w:ascii="Open Sans" w:eastAsia="Open Sans" w:hAnsi="Open Sans" w:cs="Open Sans"/>
        </w:rPr>
      </w:pPr>
    </w:p>
    <w:p w14:paraId="7497A569" w14:textId="4838459A" w:rsidR="00E26BD0" w:rsidRDefault="00000000">
      <w:pPr>
        <w:spacing w:line="276" w:lineRule="auto"/>
        <w:ind w:right="4"/>
        <w:jc w:val="both"/>
        <w:rPr>
          <w:rFonts w:ascii="Open Sans" w:eastAsia="Open Sans" w:hAnsi="Open Sans" w:cs="Open Sans"/>
        </w:rPr>
      </w:pPr>
      <w:r>
        <w:rPr>
          <w:rFonts w:ascii="Open Sans" w:eastAsia="Open Sans" w:hAnsi="Open Sans" w:cs="Open Sans"/>
        </w:rPr>
        <w:t>Una diferencia entre ambos grupos que en 2022 era de doce puntos porcentuales y que ahora se queda en únicamente diez como muestra el gráfico a continuación:</w:t>
      </w:r>
    </w:p>
    <w:p w14:paraId="1EEBBF55" w14:textId="77777777" w:rsidR="00FA3D8C" w:rsidRDefault="00FA3D8C">
      <w:pPr>
        <w:spacing w:line="276" w:lineRule="auto"/>
        <w:ind w:right="4"/>
        <w:jc w:val="both"/>
        <w:rPr>
          <w:rFonts w:ascii="Open Sans" w:eastAsia="Open Sans" w:hAnsi="Open Sans" w:cs="Open Sans"/>
        </w:rPr>
      </w:pPr>
    </w:p>
    <w:p w14:paraId="78B19046" w14:textId="77777777" w:rsidR="00E26BD0" w:rsidRDefault="00000000">
      <w:pPr>
        <w:spacing w:line="276" w:lineRule="auto"/>
        <w:ind w:right="4"/>
        <w:jc w:val="both"/>
        <w:rPr>
          <w:rFonts w:ascii="Open Sans" w:eastAsia="Open Sans" w:hAnsi="Open Sans" w:cs="Open Sans"/>
        </w:rPr>
      </w:pPr>
      <w:r>
        <w:rPr>
          <w:rFonts w:ascii="Open Sans" w:eastAsia="Open Sans" w:hAnsi="Open Sans" w:cs="Open Sans"/>
          <w:noProof/>
        </w:rPr>
        <w:drawing>
          <wp:inline distT="114300" distB="114300" distL="114300" distR="114300" wp14:anchorId="186C14D8" wp14:editId="056863F6">
            <wp:extent cx="5764220" cy="30734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4220" cy="3073400"/>
                    </a:xfrm>
                    <a:prstGeom prst="rect">
                      <a:avLst/>
                    </a:prstGeom>
                    <a:ln/>
                  </pic:spPr>
                </pic:pic>
              </a:graphicData>
            </a:graphic>
          </wp:inline>
        </w:drawing>
      </w:r>
    </w:p>
    <w:p w14:paraId="4EF8B342" w14:textId="3CB91780" w:rsidR="00E26BD0"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la primera mitad del 2023 el mercado refleja el impacto de la brusca subida de tipos de interés del BCE, con una acomodación de la demanda a la actual situación hipotecaria y también al encarecimiento del precio. Sin embargo, la moderación de la demanda de compra es leve y continúa en niveles muy positivos y semejantes a los de antes de la llegada de la pandemia al mercado. Todo parece indicar </w:t>
      </w:r>
      <w:r w:rsidR="00FA3D8C">
        <w:rPr>
          <w:rFonts w:ascii="Open Sans" w:eastAsia="Open Sans" w:hAnsi="Open Sans" w:cs="Open Sans"/>
        </w:rPr>
        <w:t>que,</w:t>
      </w:r>
      <w:r>
        <w:rPr>
          <w:rFonts w:ascii="Open Sans" w:eastAsia="Open Sans" w:hAnsi="Open Sans" w:cs="Open Sans"/>
        </w:rPr>
        <w:t xml:space="preserve"> a pesar de las nuevas condiciones económicas, el mercado mantendrá el dinamismo y la resiliencia adaptándose a la nueva normalidad. Una </w:t>
      </w:r>
      <w:r>
        <w:rPr>
          <w:rFonts w:ascii="Open Sans" w:eastAsia="Open Sans" w:hAnsi="Open Sans" w:cs="Open Sans"/>
        </w:rPr>
        <w:lastRenderedPageBreak/>
        <w:t xml:space="preserve">normalidad que no podemos olvidar que estará marcada por la escasez de oferta”, comenta </w:t>
      </w:r>
      <w:r w:rsidRPr="008A0B05">
        <w:rPr>
          <w:rFonts w:ascii="Open Sans" w:eastAsia="Open Sans" w:hAnsi="Open Sans" w:cs="Open Sans"/>
          <w:b/>
          <w:bCs/>
        </w:rPr>
        <w:t xml:space="preserve">María Matos, directora de Estudios y Portavoz de </w:t>
      </w:r>
      <w:hyperlink r:id="rId11">
        <w:r w:rsidRPr="008A0B05">
          <w:rPr>
            <w:rFonts w:ascii="Open Sans" w:eastAsia="Open Sans" w:hAnsi="Open Sans" w:cs="Open Sans"/>
            <w:b/>
            <w:bCs/>
            <w:color w:val="1155CC"/>
            <w:u w:val="single"/>
          </w:rPr>
          <w:t>Fotocasa</w:t>
        </w:r>
      </w:hyperlink>
      <w:r>
        <w:rPr>
          <w:rFonts w:ascii="Open Sans" w:eastAsia="Open Sans" w:hAnsi="Open Sans" w:cs="Open Sans"/>
        </w:rPr>
        <w:t>.</w:t>
      </w:r>
    </w:p>
    <w:p w14:paraId="3601BF1F" w14:textId="77777777" w:rsidR="00E26BD0" w:rsidRDefault="00E26BD0">
      <w:pPr>
        <w:spacing w:line="276" w:lineRule="auto"/>
        <w:ind w:right="4"/>
        <w:jc w:val="both"/>
        <w:rPr>
          <w:rFonts w:ascii="Open Sans" w:eastAsia="Open Sans" w:hAnsi="Open Sans" w:cs="Open Sans"/>
        </w:rPr>
      </w:pPr>
    </w:p>
    <w:p w14:paraId="7C0DE16C" w14:textId="77777777" w:rsidR="00E26BD0" w:rsidRDefault="00000000">
      <w:pPr>
        <w:spacing w:line="276" w:lineRule="auto"/>
        <w:ind w:right="4"/>
        <w:jc w:val="both"/>
        <w:rPr>
          <w:rFonts w:ascii="Open Sans" w:eastAsia="Open Sans" w:hAnsi="Open Sans" w:cs="Open Sans"/>
        </w:rPr>
      </w:pPr>
      <w:r>
        <w:rPr>
          <w:rFonts w:ascii="Open Sans" w:eastAsia="Open Sans" w:hAnsi="Open Sans" w:cs="Open Sans"/>
        </w:rPr>
        <w:t xml:space="preserve">Pero si se toma en consideración el mercado de compraventa de manera unitaria, vemos que de la totalidad de particulares que han tomado parte en él dentro de los últimos doce meses, </w:t>
      </w:r>
      <w:r w:rsidRPr="008A0B05">
        <w:rPr>
          <w:rFonts w:ascii="Open Sans" w:eastAsia="Open Sans" w:hAnsi="Open Sans" w:cs="Open Sans"/>
          <w:b/>
          <w:bCs/>
        </w:rPr>
        <w:t xml:space="preserve">un 78% se relaciona exclusivamente con la compra de vivienda (en febrero y agosto de 2022 era un 77 %) y un 16% con la venta (en agosto de 2022 era el 15%, y también el 16% en febrero del pasado año). </w:t>
      </w:r>
      <w:r>
        <w:rPr>
          <w:rFonts w:ascii="Open Sans" w:eastAsia="Open Sans" w:hAnsi="Open Sans" w:cs="Open Sans"/>
        </w:rPr>
        <w:t xml:space="preserve">Además de estos dos grupos, existe un 6 % de particulares que participan simultáneamente en ambos lados del mercado. </w:t>
      </w:r>
    </w:p>
    <w:p w14:paraId="3B8DF248" w14:textId="77777777" w:rsidR="00E26BD0" w:rsidRDefault="00E26BD0">
      <w:pPr>
        <w:spacing w:line="276" w:lineRule="auto"/>
        <w:ind w:right="4"/>
        <w:jc w:val="both"/>
        <w:rPr>
          <w:rFonts w:ascii="Open Sans" w:eastAsia="Open Sans" w:hAnsi="Open Sans" w:cs="Open Sans"/>
        </w:rPr>
      </w:pPr>
    </w:p>
    <w:p w14:paraId="4F948C59" w14:textId="77777777" w:rsidR="00E26BD0" w:rsidRDefault="00000000">
      <w:pPr>
        <w:spacing w:line="276" w:lineRule="auto"/>
        <w:ind w:right="4"/>
        <w:jc w:val="both"/>
        <w:rPr>
          <w:rFonts w:ascii="Open Sans" w:eastAsia="Open Sans" w:hAnsi="Open Sans" w:cs="Open Sans"/>
        </w:rPr>
      </w:pPr>
      <w:r>
        <w:rPr>
          <w:rFonts w:ascii="Open Sans" w:eastAsia="Open Sans" w:hAnsi="Open Sans" w:cs="Open Sans"/>
        </w:rPr>
        <w:t>En este caso se aprecia un descenso respecto a agosto de 2022, cuando eran un 8% los que afirmaban que en el último año habían llevado a cabo acciones tanto de compra como de venta.</w:t>
      </w:r>
    </w:p>
    <w:p w14:paraId="311B8AB9" w14:textId="77777777" w:rsidR="00FA3D8C" w:rsidRDefault="00FA3D8C">
      <w:pPr>
        <w:spacing w:line="276" w:lineRule="auto"/>
        <w:ind w:right="4"/>
        <w:jc w:val="both"/>
        <w:rPr>
          <w:rFonts w:ascii="Open Sans" w:eastAsia="Open Sans" w:hAnsi="Open Sans" w:cs="Open Sans"/>
        </w:rPr>
      </w:pPr>
    </w:p>
    <w:p w14:paraId="10D90428" w14:textId="77777777" w:rsidR="00E26BD0" w:rsidRDefault="00000000">
      <w:pPr>
        <w:spacing w:line="276" w:lineRule="auto"/>
        <w:ind w:right="4"/>
        <w:jc w:val="both"/>
        <w:rPr>
          <w:rFonts w:ascii="Open Sans" w:eastAsia="Open Sans" w:hAnsi="Open Sans" w:cs="Open Sans"/>
        </w:rPr>
      </w:pPr>
      <w:r>
        <w:rPr>
          <w:rFonts w:ascii="Open Sans" w:eastAsia="Open Sans" w:hAnsi="Open Sans" w:cs="Open Sans"/>
          <w:noProof/>
        </w:rPr>
        <w:drawing>
          <wp:inline distT="114300" distB="114300" distL="114300" distR="114300" wp14:anchorId="10CF7E68" wp14:editId="7359A42D">
            <wp:extent cx="5824855" cy="3832860"/>
            <wp:effectExtent l="0" t="0" r="4445"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825184" cy="3833076"/>
                    </a:xfrm>
                    <a:prstGeom prst="rect">
                      <a:avLst/>
                    </a:prstGeom>
                    <a:ln/>
                  </pic:spPr>
                </pic:pic>
              </a:graphicData>
            </a:graphic>
          </wp:inline>
        </w:drawing>
      </w:r>
    </w:p>
    <w:p w14:paraId="7081337E" w14:textId="77777777" w:rsidR="00E26BD0" w:rsidRDefault="00E26BD0">
      <w:pPr>
        <w:spacing w:line="276" w:lineRule="auto"/>
        <w:ind w:right="-567"/>
        <w:jc w:val="both"/>
        <w:rPr>
          <w:rFonts w:ascii="Open Sans" w:eastAsia="Open Sans" w:hAnsi="Open Sans" w:cs="Open Sans"/>
          <w:b/>
          <w:color w:val="303AB2"/>
          <w:sz w:val="28"/>
          <w:szCs w:val="28"/>
        </w:rPr>
      </w:pPr>
    </w:p>
    <w:p w14:paraId="540BEDFA" w14:textId="77777777" w:rsidR="00FA3D8C" w:rsidRDefault="00FA3D8C">
      <w:pPr>
        <w:spacing w:line="276" w:lineRule="auto"/>
        <w:ind w:right="-567"/>
        <w:jc w:val="both"/>
        <w:rPr>
          <w:rFonts w:ascii="Open Sans" w:eastAsia="Open Sans" w:hAnsi="Open Sans" w:cs="Open Sans"/>
          <w:b/>
          <w:color w:val="303AB2"/>
          <w:sz w:val="28"/>
          <w:szCs w:val="28"/>
        </w:rPr>
      </w:pPr>
    </w:p>
    <w:p w14:paraId="12896B3C" w14:textId="77777777" w:rsidR="00FA3D8C" w:rsidRDefault="00FA3D8C">
      <w:pPr>
        <w:spacing w:line="276" w:lineRule="auto"/>
        <w:ind w:right="-567"/>
        <w:jc w:val="both"/>
        <w:rPr>
          <w:rFonts w:ascii="Open Sans" w:eastAsia="Open Sans" w:hAnsi="Open Sans" w:cs="Open Sans"/>
          <w:b/>
          <w:color w:val="303AB2"/>
          <w:sz w:val="28"/>
          <w:szCs w:val="28"/>
        </w:rPr>
      </w:pPr>
    </w:p>
    <w:p w14:paraId="00E08215" w14:textId="77777777" w:rsidR="00FA3D8C" w:rsidRDefault="00FA3D8C">
      <w:pPr>
        <w:spacing w:line="276" w:lineRule="auto"/>
        <w:ind w:right="-567"/>
        <w:jc w:val="both"/>
        <w:rPr>
          <w:rFonts w:ascii="Open Sans" w:eastAsia="Open Sans" w:hAnsi="Open Sans" w:cs="Open Sans"/>
          <w:b/>
          <w:color w:val="303AB2"/>
          <w:sz w:val="28"/>
          <w:szCs w:val="28"/>
        </w:rPr>
      </w:pPr>
    </w:p>
    <w:p w14:paraId="352C884E" w14:textId="77777777" w:rsidR="00FA3D8C" w:rsidRDefault="00FA3D8C">
      <w:pPr>
        <w:spacing w:line="276" w:lineRule="auto"/>
        <w:ind w:right="-567"/>
        <w:jc w:val="both"/>
        <w:rPr>
          <w:rFonts w:ascii="Open Sans" w:eastAsia="Open Sans" w:hAnsi="Open Sans" w:cs="Open Sans"/>
          <w:b/>
          <w:color w:val="303AB2"/>
          <w:sz w:val="28"/>
          <w:szCs w:val="28"/>
        </w:rPr>
      </w:pPr>
    </w:p>
    <w:p w14:paraId="27A1551F" w14:textId="3FEAFE5A" w:rsidR="00E26BD0" w:rsidRDefault="00000000">
      <w:pPr>
        <w:spacing w:line="276" w:lineRule="auto"/>
        <w:ind w:right="-567"/>
        <w:jc w:val="both"/>
        <w:rPr>
          <w:rFonts w:ascii="Open Sans" w:eastAsia="Open Sans" w:hAnsi="Open Sans" w:cs="Open Sans"/>
          <w:b/>
          <w:color w:val="303AB2"/>
          <w:sz w:val="28"/>
          <w:szCs w:val="28"/>
        </w:rPr>
      </w:pPr>
      <w:r>
        <w:rPr>
          <w:rFonts w:ascii="Open Sans" w:eastAsia="Open Sans" w:hAnsi="Open Sans" w:cs="Open Sans"/>
          <w:b/>
          <w:color w:val="303AB2"/>
          <w:sz w:val="28"/>
          <w:szCs w:val="28"/>
        </w:rPr>
        <w:lastRenderedPageBreak/>
        <w:t>Crece la demanda efectiva de vivienda de compra</w:t>
      </w:r>
    </w:p>
    <w:p w14:paraId="3017B72D" w14:textId="77777777" w:rsidR="00FA3D8C" w:rsidRDefault="00FA3D8C">
      <w:pPr>
        <w:spacing w:line="276" w:lineRule="auto"/>
        <w:ind w:right="4"/>
        <w:jc w:val="both"/>
        <w:rPr>
          <w:rFonts w:ascii="Open Sans" w:eastAsia="Open Sans" w:hAnsi="Open Sans" w:cs="Open Sans"/>
        </w:rPr>
      </w:pPr>
    </w:p>
    <w:p w14:paraId="734B52E9" w14:textId="0875F3D4" w:rsidR="00E26BD0" w:rsidRDefault="00000000">
      <w:pPr>
        <w:spacing w:line="276" w:lineRule="auto"/>
        <w:ind w:right="4"/>
        <w:jc w:val="both"/>
        <w:rPr>
          <w:rFonts w:ascii="Open Sans" w:eastAsia="Open Sans" w:hAnsi="Open Sans" w:cs="Open Sans"/>
        </w:rPr>
      </w:pPr>
      <w:r>
        <w:rPr>
          <w:rFonts w:ascii="Open Sans" w:eastAsia="Open Sans" w:hAnsi="Open Sans" w:cs="Open Sans"/>
        </w:rPr>
        <w:t>La retracción que se registra en términos generales se ve aliviada por el buen comportamiento que se aprecia en el número de compradores efectivos, que se mantiene en el 4% ya registrado en 2022.</w:t>
      </w:r>
    </w:p>
    <w:p w14:paraId="2BB8ADE1" w14:textId="77777777" w:rsidR="00E26BD0" w:rsidRDefault="00E26BD0">
      <w:pPr>
        <w:spacing w:line="276" w:lineRule="auto"/>
        <w:ind w:right="4"/>
        <w:jc w:val="both"/>
        <w:rPr>
          <w:rFonts w:ascii="Open Sans" w:eastAsia="Open Sans" w:hAnsi="Open Sans" w:cs="Open Sans"/>
        </w:rPr>
      </w:pPr>
    </w:p>
    <w:p w14:paraId="66F366AE" w14:textId="438EAE5D" w:rsidR="00E26BD0" w:rsidRDefault="00000000">
      <w:pPr>
        <w:spacing w:line="276" w:lineRule="auto"/>
        <w:ind w:right="4"/>
        <w:jc w:val="both"/>
        <w:rPr>
          <w:rFonts w:ascii="Open Sans" w:eastAsia="Open Sans" w:hAnsi="Open Sans" w:cs="Open Sans"/>
        </w:rPr>
      </w:pPr>
      <w:r>
        <w:rPr>
          <w:rFonts w:ascii="Open Sans" w:eastAsia="Open Sans" w:hAnsi="Open Sans" w:cs="Open Sans"/>
        </w:rPr>
        <w:t xml:space="preserve">Por el contrario (y es lo que marca el retroceso generalizado de la demanda), </w:t>
      </w:r>
      <w:r>
        <w:rPr>
          <w:rFonts w:ascii="Open Sans" w:eastAsia="Open Sans" w:hAnsi="Open Sans" w:cs="Open Sans"/>
          <w:b/>
        </w:rPr>
        <w:t>descienden los compradores no efectivos de manera transversal en todas las comunidades.</w:t>
      </w:r>
      <w:r>
        <w:rPr>
          <w:rFonts w:ascii="Open Sans" w:eastAsia="Open Sans" w:hAnsi="Open Sans" w:cs="Open Sans"/>
        </w:rPr>
        <w:t xml:space="preserve"> En total, el porcentaje de este colectivo formado por quienes han intentado comprar sin conseguirlo baja del 13% de febrero de 2022 y 1</w:t>
      </w:r>
      <w:r w:rsidR="00FA3D8C">
        <w:rPr>
          <w:rFonts w:ascii="Open Sans" w:eastAsia="Open Sans" w:hAnsi="Open Sans" w:cs="Open Sans"/>
        </w:rPr>
        <w:t>1</w:t>
      </w:r>
      <w:r>
        <w:rPr>
          <w:rFonts w:ascii="Open Sans" w:eastAsia="Open Sans" w:hAnsi="Open Sans" w:cs="Open Sans"/>
        </w:rPr>
        <w:t xml:space="preserve">% de agosto al 10% de febrero de 2023, un descenso de tres puntos porcentuales respecto a doce meses antes. </w:t>
      </w:r>
    </w:p>
    <w:p w14:paraId="22B7082A" w14:textId="77777777" w:rsidR="00E26BD0" w:rsidRDefault="00E26BD0">
      <w:pPr>
        <w:spacing w:line="276" w:lineRule="auto"/>
        <w:ind w:right="4"/>
        <w:jc w:val="both"/>
        <w:rPr>
          <w:rFonts w:ascii="Open Sans" w:eastAsia="Open Sans" w:hAnsi="Open Sans" w:cs="Open Sans"/>
        </w:rPr>
      </w:pPr>
    </w:p>
    <w:p w14:paraId="62C0FCC3" w14:textId="1D02FA5E" w:rsidR="00E26BD0" w:rsidRDefault="00000000">
      <w:pPr>
        <w:spacing w:line="276" w:lineRule="auto"/>
        <w:ind w:right="4"/>
        <w:jc w:val="both"/>
        <w:rPr>
          <w:rFonts w:ascii="Open Sans" w:eastAsia="Open Sans" w:hAnsi="Open Sans" w:cs="Open Sans"/>
        </w:rPr>
      </w:pPr>
      <w:r>
        <w:rPr>
          <w:rFonts w:ascii="Open Sans" w:eastAsia="Open Sans" w:hAnsi="Open Sans" w:cs="Open Sans"/>
          <w:b/>
        </w:rPr>
        <w:t>La compra inefectiva de vivienda cae con respecto a febrero de 2022: pasa de un 13% a un 10%</w:t>
      </w:r>
      <w:r>
        <w:rPr>
          <w:rFonts w:ascii="Open Sans" w:eastAsia="Open Sans" w:hAnsi="Open Sans" w:cs="Open Sans"/>
        </w:rPr>
        <w:t xml:space="preserve">. Como se ve, el porcentaje de personas que han intentado </w:t>
      </w:r>
      <w:r w:rsidR="00FA3D8C">
        <w:rPr>
          <w:rFonts w:ascii="Open Sans" w:eastAsia="Open Sans" w:hAnsi="Open Sans" w:cs="Open Sans"/>
        </w:rPr>
        <w:t>comprar,</w:t>
      </w:r>
      <w:r>
        <w:rPr>
          <w:rFonts w:ascii="Open Sans" w:eastAsia="Open Sans" w:hAnsi="Open Sans" w:cs="Open Sans"/>
        </w:rPr>
        <w:t xml:space="preserve"> pero no lo han conseguido ya se había reducido sensiblemente en agosto (11%) con respecto al mes de febrero (13%). La continuidad del descenso — </w:t>
      </w:r>
      <w:proofErr w:type="gramStart"/>
      <w:r>
        <w:rPr>
          <w:rFonts w:ascii="Open Sans" w:eastAsia="Open Sans" w:hAnsi="Open Sans" w:cs="Open Sans"/>
        </w:rPr>
        <w:t>que</w:t>
      </w:r>
      <w:proofErr w:type="gramEnd"/>
      <w:r>
        <w:rPr>
          <w:rFonts w:ascii="Open Sans" w:eastAsia="Open Sans" w:hAnsi="Open Sans" w:cs="Open Sans"/>
        </w:rPr>
        <w:t xml:space="preserve"> en febrero de 2023, cae otro punto, lastra el conjunto. De hecho, al situarse en ese 10% se alcanza el mismo porcentaje que se daba en febrero de 2020. Una cifra que aún cayó más en febrero de 2021, cuando eran un 9%. </w:t>
      </w:r>
    </w:p>
    <w:p w14:paraId="20ADA5F3" w14:textId="77777777" w:rsidR="00E26BD0" w:rsidRDefault="00E26BD0">
      <w:pPr>
        <w:spacing w:line="276" w:lineRule="auto"/>
        <w:ind w:right="4"/>
        <w:jc w:val="both"/>
        <w:rPr>
          <w:rFonts w:ascii="Open Sans" w:eastAsia="Open Sans" w:hAnsi="Open Sans" w:cs="Open Sans"/>
        </w:rPr>
      </w:pPr>
    </w:p>
    <w:p w14:paraId="40C41E57" w14:textId="77777777" w:rsidR="00E26BD0" w:rsidRDefault="00000000">
      <w:pPr>
        <w:spacing w:line="276" w:lineRule="auto"/>
        <w:ind w:right="4"/>
        <w:jc w:val="both"/>
        <w:rPr>
          <w:rFonts w:ascii="Open Sans" w:eastAsia="Open Sans" w:hAnsi="Open Sans" w:cs="Open Sans"/>
        </w:rPr>
      </w:pPr>
      <w:r>
        <w:rPr>
          <w:rFonts w:ascii="Open Sans" w:eastAsia="Open Sans" w:hAnsi="Open Sans" w:cs="Open Sans"/>
          <w:noProof/>
        </w:rPr>
        <w:drawing>
          <wp:inline distT="114300" distB="114300" distL="114300" distR="114300" wp14:anchorId="0B908F3F" wp14:editId="43D42946">
            <wp:extent cx="5764220" cy="33782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64220" cy="3378200"/>
                    </a:xfrm>
                    <a:prstGeom prst="rect">
                      <a:avLst/>
                    </a:prstGeom>
                    <a:ln/>
                  </pic:spPr>
                </pic:pic>
              </a:graphicData>
            </a:graphic>
          </wp:inline>
        </w:drawing>
      </w:r>
    </w:p>
    <w:p w14:paraId="3ECCB8E3" w14:textId="77777777" w:rsidR="00E26BD0" w:rsidRDefault="00E26BD0">
      <w:pPr>
        <w:spacing w:line="276" w:lineRule="auto"/>
        <w:ind w:right="4"/>
        <w:jc w:val="both"/>
        <w:rPr>
          <w:rFonts w:ascii="Open Sans" w:eastAsia="Open Sans" w:hAnsi="Open Sans" w:cs="Open Sans"/>
        </w:rPr>
      </w:pPr>
    </w:p>
    <w:p w14:paraId="4EDDA8AB" w14:textId="6AEE6C52" w:rsidR="00E26BD0"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Por lo que se refiere a las acciones de venta, las fluctuaciones son más limitadas. La última ola de </w:t>
      </w:r>
      <w:hyperlink r:id="rId14">
        <w:r>
          <w:rPr>
            <w:rFonts w:ascii="Open Sans" w:eastAsia="Open Sans" w:hAnsi="Open Sans" w:cs="Open Sans"/>
            <w:i/>
            <w:color w:val="1155CC"/>
            <w:u w:val="single"/>
          </w:rPr>
          <w:t xml:space="preserve">Fotocasa </w:t>
        </w:r>
        <w:proofErr w:type="spellStart"/>
        <w:r>
          <w:rPr>
            <w:rFonts w:ascii="Open Sans" w:eastAsia="Open Sans" w:hAnsi="Open Sans" w:cs="Open Sans"/>
            <w:i/>
            <w:color w:val="1155CC"/>
            <w:u w:val="single"/>
          </w:rPr>
          <w:t>Research</w:t>
        </w:r>
        <w:proofErr w:type="spellEnd"/>
      </w:hyperlink>
      <w:r>
        <w:rPr>
          <w:rFonts w:ascii="Open Sans" w:eastAsia="Open Sans" w:hAnsi="Open Sans" w:cs="Open Sans"/>
        </w:rPr>
        <w:t xml:space="preserve"> (febrero 2023) no refleja cambios significativos en la venta, ya sea efectiva o inefectiva, con respecto al periodo anterior, manteniéndose el 4% general registrado en agosto de 2022 (repartido en ambos casos entre el 2% de los que han vendido y el 2% de los que han tratado de vender sin culminar aún su propósito).</w:t>
      </w:r>
    </w:p>
    <w:p w14:paraId="702D7D4F" w14:textId="77777777" w:rsidR="00FA3D8C" w:rsidRDefault="00FA3D8C">
      <w:pPr>
        <w:spacing w:line="276" w:lineRule="auto"/>
        <w:ind w:right="4"/>
        <w:jc w:val="both"/>
        <w:rPr>
          <w:rFonts w:ascii="Open Sans" w:eastAsia="Open Sans" w:hAnsi="Open Sans" w:cs="Open Sans"/>
        </w:rPr>
      </w:pPr>
    </w:p>
    <w:p w14:paraId="289C778C" w14:textId="77777777" w:rsidR="00E26BD0" w:rsidRDefault="00000000">
      <w:pPr>
        <w:spacing w:line="276" w:lineRule="auto"/>
        <w:ind w:right="4"/>
        <w:jc w:val="both"/>
        <w:rPr>
          <w:rFonts w:ascii="Open Sans Light" w:eastAsia="Open Sans Light" w:hAnsi="Open Sans Light" w:cs="Open Sans Light"/>
          <w:b/>
          <w:color w:val="303AB2"/>
        </w:rPr>
      </w:pPr>
      <w:r>
        <w:rPr>
          <w:rFonts w:ascii="Open Sans" w:eastAsia="Open Sans" w:hAnsi="Open Sans" w:cs="Open Sans"/>
          <w:noProof/>
        </w:rPr>
        <w:drawing>
          <wp:inline distT="114300" distB="114300" distL="114300" distR="114300" wp14:anchorId="3D40348B" wp14:editId="632C860C">
            <wp:extent cx="5764220" cy="31369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64220" cy="3136900"/>
                    </a:xfrm>
                    <a:prstGeom prst="rect">
                      <a:avLst/>
                    </a:prstGeom>
                    <a:ln/>
                  </pic:spPr>
                </pic:pic>
              </a:graphicData>
            </a:graphic>
          </wp:inline>
        </w:drawing>
      </w:r>
    </w:p>
    <w:p w14:paraId="15A2FE05" w14:textId="77777777" w:rsidR="00E26BD0" w:rsidRDefault="00E26BD0">
      <w:pPr>
        <w:spacing w:line="276" w:lineRule="auto"/>
        <w:ind w:right="-433"/>
        <w:jc w:val="right"/>
        <w:rPr>
          <w:rFonts w:ascii="Open Sans Light" w:eastAsia="Open Sans Light" w:hAnsi="Open Sans Light" w:cs="Open Sans Light"/>
          <w:b/>
          <w:color w:val="303AB2"/>
        </w:rPr>
      </w:pPr>
    </w:p>
    <w:p w14:paraId="04E21D08" w14:textId="77777777" w:rsidR="003175A7" w:rsidRDefault="003175A7" w:rsidP="003175A7">
      <w:pPr>
        <w:spacing w:line="276" w:lineRule="auto"/>
        <w:ind w:right="-574"/>
        <w:jc w:val="both"/>
        <w:rPr>
          <w:rFonts w:ascii="Open Sans" w:eastAsia="Open Sans" w:hAnsi="Open Sans" w:cs="Open Sans"/>
          <w:color w:val="000000"/>
          <w:sz w:val="22"/>
          <w:szCs w:val="22"/>
        </w:rPr>
      </w:pPr>
    </w:p>
    <w:p w14:paraId="73759659" w14:textId="77777777" w:rsidR="003175A7" w:rsidRDefault="003175A7" w:rsidP="003175A7">
      <w:pPr>
        <w:spacing w:line="276" w:lineRule="auto"/>
        <w:ind w:right="-574"/>
        <w:jc w:val="both"/>
        <w:rPr>
          <w:rFonts w:ascii="Open Sans" w:eastAsia="Open Sans" w:hAnsi="Open Sans" w:cs="Open Sans"/>
          <w:color w:val="000000"/>
          <w:sz w:val="22"/>
          <w:szCs w:val="22"/>
        </w:rPr>
      </w:pPr>
    </w:p>
    <w:p w14:paraId="71806B2F" w14:textId="77777777" w:rsidR="003175A7" w:rsidRDefault="003175A7" w:rsidP="003175A7">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69CDB83" w14:textId="77777777" w:rsidR="003175A7" w:rsidRDefault="003175A7" w:rsidP="003175A7">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2A9E3118" w14:textId="77777777" w:rsidR="003175A7" w:rsidRDefault="003175A7" w:rsidP="003175A7">
      <w:pPr>
        <w:shd w:val="clear" w:color="auto" w:fill="FFFFFF"/>
        <w:spacing w:before="280" w:after="280" w:line="276" w:lineRule="auto"/>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11CE2CE7" w14:textId="77777777" w:rsidR="003175A7" w:rsidRDefault="00000000" w:rsidP="003175A7">
      <w:pPr>
        <w:shd w:val="clear" w:color="auto" w:fill="FFFFFF"/>
        <w:spacing w:before="280" w:after="280" w:line="276" w:lineRule="auto"/>
        <w:jc w:val="both"/>
        <w:rPr>
          <w:rFonts w:ascii="Open Sans" w:eastAsia="Open Sans" w:hAnsi="Open Sans" w:cs="Open Sans"/>
          <w:color w:val="000000"/>
          <w:sz w:val="22"/>
          <w:szCs w:val="22"/>
        </w:rPr>
      </w:pPr>
      <w:hyperlink r:id="rId18">
        <w:r w:rsidR="003175A7">
          <w:rPr>
            <w:rFonts w:ascii="Open Sans" w:eastAsia="Open Sans" w:hAnsi="Open Sans" w:cs="Open Sans"/>
            <w:color w:val="0000FF"/>
            <w:sz w:val="22"/>
            <w:szCs w:val="22"/>
            <w:u w:val="single"/>
          </w:rPr>
          <w:t>Más información sobre Fotocasa</w:t>
        </w:r>
      </w:hyperlink>
      <w:r w:rsidR="003175A7">
        <w:rPr>
          <w:rFonts w:ascii="Open Sans" w:eastAsia="Open Sans" w:hAnsi="Open Sans" w:cs="Open Sans"/>
          <w:color w:val="000000"/>
          <w:sz w:val="22"/>
          <w:szCs w:val="22"/>
        </w:rPr>
        <w:t xml:space="preserve">. </w:t>
      </w:r>
    </w:p>
    <w:p w14:paraId="3DE9191F" w14:textId="77777777" w:rsidR="003175A7" w:rsidRDefault="003175A7" w:rsidP="003175A7">
      <w:pPr>
        <w:shd w:val="clear" w:color="auto" w:fill="FFFFFF"/>
        <w:spacing w:before="280" w:after="280" w:line="276" w:lineRule="auto"/>
        <w:jc w:val="both"/>
        <w:rPr>
          <w:rFonts w:ascii="Open Sans" w:eastAsia="Open Sans" w:hAnsi="Open Sans" w:cs="Open Sans"/>
          <w:color w:val="000000"/>
          <w:sz w:val="22"/>
          <w:szCs w:val="22"/>
        </w:rPr>
      </w:pPr>
    </w:p>
    <w:p w14:paraId="2D9D62D3" w14:textId="77777777" w:rsidR="003175A7" w:rsidRDefault="003175A7" w:rsidP="003175A7">
      <w:pPr>
        <w:spacing w:line="276" w:lineRule="auto"/>
        <w:jc w:val="right"/>
        <w:rPr>
          <w:rFonts w:ascii="Open Sans Light" w:eastAsia="Open Sans Light" w:hAnsi="Open Sans Light" w:cs="Open Sans Light"/>
          <w:b/>
          <w:color w:val="303AB2"/>
        </w:rPr>
      </w:pPr>
    </w:p>
    <w:p w14:paraId="09E50861" w14:textId="77777777" w:rsidR="003175A7" w:rsidRDefault="003175A7" w:rsidP="003175A7">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327F2EE8" w14:textId="77777777" w:rsidR="003175A7" w:rsidRDefault="003175A7" w:rsidP="003175A7">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4374090" w14:textId="77777777" w:rsidR="003175A7" w:rsidRDefault="003175A7" w:rsidP="003175A7">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6B4BCB0" w14:textId="77777777" w:rsidR="003175A7" w:rsidRDefault="003175A7" w:rsidP="003175A7">
      <w:pPr>
        <w:spacing w:before="143" w:after="200"/>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3EB786C0" w14:textId="77777777" w:rsidR="003175A7" w:rsidRDefault="003175A7" w:rsidP="003175A7">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21B95349" w14:textId="77777777" w:rsidR="003175A7" w:rsidRDefault="003175A7" w:rsidP="003175A7">
      <w:pPr>
        <w:spacing w:after="160"/>
        <w:jc w:val="both"/>
        <w:rPr>
          <w:rFonts w:ascii="Open Sans" w:eastAsia="Open Sans" w:hAnsi="Open Sans" w:cs="Open Sans"/>
        </w:rPr>
      </w:pPr>
    </w:p>
    <w:p w14:paraId="5DBCE1B2" w14:textId="77777777" w:rsidR="003175A7" w:rsidRDefault="003175A7" w:rsidP="003175A7">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22B6320" w14:textId="77777777" w:rsidR="003175A7" w:rsidRDefault="003175A7" w:rsidP="003175A7">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58686F6" w14:textId="77777777" w:rsidR="003175A7" w:rsidRDefault="00000000" w:rsidP="003175A7">
      <w:pPr>
        <w:shd w:val="clear" w:color="auto" w:fill="FFFFFF"/>
        <w:spacing w:line="276" w:lineRule="auto"/>
        <w:rPr>
          <w:rFonts w:ascii="Open Sans" w:eastAsia="Open Sans" w:hAnsi="Open Sans" w:cs="Open Sans"/>
          <w:color w:val="0000FF"/>
          <w:sz w:val="22"/>
          <w:szCs w:val="22"/>
          <w:u w:val="single"/>
        </w:rPr>
      </w:pPr>
      <w:hyperlink r:id="rId25">
        <w:r w:rsidR="003175A7">
          <w:rPr>
            <w:rFonts w:ascii="Open Sans" w:eastAsia="Open Sans" w:hAnsi="Open Sans" w:cs="Open Sans"/>
            <w:color w:val="0000FF"/>
            <w:sz w:val="22"/>
            <w:szCs w:val="22"/>
            <w:u w:val="single"/>
          </w:rPr>
          <w:t>comunicacion@fotocasa.es</w:t>
        </w:r>
      </w:hyperlink>
    </w:p>
    <w:p w14:paraId="54F45805" w14:textId="77777777" w:rsidR="003175A7" w:rsidRDefault="003175A7" w:rsidP="003175A7">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CE18AB0" w14:textId="77777777" w:rsidR="003175A7" w:rsidRDefault="003175A7" w:rsidP="003175A7">
      <w:pPr>
        <w:spacing w:line="276" w:lineRule="auto"/>
        <w:rPr>
          <w:rFonts w:ascii="Open Sans Light" w:eastAsia="Open Sans Light" w:hAnsi="Open Sans Light" w:cs="Open Sans Light"/>
          <w:b/>
          <w:color w:val="303AB2"/>
          <w:sz w:val="22"/>
          <w:szCs w:val="22"/>
        </w:rPr>
      </w:pPr>
    </w:p>
    <w:p w14:paraId="339257BB" w14:textId="77777777" w:rsidR="003175A7" w:rsidRDefault="003175A7" w:rsidP="003175A7">
      <w:pPr>
        <w:spacing w:line="276" w:lineRule="auto"/>
        <w:rPr>
          <w:rFonts w:ascii="Open Sans Light" w:eastAsia="Open Sans Light" w:hAnsi="Open Sans Light" w:cs="Open Sans Light"/>
          <w:b/>
          <w:color w:val="303AB2"/>
          <w:sz w:val="22"/>
          <w:szCs w:val="22"/>
        </w:rPr>
      </w:pPr>
    </w:p>
    <w:p w14:paraId="103C79F4" w14:textId="77777777" w:rsidR="003175A7" w:rsidRDefault="003175A7" w:rsidP="003175A7">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7B1F3105" w14:textId="77777777" w:rsidR="003175A7" w:rsidRDefault="003175A7" w:rsidP="003175A7">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76A89389" w14:textId="77777777" w:rsidR="003175A7" w:rsidRPr="00D01A28" w:rsidRDefault="00000000" w:rsidP="003175A7">
      <w:pPr>
        <w:shd w:val="clear" w:color="auto" w:fill="FFFFFF"/>
        <w:spacing w:line="276" w:lineRule="auto"/>
        <w:rPr>
          <w:rFonts w:ascii="Open Sans" w:eastAsia="Open Sans" w:hAnsi="Open Sans" w:cs="Open Sans"/>
          <w:color w:val="0000FF"/>
          <w:sz w:val="22"/>
          <w:szCs w:val="22"/>
          <w:u w:val="single"/>
          <w:lang w:val="en-US"/>
        </w:rPr>
      </w:pPr>
      <w:hyperlink r:id="rId26">
        <w:r w:rsidR="003175A7" w:rsidRPr="00D01A28">
          <w:rPr>
            <w:rFonts w:ascii="Open Sans" w:eastAsia="Open Sans" w:hAnsi="Open Sans" w:cs="Open Sans"/>
            <w:color w:val="0000FF"/>
            <w:sz w:val="22"/>
            <w:szCs w:val="22"/>
            <w:u w:val="single"/>
            <w:lang w:val="en-US"/>
          </w:rPr>
          <w:t>rtorne@llorenteycuenca.com</w:t>
        </w:r>
      </w:hyperlink>
      <w:r w:rsidR="003175A7" w:rsidRPr="00D01A28">
        <w:rPr>
          <w:rFonts w:ascii="Open Sans" w:eastAsia="Open Sans" w:hAnsi="Open Sans" w:cs="Open Sans"/>
          <w:color w:val="0000FF"/>
          <w:sz w:val="22"/>
          <w:szCs w:val="22"/>
          <w:lang w:val="en-US"/>
        </w:rPr>
        <w:tab/>
      </w:r>
      <w:r w:rsidR="003175A7" w:rsidRPr="00D01A28">
        <w:rPr>
          <w:rFonts w:ascii="Open Sans" w:eastAsia="Open Sans" w:hAnsi="Open Sans" w:cs="Open Sans"/>
          <w:color w:val="0000FF"/>
          <w:sz w:val="22"/>
          <w:szCs w:val="22"/>
          <w:lang w:val="en-US"/>
        </w:rPr>
        <w:tab/>
      </w:r>
      <w:r w:rsidR="003175A7" w:rsidRPr="00D01A28">
        <w:rPr>
          <w:rFonts w:ascii="Open Sans" w:eastAsia="Open Sans" w:hAnsi="Open Sans" w:cs="Open Sans"/>
          <w:color w:val="0000FF"/>
          <w:sz w:val="22"/>
          <w:szCs w:val="22"/>
          <w:lang w:val="en-US"/>
        </w:rPr>
        <w:tab/>
      </w:r>
    </w:p>
    <w:p w14:paraId="3C30DF63" w14:textId="77777777" w:rsidR="003175A7" w:rsidRPr="00D01A28" w:rsidRDefault="003175A7" w:rsidP="003175A7">
      <w:pPr>
        <w:shd w:val="clear" w:color="auto" w:fill="FFFFFF"/>
        <w:spacing w:line="276" w:lineRule="auto"/>
        <w:rPr>
          <w:rFonts w:ascii="Open Sans" w:eastAsia="Open Sans" w:hAnsi="Open Sans" w:cs="Open Sans"/>
          <w:color w:val="000000"/>
          <w:sz w:val="22"/>
          <w:szCs w:val="22"/>
          <w:lang w:val="en-US"/>
        </w:rPr>
      </w:pPr>
      <w:r w:rsidRPr="00D01A28">
        <w:rPr>
          <w:rFonts w:ascii="Open Sans" w:eastAsia="Open Sans" w:hAnsi="Open Sans" w:cs="Open Sans"/>
          <w:color w:val="000000"/>
          <w:sz w:val="22"/>
          <w:szCs w:val="22"/>
          <w:lang w:val="en-US"/>
        </w:rPr>
        <w:t xml:space="preserve">638 68 19 85      </w:t>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r w:rsidRPr="00D01A28">
        <w:rPr>
          <w:rFonts w:ascii="Open Sans" w:eastAsia="Open Sans" w:hAnsi="Open Sans" w:cs="Open Sans"/>
          <w:color w:val="000000"/>
          <w:sz w:val="22"/>
          <w:szCs w:val="22"/>
          <w:lang w:val="en-US"/>
        </w:rPr>
        <w:tab/>
      </w:r>
    </w:p>
    <w:p w14:paraId="39F6B31B" w14:textId="77777777" w:rsidR="003175A7" w:rsidRPr="00D01A28" w:rsidRDefault="003175A7" w:rsidP="003175A7">
      <w:pPr>
        <w:shd w:val="clear" w:color="auto" w:fill="FFFFFF"/>
        <w:rPr>
          <w:rFonts w:ascii="Arial" w:eastAsia="Arial" w:hAnsi="Arial" w:cs="Arial"/>
          <w:color w:val="222222"/>
          <w:sz w:val="22"/>
          <w:szCs w:val="22"/>
          <w:lang w:val="en-US"/>
        </w:rPr>
      </w:pPr>
      <w:r w:rsidRPr="00D01A28">
        <w:rPr>
          <w:rFonts w:ascii="Arial" w:eastAsia="Arial" w:hAnsi="Arial" w:cs="Arial"/>
          <w:color w:val="222222"/>
          <w:sz w:val="22"/>
          <w:szCs w:val="22"/>
          <w:lang w:val="en-US"/>
        </w:rPr>
        <w:tab/>
      </w:r>
    </w:p>
    <w:p w14:paraId="4841D9FE" w14:textId="77777777" w:rsidR="003175A7" w:rsidRPr="00D01A28" w:rsidRDefault="003175A7" w:rsidP="003175A7">
      <w:pPr>
        <w:shd w:val="clear" w:color="auto" w:fill="FFFFFF"/>
        <w:rPr>
          <w:rFonts w:ascii="Arial" w:eastAsia="Arial" w:hAnsi="Arial" w:cs="Arial"/>
          <w:color w:val="222222"/>
          <w:sz w:val="22"/>
          <w:szCs w:val="22"/>
          <w:lang w:val="en-US"/>
        </w:rPr>
      </w:pPr>
      <w:r w:rsidRPr="00D01A28">
        <w:rPr>
          <w:rFonts w:ascii="Arial" w:eastAsia="Arial" w:hAnsi="Arial" w:cs="Arial"/>
          <w:color w:val="222222"/>
          <w:sz w:val="22"/>
          <w:szCs w:val="22"/>
          <w:lang w:val="en-US"/>
        </w:rPr>
        <w:tab/>
      </w:r>
      <w:r w:rsidRPr="00D01A28">
        <w:rPr>
          <w:rFonts w:ascii="Arial" w:eastAsia="Arial" w:hAnsi="Arial" w:cs="Arial"/>
          <w:color w:val="222222"/>
          <w:sz w:val="22"/>
          <w:szCs w:val="22"/>
          <w:lang w:val="en-US"/>
        </w:rPr>
        <w:tab/>
      </w:r>
      <w:r w:rsidRPr="00D01A28">
        <w:rPr>
          <w:rFonts w:ascii="Arial" w:eastAsia="Arial" w:hAnsi="Arial" w:cs="Arial"/>
          <w:color w:val="222222"/>
          <w:sz w:val="22"/>
          <w:szCs w:val="22"/>
          <w:lang w:val="en-US"/>
        </w:rPr>
        <w:tab/>
      </w:r>
      <w:r w:rsidRPr="00D01A28">
        <w:rPr>
          <w:rFonts w:ascii="Arial" w:eastAsia="Arial" w:hAnsi="Arial" w:cs="Arial"/>
          <w:color w:val="222222"/>
          <w:sz w:val="22"/>
          <w:szCs w:val="22"/>
          <w:lang w:val="en-US"/>
        </w:rPr>
        <w:tab/>
      </w:r>
      <w:r w:rsidRPr="00D01A28">
        <w:rPr>
          <w:rFonts w:ascii="Arial" w:eastAsia="Arial" w:hAnsi="Arial" w:cs="Arial"/>
          <w:color w:val="222222"/>
          <w:sz w:val="22"/>
          <w:szCs w:val="22"/>
          <w:lang w:val="en-US"/>
        </w:rPr>
        <w:tab/>
      </w:r>
      <w:r w:rsidRPr="00D01A28">
        <w:rPr>
          <w:rFonts w:ascii="Arial" w:eastAsia="Arial" w:hAnsi="Arial" w:cs="Arial"/>
          <w:color w:val="222222"/>
          <w:sz w:val="22"/>
          <w:szCs w:val="22"/>
          <w:lang w:val="en-US"/>
        </w:rPr>
        <w:tab/>
        <w:t xml:space="preserve">     </w:t>
      </w:r>
    </w:p>
    <w:p w14:paraId="2154AE2E" w14:textId="77777777" w:rsidR="003175A7" w:rsidRPr="00D01A28" w:rsidRDefault="003175A7" w:rsidP="003175A7">
      <w:pPr>
        <w:shd w:val="clear" w:color="auto" w:fill="FFFFFF"/>
        <w:rPr>
          <w:rFonts w:ascii="Open Sans" w:eastAsia="Open Sans" w:hAnsi="Open Sans" w:cs="Open Sans"/>
          <w:b/>
          <w:color w:val="000000"/>
          <w:sz w:val="22"/>
          <w:szCs w:val="22"/>
          <w:lang w:val="en-US"/>
        </w:rPr>
      </w:pPr>
      <w:r w:rsidRPr="00D01A28">
        <w:rPr>
          <w:rFonts w:ascii="Open Sans" w:eastAsia="Open Sans" w:hAnsi="Open Sans" w:cs="Open Sans"/>
          <w:b/>
          <w:color w:val="000000"/>
          <w:sz w:val="22"/>
          <w:szCs w:val="22"/>
          <w:lang w:val="en-US"/>
        </w:rPr>
        <w:t>Fanny Merino</w:t>
      </w:r>
    </w:p>
    <w:p w14:paraId="48AAEA6F" w14:textId="77777777" w:rsidR="003175A7" w:rsidRPr="00D01A28" w:rsidRDefault="00000000" w:rsidP="003175A7">
      <w:pPr>
        <w:shd w:val="clear" w:color="auto" w:fill="FFFFFF"/>
        <w:rPr>
          <w:rFonts w:ascii="Open Sans" w:eastAsia="Open Sans" w:hAnsi="Open Sans" w:cs="Open Sans"/>
          <w:b/>
          <w:color w:val="000000"/>
          <w:sz w:val="22"/>
          <w:szCs w:val="22"/>
          <w:lang w:val="en-US"/>
        </w:rPr>
      </w:pPr>
      <w:hyperlink r:id="rId27">
        <w:r w:rsidR="003175A7" w:rsidRPr="00D01A28">
          <w:rPr>
            <w:rFonts w:ascii="Open Sans" w:eastAsia="Open Sans" w:hAnsi="Open Sans" w:cs="Open Sans"/>
            <w:color w:val="0000FF"/>
            <w:sz w:val="22"/>
            <w:szCs w:val="22"/>
            <w:u w:val="single"/>
            <w:lang w:val="en-US"/>
          </w:rPr>
          <w:t>emerino@llorenteycuenca.com</w:t>
        </w:r>
      </w:hyperlink>
      <w:r w:rsidR="003175A7" w:rsidRPr="00D01A28">
        <w:rPr>
          <w:rFonts w:ascii="Open Sans" w:eastAsia="Open Sans" w:hAnsi="Open Sans" w:cs="Open Sans"/>
          <w:color w:val="0000FF"/>
          <w:sz w:val="22"/>
          <w:szCs w:val="22"/>
          <w:lang w:val="en-US"/>
        </w:rPr>
        <w:tab/>
      </w:r>
      <w:r w:rsidR="003175A7" w:rsidRPr="00D01A28">
        <w:rPr>
          <w:rFonts w:ascii="Open Sans" w:eastAsia="Open Sans" w:hAnsi="Open Sans" w:cs="Open Sans"/>
          <w:color w:val="0000FF"/>
          <w:sz w:val="22"/>
          <w:szCs w:val="22"/>
          <w:lang w:val="en-US"/>
        </w:rPr>
        <w:tab/>
      </w:r>
    </w:p>
    <w:p w14:paraId="5FF0885A" w14:textId="77777777" w:rsidR="003175A7" w:rsidRDefault="003175A7" w:rsidP="003175A7">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29ABD158" w14:textId="77777777" w:rsidR="003175A7" w:rsidRDefault="003175A7" w:rsidP="003175A7">
      <w:pPr>
        <w:shd w:val="clear" w:color="auto" w:fill="FFFFFF"/>
        <w:rPr>
          <w:rFonts w:ascii="Open Sans" w:eastAsia="Open Sans" w:hAnsi="Open Sans" w:cs="Open Sans"/>
          <w:color w:val="000000"/>
          <w:sz w:val="22"/>
          <w:szCs w:val="22"/>
        </w:rPr>
      </w:pPr>
    </w:p>
    <w:p w14:paraId="3F8ADEFB" w14:textId="77777777" w:rsidR="003175A7" w:rsidRDefault="003175A7" w:rsidP="003175A7">
      <w:pPr>
        <w:shd w:val="clear" w:color="auto" w:fill="FFFFFF"/>
        <w:rPr>
          <w:rFonts w:ascii="Open Sans" w:eastAsia="Open Sans" w:hAnsi="Open Sans" w:cs="Open Sans"/>
          <w:color w:val="000000"/>
          <w:sz w:val="22"/>
          <w:szCs w:val="22"/>
        </w:rPr>
      </w:pPr>
    </w:p>
    <w:p w14:paraId="1E924807" w14:textId="77777777" w:rsidR="00E26BD0" w:rsidRDefault="00E26BD0" w:rsidP="003175A7">
      <w:pPr>
        <w:spacing w:line="276" w:lineRule="auto"/>
        <w:jc w:val="right"/>
        <w:rPr>
          <w:rFonts w:ascii="Open Sans" w:eastAsia="Open Sans" w:hAnsi="Open Sans" w:cs="Open Sans"/>
          <w:color w:val="000000"/>
          <w:sz w:val="21"/>
          <w:szCs w:val="21"/>
        </w:rPr>
      </w:pPr>
    </w:p>
    <w:sectPr w:rsidR="00E26BD0">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EAF5" w14:textId="77777777" w:rsidR="005E06B1" w:rsidRDefault="005E06B1">
      <w:r>
        <w:separator/>
      </w:r>
    </w:p>
  </w:endnote>
  <w:endnote w:type="continuationSeparator" w:id="0">
    <w:p w14:paraId="7A3915DF" w14:textId="77777777" w:rsidR="005E06B1" w:rsidRDefault="005E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7DAB3" w14:textId="77777777" w:rsidR="00E26BD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8970667" wp14:editId="34DD8C76">
          <wp:simplePos x="0" y="0"/>
          <wp:positionH relativeFrom="column">
            <wp:posOffset>-1068064</wp:posOffset>
          </wp:positionH>
          <wp:positionV relativeFrom="paragraph">
            <wp:posOffset>174608</wp:posOffset>
          </wp:positionV>
          <wp:extent cx="7670550" cy="451315"/>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13433" w14:textId="77777777" w:rsidR="005E06B1" w:rsidRDefault="005E06B1">
      <w:r>
        <w:separator/>
      </w:r>
    </w:p>
  </w:footnote>
  <w:footnote w:type="continuationSeparator" w:id="0">
    <w:p w14:paraId="3823B6C1" w14:textId="77777777" w:rsidR="005E06B1" w:rsidRDefault="005E0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106F7"/>
    <w:multiLevelType w:val="multilevel"/>
    <w:tmpl w:val="9EC2DF1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7213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BD0"/>
    <w:rsid w:val="003175A7"/>
    <w:rsid w:val="003D2090"/>
    <w:rsid w:val="005E06B1"/>
    <w:rsid w:val="008A0B05"/>
    <w:rsid w:val="00AE2EB9"/>
    <w:rsid w:val="00E26BD0"/>
    <w:rsid w:val="00FA3D8C"/>
    <w:rsid w:val="00FC4C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7F8C1"/>
  <w15:docId w15:val="{04F52FCA-F25E-43E3-92ED-4984B3645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8A0B05"/>
    <w:rPr>
      <w:color w:val="0000FF" w:themeColor="hyperlink"/>
      <w:u w:val="single"/>
    </w:rPr>
  </w:style>
  <w:style w:type="character" w:styleId="Mencinsinresolver">
    <w:name w:val="Unresolved Mention"/>
    <w:basedOn w:val="Fuentedeprrafopredeter"/>
    <w:uiPriority w:val="99"/>
    <w:semiHidden/>
    <w:unhideWhenUsed/>
    <w:rsid w:val="008A0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quienes-somo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s36360.pcdn.co/wp-content/uploads/2023/11/Experiencia-en-compraventa-en-el-primer-semestre-de-2023.pdf" TargetMode="External"/><Relationship Id="rId14" Type="http://schemas.openxmlformats.org/officeDocument/2006/relationships/hyperlink" Target="https://research.fotocasa.es/" TargetMode="External"/><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jPL7JCFAj6cQHT26/polk0qeA==">CgMxLjAyCWguMnM4ZXlvMTgAciExU0JYZG1ibkJseHdQUzdFQnp4UElFQ0NJQmY2TGFqWWU=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1279</Words>
  <Characters>7039</Characters>
  <Application>Microsoft Office Word</Application>
  <DocSecurity>0</DocSecurity>
  <Lines>58</Lines>
  <Paragraphs>16</Paragraphs>
  <ScaleCrop>false</ScaleCrop>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2023-10-18T07:25:00Z</dcterms:created>
  <dcterms:modified xsi:type="dcterms:W3CDTF">2023-11-06T08:26:00Z</dcterms:modified>
</cp:coreProperties>
</file>