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B54F4" w14:textId="77777777" w:rsidR="007D724B" w:rsidRDefault="00000000">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ANÁLISIS “SITUACIÓN DEL MERCADO DE OBRA NUEVA EN 2023”</w:t>
      </w:r>
    </w:p>
    <w:p w14:paraId="7276DBF8" w14:textId="77777777" w:rsidR="007D724B" w:rsidRDefault="00000000">
      <w:pPr>
        <w:shd w:val="clear" w:color="auto" w:fill="FFFFFF"/>
        <w:ind w:right="-574"/>
        <w:jc w:val="center"/>
        <w:rPr>
          <w:rFonts w:ascii="National" w:eastAsia="National" w:hAnsi="National" w:cs="National"/>
          <w:b/>
          <w:color w:val="303AB2"/>
          <w:sz w:val="50"/>
          <w:szCs w:val="50"/>
        </w:rPr>
      </w:pPr>
      <w:r>
        <w:rPr>
          <w:rFonts w:ascii="National" w:eastAsia="National" w:hAnsi="National" w:cs="National"/>
          <w:b/>
          <w:color w:val="303AB2"/>
          <w:sz w:val="50"/>
          <w:szCs w:val="50"/>
        </w:rPr>
        <w:t>Evitar reformas y la eficiencia energética, principales motivos para comprar vivienda de obra nueva</w:t>
      </w:r>
    </w:p>
    <w:p w14:paraId="54E1B64C" w14:textId="77777777" w:rsidR="007D724B" w:rsidRDefault="007D724B">
      <w:pPr>
        <w:spacing w:line="276" w:lineRule="auto"/>
        <w:ind w:right="-574"/>
        <w:rPr>
          <w:rFonts w:ascii="Open Sans" w:eastAsia="Open Sans" w:hAnsi="Open Sans" w:cs="Open Sans"/>
          <w:sz w:val="22"/>
          <w:szCs w:val="22"/>
          <w:highlight w:val="yellow"/>
        </w:rPr>
      </w:pPr>
    </w:p>
    <w:p w14:paraId="721B6F87" w14:textId="77777777" w:rsidR="007D724B" w:rsidRDefault="00000000">
      <w:pPr>
        <w:numPr>
          <w:ilvl w:val="0"/>
          <w:numId w:val="2"/>
        </w:numPr>
        <w:pBdr>
          <w:top w:val="nil"/>
          <w:left w:val="nil"/>
          <w:bottom w:val="nil"/>
          <w:right w:val="nil"/>
          <w:between w:val="nil"/>
        </w:pBdr>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 xml:space="preserve">El 46 % de los que han comprado y/o considerado la obra nueva pretende mejorar su vivienda actual </w:t>
      </w:r>
    </w:p>
    <w:p w14:paraId="219279CB" w14:textId="77777777" w:rsidR="007D724B" w:rsidRDefault="00000000">
      <w:pPr>
        <w:numPr>
          <w:ilvl w:val="0"/>
          <w:numId w:val="2"/>
        </w:numPr>
        <w:pBdr>
          <w:top w:val="nil"/>
          <w:left w:val="nil"/>
          <w:bottom w:val="nil"/>
          <w:right w:val="nil"/>
          <w:between w:val="nil"/>
        </w:pBdr>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Uno de cada dos compradores que ha considerado la obra nueva y l</w:t>
      </w:r>
      <w:r>
        <w:rPr>
          <w:rFonts w:ascii="Open Sans" w:eastAsia="Open Sans" w:hAnsi="Open Sans" w:cs="Open Sans"/>
          <w:sz w:val="22"/>
          <w:szCs w:val="22"/>
        </w:rPr>
        <w:t>a</w:t>
      </w:r>
      <w:r>
        <w:rPr>
          <w:rFonts w:ascii="Open Sans" w:eastAsia="Open Sans" w:hAnsi="Open Sans" w:cs="Open Sans"/>
          <w:color w:val="000000"/>
          <w:sz w:val="22"/>
          <w:szCs w:val="22"/>
        </w:rPr>
        <w:t xml:space="preserve"> ha descartado lo ha hecho por el precio </w:t>
      </w:r>
    </w:p>
    <w:p w14:paraId="0B571C05" w14:textId="77777777" w:rsidR="007D724B" w:rsidRDefault="00000000">
      <w:pPr>
        <w:numPr>
          <w:ilvl w:val="0"/>
          <w:numId w:val="2"/>
        </w:numPr>
        <w:pBdr>
          <w:top w:val="nil"/>
          <w:left w:val="nil"/>
          <w:bottom w:val="nil"/>
          <w:right w:val="nil"/>
          <w:between w:val="nil"/>
        </w:pBdr>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Las personas que compra</w:t>
      </w:r>
      <w:r>
        <w:rPr>
          <w:rFonts w:ascii="Open Sans" w:eastAsia="Open Sans" w:hAnsi="Open Sans" w:cs="Open Sans"/>
          <w:sz w:val="22"/>
          <w:szCs w:val="22"/>
        </w:rPr>
        <w:t>n</w:t>
      </w:r>
      <w:r>
        <w:rPr>
          <w:rFonts w:ascii="Open Sans" w:eastAsia="Open Sans" w:hAnsi="Open Sans" w:cs="Open Sans"/>
          <w:color w:val="000000"/>
          <w:sz w:val="22"/>
          <w:szCs w:val="22"/>
        </w:rPr>
        <w:t xml:space="preserve"> una vivienda de nueva construcción tienen, de media, 41 años </w:t>
      </w:r>
    </w:p>
    <w:p w14:paraId="27DA92EE" w14:textId="77777777" w:rsidR="007D724B"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b/>
          <w:sz w:val="22"/>
          <w:szCs w:val="22"/>
        </w:rPr>
      </w:pPr>
      <w:hyperlink r:id="rId8">
        <w:r>
          <w:rPr>
            <w:b/>
            <w:color w:val="0000FF"/>
            <w:u w:val="single"/>
          </w:rPr>
          <w:t>Aquí se puede ver un vídeo de la directora de Estudios de Fotocasa</w:t>
        </w:r>
      </w:hyperlink>
    </w:p>
    <w:p w14:paraId="07438743" w14:textId="77777777" w:rsidR="007D724B" w:rsidRDefault="007D724B">
      <w:pPr>
        <w:pBdr>
          <w:top w:val="nil"/>
          <w:left w:val="nil"/>
          <w:bottom w:val="nil"/>
          <w:right w:val="nil"/>
          <w:between w:val="nil"/>
        </w:pBdr>
        <w:spacing w:line="276" w:lineRule="auto"/>
        <w:ind w:right="-574"/>
        <w:jc w:val="both"/>
        <w:rPr>
          <w:rFonts w:ascii="Open Sans" w:eastAsia="Open Sans" w:hAnsi="Open Sans" w:cs="Open Sans"/>
          <w:sz w:val="22"/>
          <w:szCs w:val="22"/>
        </w:rPr>
      </w:pPr>
    </w:p>
    <w:p w14:paraId="44A8BDCD" w14:textId="7F17FA97" w:rsidR="007D724B"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w:t>
      </w:r>
      <w:r w:rsidR="00D751F7">
        <w:rPr>
          <w:rFonts w:ascii="Open Sans Light" w:eastAsia="Open Sans Light" w:hAnsi="Open Sans Light" w:cs="Open Sans Light"/>
          <w:b/>
          <w:color w:val="303AB2"/>
        </w:rPr>
        <w:t>2</w:t>
      </w:r>
      <w:r>
        <w:rPr>
          <w:rFonts w:ascii="Open Sans Light" w:eastAsia="Open Sans Light" w:hAnsi="Open Sans Light" w:cs="Open Sans Light"/>
          <w:b/>
          <w:color w:val="303AB2"/>
        </w:rPr>
        <w:t xml:space="preserve"> de noviembre de 2023</w:t>
      </w:r>
    </w:p>
    <w:p w14:paraId="18863E9C" w14:textId="77777777" w:rsidR="007D724B" w:rsidRDefault="007D724B">
      <w:pPr>
        <w:spacing w:line="276" w:lineRule="auto"/>
        <w:ind w:right="-574"/>
        <w:jc w:val="both"/>
        <w:rPr>
          <w:rFonts w:ascii="Open Sans" w:eastAsia="Open Sans" w:hAnsi="Open Sans" w:cs="Open Sans"/>
          <w:color w:val="000000"/>
          <w:sz w:val="22"/>
          <w:szCs w:val="22"/>
        </w:rPr>
      </w:pPr>
    </w:p>
    <w:p w14:paraId="711CB80B" w14:textId="77777777" w:rsidR="007D724B"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consideración de la vivienda como una inversión a largo plazo continúa siendo la principal razón que motiva a los compradores que se plantean adquirir obra nueva para comprar en lugar de alquilar. Sin embargo, en 2023 este argumento pierde peso respecto al año anterior, ya que únicamente lo sostienen el 37% de los consultados, frente al 44% de 2022. También pierde algo de fuerza la opinión de que esta adquisición sea un seguro de cara al futuro, puesto que desciende del 33% al 29%. Pese a este retroceso, estos </w:t>
      </w:r>
      <w:r>
        <w:rPr>
          <w:rFonts w:ascii="Open Sans" w:eastAsia="Open Sans" w:hAnsi="Open Sans" w:cs="Open Sans"/>
          <w:b/>
          <w:color w:val="000000"/>
          <w:sz w:val="22"/>
          <w:szCs w:val="22"/>
        </w:rPr>
        <w:t xml:space="preserve">dos motivos relacionados con la visión de futuro siguen encabezando la lista de </w:t>
      </w:r>
      <w:r>
        <w:rPr>
          <w:rFonts w:ascii="Open Sans" w:eastAsia="Open Sans" w:hAnsi="Open Sans" w:cs="Open Sans"/>
          <w:b/>
          <w:sz w:val="22"/>
          <w:szCs w:val="22"/>
        </w:rPr>
        <w:t>razones</w:t>
      </w:r>
      <w:r>
        <w:rPr>
          <w:rFonts w:ascii="Open Sans" w:eastAsia="Open Sans" w:hAnsi="Open Sans" w:cs="Open Sans"/>
          <w:b/>
          <w:color w:val="000000"/>
          <w:sz w:val="22"/>
          <w:szCs w:val="22"/>
        </w:rPr>
        <w:t xml:space="preserve"> </w:t>
      </w:r>
      <w:r>
        <w:rPr>
          <w:rFonts w:ascii="Open Sans" w:eastAsia="Open Sans" w:hAnsi="Open Sans" w:cs="Open Sans"/>
          <w:b/>
          <w:sz w:val="22"/>
          <w:szCs w:val="22"/>
        </w:rPr>
        <w:t xml:space="preserve">por las que se </w:t>
      </w:r>
      <w:r>
        <w:rPr>
          <w:rFonts w:ascii="Open Sans" w:eastAsia="Open Sans" w:hAnsi="Open Sans" w:cs="Open Sans"/>
          <w:b/>
          <w:color w:val="000000"/>
          <w:sz w:val="22"/>
          <w:szCs w:val="22"/>
        </w:rPr>
        <w:t>decanta</w:t>
      </w:r>
      <w:r>
        <w:rPr>
          <w:rFonts w:ascii="Open Sans" w:eastAsia="Open Sans" w:hAnsi="Open Sans" w:cs="Open Sans"/>
          <w:b/>
          <w:sz w:val="22"/>
          <w:szCs w:val="22"/>
        </w:rPr>
        <w:t>n</w:t>
      </w:r>
      <w:r>
        <w:rPr>
          <w:rFonts w:ascii="Open Sans" w:eastAsia="Open Sans" w:hAnsi="Open Sans" w:cs="Open Sans"/>
          <w:b/>
          <w:color w:val="000000"/>
          <w:sz w:val="22"/>
          <w:szCs w:val="22"/>
        </w:rPr>
        <w:t xml:space="preserve"> por </w:t>
      </w:r>
      <w:r>
        <w:rPr>
          <w:rFonts w:ascii="Open Sans" w:eastAsia="Open Sans" w:hAnsi="Open Sans" w:cs="Open Sans"/>
          <w:b/>
          <w:sz w:val="22"/>
          <w:szCs w:val="22"/>
        </w:rPr>
        <w:t>vivienda</w:t>
      </w:r>
      <w:r>
        <w:rPr>
          <w:rFonts w:ascii="Open Sans" w:eastAsia="Open Sans" w:hAnsi="Open Sans" w:cs="Open Sans"/>
          <w:b/>
          <w:color w:val="000000"/>
          <w:sz w:val="22"/>
          <w:szCs w:val="22"/>
        </w:rPr>
        <w:t xml:space="preserve"> de nueva construcción</w:t>
      </w:r>
      <w:r>
        <w:rPr>
          <w:rFonts w:ascii="Open Sans" w:eastAsia="Open Sans" w:hAnsi="Open Sans" w:cs="Open Sans"/>
          <w:color w:val="000000"/>
          <w:sz w:val="22"/>
          <w:szCs w:val="22"/>
        </w:rPr>
        <w:t>. Esta es una de las principales conclusiones del análisis “</w:t>
      </w:r>
      <w:r>
        <w:rPr>
          <w:rFonts w:ascii="Open Sans" w:eastAsia="Open Sans" w:hAnsi="Open Sans" w:cs="Open Sans"/>
          <w:b/>
          <w:i/>
          <w:color w:val="000000"/>
          <w:sz w:val="22"/>
          <w:szCs w:val="22"/>
        </w:rPr>
        <w:t>Situación del mercado de obra nueva en 2023</w:t>
      </w:r>
      <w:r>
        <w:rPr>
          <w:rFonts w:ascii="Open Sans" w:eastAsia="Open Sans" w:hAnsi="Open Sans" w:cs="Open Sans"/>
          <w:color w:val="000000"/>
          <w:sz w:val="22"/>
          <w:szCs w:val="22"/>
        </w:rPr>
        <w:t xml:space="preserve">” realizado por el portal inmobiliario </w:t>
      </w:r>
      <w:hyperlink r:id="rId9">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El análisis tambi</w:t>
      </w:r>
      <w:r>
        <w:rPr>
          <w:rFonts w:ascii="Open Sans" w:eastAsia="Open Sans" w:hAnsi="Open Sans" w:cs="Open Sans"/>
          <w:sz w:val="22"/>
          <w:szCs w:val="22"/>
        </w:rPr>
        <w:t xml:space="preserve">én </w:t>
      </w:r>
      <w:r>
        <w:rPr>
          <w:rFonts w:ascii="Open Sans" w:eastAsia="Open Sans" w:hAnsi="Open Sans" w:cs="Open Sans"/>
          <w:color w:val="000000"/>
          <w:sz w:val="22"/>
          <w:szCs w:val="22"/>
        </w:rPr>
        <w:t>muestra que sí se mantiene en los mismos valores, dentro de las razones personales de la decisión, el deseo de mejorar la vivienda actual, cuestión señalada por el 46% de los compradores que considera a adquisición de obra nueva.</w:t>
      </w:r>
    </w:p>
    <w:p w14:paraId="75CD61DF" w14:textId="77777777" w:rsidR="007D724B" w:rsidRDefault="007D724B">
      <w:pPr>
        <w:spacing w:line="276" w:lineRule="auto"/>
        <w:ind w:right="-574"/>
        <w:jc w:val="both"/>
        <w:rPr>
          <w:rFonts w:ascii="Open Sans" w:eastAsia="Open Sans" w:hAnsi="Open Sans" w:cs="Open Sans"/>
          <w:color w:val="000000"/>
          <w:sz w:val="22"/>
          <w:szCs w:val="22"/>
        </w:rPr>
      </w:pPr>
    </w:p>
    <w:p w14:paraId="6330AD28" w14:textId="77777777" w:rsidR="007D724B" w:rsidRDefault="00000000">
      <w:pPr>
        <w:spacing w:line="276" w:lineRule="auto"/>
        <w:ind w:right="-574"/>
        <w:jc w:val="both"/>
        <w:rPr>
          <w:rFonts w:ascii="Open Sans" w:eastAsia="Open Sans" w:hAnsi="Open Sans" w:cs="Open Sans"/>
          <w:b/>
          <w:color w:val="000000"/>
          <w:sz w:val="22"/>
          <w:szCs w:val="22"/>
        </w:rPr>
      </w:pPr>
      <w:r>
        <w:rPr>
          <w:rFonts w:ascii="Open Sans" w:eastAsia="Open Sans" w:hAnsi="Open Sans" w:cs="Open Sans"/>
          <w:color w:val="000000"/>
          <w:sz w:val="22"/>
          <w:szCs w:val="22"/>
        </w:rPr>
        <w:t xml:space="preserve">También permanece en el mismo porcentaje, entre los motivos personales más contemplados, el hecho de que </w:t>
      </w:r>
      <w:r>
        <w:rPr>
          <w:rFonts w:ascii="Open Sans" w:eastAsia="Open Sans" w:hAnsi="Open Sans" w:cs="Open Sans"/>
          <w:b/>
          <w:color w:val="000000"/>
          <w:sz w:val="22"/>
          <w:szCs w:val="22"/>
        </w:rPr>
        <w:t>invertir en vivienda ofrece en estos momentos una rentabilidad que no ofrece ningún otro producto financiero. Así lo piensan el 26 % de los consultados.</w:t>
      </w:r>
    </w:p>
    <w:p w14:paraId="04D5CD75" w14:textId="77777777" w:rsidR="00B61231" w:rsidRDefault="00B61231">
      <w:pPr>
        <w:spacing w:line="276" w:lineRule="auto"/>
        <w:ind w:right="-574"/>
        <w:jc w:val="both"/>
        <w:rPr>
          <w:rFonts w:ascii="Open Sans" w:eastAsia="Open Sans" w:hAnsi="Open Sans" w:cs="Open Sans"/>
          <w:b/>
          <w:color w:val="000000"/>
          <w:sz w:val="22"/>
          <w:szCs w:val="22"/>
        </w:rPr>
      </w:pPr>
    </w:p>
    <w:p w14:paraId="5D6FCF31" w14:textId="77777777" w:rsidR="007D724B"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Por su parte, el querer vivir con la pareja pierde peso entre el colectivo de 25-34 años, mientras que el deseo de independencia aumenta entre un colectivo de 35-44 años en el que </w:t>
      </w:r>
      <w:r>
        <w:rPr>
          <w:rFonts w:ascii="Open Sans" w:eastAsia="Open Sans" w:hAnsi="Open Sans" w:cs="Open Sans"/>
          <w:sz w:val="22"/>
          <w:szCs w:val="22"/>
        </w:rPr>
        <w:t>desciende la importancia</w:t>
      </w:r>
      <w:r>
        <w:rPr>
          <w:rFonts w:ascii="Open Sans" w:eastAsia="Open Sans" w:hAnsi="Open Sans" w:cs="Open Sans"/>
          <w:color w:val="000000"/>
          <w:sz w:val="22"/>
          <w:szCs w:val="22"/>
        </w:rPr>
        <w:t xml:space="preserve"> </w:t>
      </w:r>
      <w:r>
        <w:rPr>
          <w:rFonts w:ascii="Open Sans" w:eastAsia="Open Sans" w:hAnsi="Open Sans" w:cs="Open Sans"/>
          <w:sz w:val="22"/>
          <w:szCs w:val="22"/>
        </w:rPr>
        <w:t>del</w:t>
      </w:r>
      <w:r>
        <w:rPr>
          <w:rFonts w:ascii="Open Sans" w:eastAsia="Open Sans" w:hAnsi="Open Sans" w:cs="Open Sans"/>
          <w:color w:val="000000"/>
          <w:sz w:val="22"/>
          <w:szCs w:val="22"/>
        </w:rPr>
        <w:t xml:space="preserve"> crecimiento de la familia como motivación personal para comprar una casa.</w:t>
      </w:r>
    </w:p>
    <w:p w14:paraId="256C67B7" w14:textId="77777777" w:rsidR="007D724B" w:rsidRDefault="007D724B">
      <w:pPr>
        <w:spacing w:line="276" w:lineRule="auto"/>
        <w:ind w:right="-574"/>
        <w:jc w:val="both"/>
        <w:rPr>
          <w:rFonts w:ascii="Open Sans" w:eastAsia="Open Sans" w:hAnsi="Open Sans" w:cs="Open Sans"/>
          <w:sz w:val="22"/>
          <w:szCs w:val="22"/>
        </w:rPr>
      </w:pPr>
    </w:p>
    <w:p w14:paraId="4AD393F3" w14:textId="77777777" w:rsidR="007D724B"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“La vivienda de nueva construcción trae de serie los requisitos más demandados por los compradores. Las características de sostenibilidad, las calidades de los materiales, las zonas comunes pensadas para facilitar la estancia, los servicios ofrecidos dentro de la comunidad… son particularidades del inmueble que atraen a cada vez más demandantes y todas tienen algo en común: mejoran la calidad de vida del comprador. Los que terminan descartando esta tipología hacen hincapié en la escasa oferta, lo que se convierte en una problemática que lamentablemente se mantendrá a corto plazo y que seguirá empujando los precios de la obra nueva al alza -principal razón que aleja al comprador de la vivienda nueva-”, comenta María Matos, directora de Estudios y portavoz de </w:t>
      </w:r>
      <w:hyperlink r:id="rId10">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w:t>
      </w:r>
    </w:p>
    <w:p w14:paraId="31DF9B28" w14:textId="77777777" w:rsidR="007D724B" w:rsidRDefault="00000000">
      <w:pPr>
        <w:spacing w:line="276" w:lineRule="auto"/>
        <w:ind w:right="-574"/>
        <w:jc w:val="center"/>
        <w:rPr>
          <w:rFonts w:ascii="Open Sans" w:eastAsia="Open Sans" w:hAnsi="Open Sans" w:cs="Open Sans"/>
          <w:color w:val="000000"/>
          <w:sz w:val="22"/>
          <w:szCs w:val="22"/>
        </w:rPr>
      </w:pPr>
      <w:r>
        <w:rPr>
          <w:noProof/>
        </w:rPr>
        <w:drawing>
          <wp:inline distT="0" distB="0" distL="0" distR="0" wp14:anchorId="20F1DB46" wp14:editId="7975C54C">
            <wp:extent cx="5219899" cy="3407861"/>
            <wp:effectExtent l="0" t="0" r="0" b="0"/>
            <wp:docPr id="2025328945" name="image3.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10;&#10;Descripción generada automáticamente"/>
                    <pic:cNvPicPr preferRelativeResize="0"/>
                  </pic:nvPicPr>
                  <pic:blipFill>
                    <a:blip r:embed="rId11"/>
                    <a:srcRect/>
                    <a:stretch>
                      <a:fillRect/>
                    </a:stretch>
                  </pic:blipFill>
                  <pic:spPr>
                    <a:xfrm>
                      <a:off x="0" y="0"/>
                      <a:ext cx="5219899" cy="3407861"/>
                    </a:xfrm>
                    <a:prstGeom prst="rect">
                      <a:avLst/>
                    </a:prstGeom>
                    <a:ln/>
                  </pic:spPr>
                </pic:pic>
              </a:graphicData>
            </a:graphic>
          </wp:inline>
        </w:drawing>
      </w:r>
    </w:p>
    <w:p w14:paraId="6A502B1D" w14:textId="77777777" w:rsidR="007D724B" w:rsidRDefault="007D724B">
      <w:pPr>
        <w:spacing w:line="276" w:lineRule="auto"/>
        <w:ind w:right="-574"/>
        <w:jc w:val="both"/>
        <w:rPr>
          <w:rFonts w:ascii="Open Sans" w:eastAsia="Open Sans" w:hAnsi="Open Sans" w:cs="Open Sans"/>
          <w:color w:val="000000"/>
          <w:sz w:val="22"/>
          <w:szCs w:val="22"/>
        </w:rPr>
      </w:pPr>
    </w:p>
    <w:p w14:paraId="2092F2B8" w14:textId="77777777" w:rsidR="007D724B" w:rsidRDefault="00000000">
      <w:pPr>
        <w:spacing w:line="276" w:lineRule="auto"/>
        <w:ind w:right="-574"/>
        <w:jc w:val="center"/>
        <w:rPr>
          <w:rFonts w:ascii="Open Sans" w:eastAsia="Open Sans" w:hAnsi="Open Sans" w:cs="Open Sans"/>
          <w:color w:val="000000"/>
          <w:sz w:val="22"/>
          <w:szCs w:val="22"/>
        </w:rPr>
      </w:pPr>
      <w:r>
        <w:rPr>
          <w:noProof/>
        </w:rPr>
        <w:lastRenderedPageBreak/>
        <w:drawing>
          <wp:inline distT="0" distB="0" distL="0" distR="0" wp14:anchorId="361EEFA4" wp14:editId="5BDC4A4E">
            <wp:extent cx="5443997" cy="3554165"/>
            <wp:effectExtent l="0" t="0" r="0" b="0"/>
            <wp:docPr id="2025328947" name="image4.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Interfaz de usuario gráfica&#10;&#10;Descripción generada automáticamente"/>
                    <pic:cNvPicPr preferRelativeResize="0"/>
                  </pic:nvPicPr>
                  <pic:blipFill>
                    <a:blip r:embed="rId12"/>
                    <a:srcRect/>
                    <a:stretch>
                      <a:fillRect/>
                    </a:stretch>
                  </pic:blipFill>
                  <pic:spPr>
                    <a:xfrm>
                      <a:off x="0" y="0"/>
                      <a:ext cx="5443997" cy="3554165"/>
                    </a:xfrm>
                    <a:prstGeom prst="rect">
                      <a:avLst/>
                    </a:prstGeom>
                    <a:ln/>
                  </pic:spPr>
                </pic:pic>
              </a:graphicData>
            </a:graphic>
          </wp:inline>
        </w:drawing>
      </w:r>
    </w:p>
    <w:p w14:paraId="407647FF" w14:textId="77777777" w:rsidR="007D724B" w:rsidRDefault="007D724B">
      <w:pPr>
        <w:spacing w:line="276" w:lineRule="auto"/>
        <w:ind w:right="-574"/>
        <w:jc w:val="both"/>
        <w:rPr>
          <w:rFonts w:ascii="Open Sans" w:eastAsia="Open Sans" w:hAnsi="Open Sans" w:cs="Open Sans"/>
          <w:color w:val="000000"/>
          <w:sz w:val="22"/>
          <w:szCs w:val="22"/>
        </w:rPr>
      </w:pPr>
    </w:p>
    <w:p w14:paraId="14B4E299" w14:textId="77777777" w:rsidR="007D724B"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La eficiencia energética cada vez es más importante para los demandantes de vivienda de obra nueva </w:t>
      </w:r>
    </w:p>
    <w:p w14:paraId="7A65BCB4" w14:textId="77777777" w:rsidR="007D724B" w:rsidRDefault="007D724B">
      <w:pPr>
        <w:spacing w:line="276" w:lineRule="auto"/>
        <w:ind w:right="-574"/>
        <w:jc w:val="both"/>
        <w:rPr>
          <w:rFonts w:ascii="Open Sans" w:eastAsia="Open Sans" w:hAnsi="Open Sans" w:cs="Open Sans"/>
          <w:color w:val="000000"/>
          <w:sz w:val="22"/>
          <w:szCs w:val="22"/>
        </w:rPr>
      </w:pPr>
    </w:p>
    <w:p w14:paraId="2C053D47" w14:textId="77777777" w:rsidR="007D724B"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 la hora de buscar específicamente viviendas de nueva construcción, el no tener que acometer reformas en la vivienda es también muy relevante a la hora de buscar la compra de obra nueva. Así lo sostienen el 44% de los consultados (en 2022 eran el 49%). </w:t>
      </w:r>
    </w:p>
    <w:p w14:paraId="600C983E" w14:textId="77777777" w:rsidR="007D724B" w:rsidRDefault="007D724B">
      <w:pPr>
        <w:spacing w:line="276" w:lineRule="auto"/>
        <w:ind w:right="-574"/>
        <w:jc w:val="both"/>
        <w:rPr>
          <w:rFonts w:ascii="Open Sans" w:eastAsia="Open Sans" w:hAnsi="Open Sans" w:cs="Open Sans"/>
          <w:color w:val="000000"/>
          <w:sz w:val="22"/>
          <w:szCs w:val="22"/>
        </w:rPr>
      </w:pPr>
    </w:p>
    <w:p w14:paraId="5E397F5A" w14:textId="77777777" w:rsidR="007D724B"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Otro motivo que despunta a la hora de buscar vivienda nueva es el de la eficiencia energética, con un respaldo del 39% de los compradores. Además, se trata de un argumento que hace un año solo mencionaban un 31% de los compradores o demandantes de vivienda que consideraban la obra nueva. </w:t>
      </w:r>
    </w:p>
    <w:p w14:paraId="5ED7910F" w14:textId="77777777" w:rsidR="007D724B" w:rsidRDefault="007D724B">
      <w:pPr>
        <w:spacing w:line="276" w:lineRule="auto"/>
        <w:ind w:right="-574"/>
        <w:jc w:val="both"/>
        <w:rPr>
          <w:rFonts w:ascii="Open Sans" w:eastAsia="Open Sans" w:hAnsi="Open Sans" w:cs="Open Sans"/>
          <w:color w:val="000000"/>
          <w:sz w:val="22"/>
          <w:szCs w:val="22"/>
        </w:rPr>
      </w:pPr>
    </w:p>
    <w:p w14:paraId="0EE4E5D6" w14:textId="77777777" w:rsidR="007D724B"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Se trata, además, de una cuestión que tiene especial acogida en el colectivo de edad comprendido entre los 25 y 34 años (42%) y el de los mayores de 55, con un 43%. También es un motivo que tiene una mayor relevancia entre los demandantes de vivienda en Cataluña (49%). </w:t>
      </w:r>
    </w:p>
    <w:p w14:paraId="7E52001B" w14:textId="77777777" w:rsidR="007D724B" w:rsidRDefault="007D724B">
      <w:pPr>
        <w:spacing w:line="276" w:lineRule="auto"/>
        <w:ind w:right="-574"/>
        <w:jc w:val="both"/>
        <w:rPr>
          <w:rFonts w:ascii="Open Sans" w:eastAsia="Open Sans" w:hAnsi="Open Sans" w:cs="Open Sans"/>
          <w:color w:val="000000"/>
          <w:sz w:val="22"/>
          <w:szCs w:val="22"/>
        </w:rPr>
      </w:pPr>
    </w:p>
    <w:p w14:paraId="2ADB02F2" w14:textId="77777777" w:rsidR="007D724B" w:rsidRDefault="00000000">
      <w:pPr>
        <w:spacing w:line="276" w:lineRule="auto"/>
        <w:ind w:right="-574"/>
        <w:jc w:val="both"/>
        <w:rPr>
          <w:rFonts w:ascii="Open Sans" w:eastAsia="Open Sans" w:hAnsi="Open Sans" w:cs="Open Sans"/>
          <w:color w:val="000000"/>
          <w:sz w:val="22"/>
          <w:szCs w:val="22"/>
        </w:rPr>
      </w:pPr>
      <w:r>
        <w:rPr>
          <w:noProof/>
        </w:rPr>
        <w:lastRenderedPageBreak/>
        <w:drawing>
          <wp:inline distT="0" distB="0" distL="0" distR="0" wp14:anchorId="2D1B8979" wp14:editId="1475B975">
            <wp:extent cx="5996475" cy="3914856"/>
            <wp:effectExtent l="0" t="0" r="0" b="0"/>
            <wp:docPr id="2025328946" name="image6.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10;&#10;Descripción generada automáticamente"/>
                    <pic:cNvPicPr preferRelativeResize="0"/>
                  </pic:nvPicPr>
                  <pic:blipFill>
                    <a:blip r:embed="rId13"/>
                    <a:srcRect/>
                    <a:stretch>
                      <a:fillRect/>
                    </a:stretch>
                  </pic:blipFill>
                  <pic:spPr>
                    <a:xfrm>
                      <a:off x="0" y="0"/>
                      <a:ext cx="5996475" cy="3914856"/>
                    </a:xfrm>
                    <a:prstGeom prst="rect">
                      <a:avLst/>
                    </a:prstGeom>
                    <a:ln/>
                  </pic:spPr>
                </pic:pic>
              </a:graphicData>
            </a:graphic>
          </wp:inline>
        </w:drawing>
      </w:r>
    </w:p>
    <w:p w14:paraId="2F0CD090" w14:textId="77777777" w:rsidR="007D724B" w:rsidRDefault="007D724B">
      <w:pPr>
        <w:spacing w:line="276" w:lineRule="auto"/>
        <w:ind w:right="-574"/>
        <w:jc w:val="both"/>
        <w:rPr>
          <w:rFonts w:ascii="Open Sans" w:eastAsia="Open Sans" w:hAnsi="Open Sans" w:cs="Open Sans"/>
          <w:color w:val="000000"/>
          <w:sz w:val="22"/>
          <w:szCs w:val="22"/>
        </w:rPr>
      </w:pPr>
    </w:p>
    <w:p w14:paraId="19A9E534" w14:textId="77777777" w:rsidR="007D724B" w:rsidRDefault="007D724B">
      <w:pPr>
        <w:spacing w:line="276" w:lineRule="auto"/>
        <w:ind w:right="-574"/>
        <w:jc w:val="both"/>
        <w:rPr>
          <w:rFonts w:ascii="Open Sans" w:eastAsia="Open Sans" w:hAnsi="Open Sans" w:cs="Open Sans"/>
          <w:color w:val="000000"/>
          <w:sz w:val="22"/>
          <w:szCs w:val="22"/>
        </w:rPr>
      </w:pPr>
    </w:p>
    <w:p w14:paraId="25CABAE8" w14:textId="77777777" w:rsidR="007D724B"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tercera razón para decidirse por la obra nueva es por las mejores calidades que presenta. Una razón a la que </w:t>
      </w:r>
      <w:r>
        <w:rPr>
          <w:rFonts w:ascii="Open Sans" w:eastAsia="Open Sans" w:hAnsi="Open Sans" w:cs="Open Sans"/>
          <w:sz w:val="22"/>
          <w:szCs w:val="22"/>
        </w:rPr>
        <w:t>alude</w:t>
      </w:r>
      <w:r>
        <w:rPr>
          <w:rFonts w:ascii="Open Sans" w:eastAsia="Open Sans" w:hAnsi="Open Sans" w:cs="Open Sans"/>
          <w:color w:val="000000"/>
          <w:sz w:val="22"/>
          <w:szCs w:val="22"/>
        </w:rPr>
        <w:t xml:space="preserve"> el 33%. Se trata de un motivo especialmente destacado en el colectivo de 35-44 años (36%), que también valora especialmente la posibilidad de cumplir con normativas actuales (23%), mientras que para el colectivo de 45-54 años ganan peso otros factores como la posibilidad de acceder a pisos más baratos (19%), o la de ahorrar para la entrada (18%).</w:t>
      </w:r>
    </w:p>
    <w:p w14:paraId="6D7126E7" w14:textId="77777777" w:rsidR="007D724B" w:rsidRDefault="007D724B">
      <w:pPr>
        <w:spacing w:line="276" w:lineRule="auto"/>
        <w:ind w:right="-574"/>
        <w:jc w:val="both"/>
        <w:rPr>
          <w:rFonts w:ascii="Open Sans" w:eastAsia="Open Sans" w:hAnsi="Open Sans" w:cs="Open Sans"/>
          <w:color w:val="000000"/>
          <w:sz w:val="22"/>
          <w:szCs w:val="22"/>
        </w:rPr>
      </w:pPr>
    </w:p>
    <w:p w14:paraId="28EE56D8" w14:textId="77777777" w:rsidR="007D724B"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¿Por qué no pudieron comprar finalmente obra nueva?</w:t>
      </w:r>
    </w:p>
    <w:p w14:paraId="5A8657BC" w14:textId="77777777" w:rsidR="007D724B" w:rsidRDefault="007D724B">
      <w:pPr>
        <w:spacing w:line="276" w:lineRule="auto"/>
        <w:ind w:right="-574"/>
        <w:jc w:val="both"/>
        <w:rPr>
          <w:rFonts w:ascii="Open Sans Light" w:eastAsia="Open Sans Light" w:hAnsi="Open Sans Light" w:cs="Open Sans Light"/>
          <w:b/>
          <w:color w:val="303AB2"/>
        </w:rPr>
      </w:pPr>
    </w:p>
    <w:p w14:paraId="6EE0BB22" w14:textId="77777777" w:rsidR="007D724B"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64% de los particulares que han comprado una vivienda en los últimos doce meses ha considerado la opción de adquirir una vivienda de obra nueva. De estos, sin embargo, sólo el 46% materializó esta adquisición, mientras que el 54% accedieron finalmente a la compra de un inmueble de segunda mano.</w:t>
      </w:r>
    </w:p>
    <w:p w14:paraId="3E780083" w14:textId="77777777" w:rsidR="007D724B" w:rsidRDefault="007D724B">
      <w:pPr>
        <w:spacing w:line="276" w:lineRule="auto"/>
        <w:ind w:right="-574"/>
        <w:jc w:val="both"/>
        <w:rPr>
          <w:rFonts w:ascii="Open Sans" w:eastAsia="Open Sans" w:hAnsi="Open Sans" w:cs="Open Sans"/>
          <w:color w:val="000000"/>
          <w:sz w:val="22"/>
          <w:szCs w:val="22"/>
        </w:rPr>
      </w:pPr>
    </w:p>
    <w:p w14:paraId="1CB8707E" w14:textId="77777777" w:rsidR="007D724B"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La principal razón para descartar en última instancia la obra nueva fue el precio, considerado demasiado caro. Así fue en el 55% de los casos. La causa siguiente fue la carencia de oferta en la zona donde se buscaba (37%).</w:t>
      </w:r>
    </w:p>
    <w:p w14:paraId="6AC04F83" w14:textId="77777777" w:rsidR="007D724B" w:rsidRDefault="00000000">
      <w:pPr>
        <w:spacing w:line="276" w:lineRule="auto"/>
        <w:ind w:right="-574"/>
        <w:jc w:val="center"/>
        <w:rPr>
          <w:rFonts w:ascii="Open Sans" w:eastAsia="Open Sans" w:hAnsi="Open Sans" w:cs="Open Sans"/>
          <w:color w:val="000000"/>
          <w:sz w:val="22"/>
          <w:szCs w:val="22"/>
        </w:rPr>
      </w:pPr>
      <w:r>
        <w:rPr>
          <w:noProof/>
        </w:rPr>
        <w:lastRenderedPageBreak/>
        <w:drawing>
          <wp:inline distT="0" distB="0" distL="0" distR="0" wp14:anchorId="03587076" wp14:editId="72DEFFC2">
            <wp:extent cx="5757580" cy="4416765"/>
            <wp:effectExtent l="0" t="0" r="0" b="0"/>
            <wp:docPr id="2025328948" name="image5.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magen que contiene Tabla&#10;&#10;Descripción generada automáticamente"/>
                    <pic:cNvPicPr preferRelativeResize="0"/>
                  </pic:nvPicPr>
                  <pic:blipFill>
                    <a:blip r:embed="rId14"/>
                    <a:srcRect/>
                    <a:stretch>
                      <a:fillRect/>
                    </a:stretch>
                  </pic:blipFill>
                  <pic:spPr>
                    <a:xfrm>
                      <a:off x="0" y="0"/>
                      <a:ext cx="5757580" cy="4416765"/>
                    </a:xfrm>
                    <a:prstGeom prst="rect">
                      <a:avLst/>
                    </a:prstGeom>
                    <a:ln/>
                  </pic:spPr>
                </pic:pic>
              </a:graphicData>
            </a:graphic>
          </wp:inline>
        </w:drawing>
      </w:r>
    </w:p>
    <w:p w14:paraId="07EAA116" w14:textId="77777777" w:rsidR="00B61231" w:rsidRDefault="00B61231">
      <w:pPr>
        <w:spacing w:line="276" w:lineRule="auto"/>
        <w:ind w:right="-574"/>
        <w:jc w:val="both"/>
        <w:rPr>
          <w:rFonts w:ascii="Open Sans" w:eastAsia="Open Sans" w:hAnsi="Open Sans" w:cs="Open Sans"/>
          <w:color w:val="000000"/>
          <w:sz w:val="22"/>
          <w:szCs w:val="22"/>
        </w:rPr>
      </w:pPr>
    </w:p>
    <w:p w14:paraId="6EB74834" w14:textId="1937ACBD" w:rsidR="007D724B"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A mucha distancia, con un 16%, encontramos como razón del desistimiento las condiciones de pago y los gastos de entrada. Y, ambas con un 14%, una distribución inadecuada de la vivienda y el retraso en los plazos de su entrega.</w:t>
      </w:r>
    </w:p>
    <w:p w14:paraId="0859D726" w14:textId="77777777" w:rsidR="007D724B" w:rsidRDefault="007D724B">
      <w:pPr>
        <w:spacing w:line="276" w:lineRule="auto"/>
        <w:ind w:right="-574"/>
        <w:jc w:val="both"/>
        <w:rPr>
          <w:rFonts w:ascii="Open Sans" w:eastAsia="Open Sans" w:hAnsi="Open Sans" w:cs="Open Sans"/>
          <w:color w:val="000000"/>
          <w:sz w:val="22"/>
          <w:szCs w:val="22"/>
        </w:rPr>
      </w:pPr>
    </w:p>
    <w:p w14:paraId="799F81C7" w14:textId="77777777" w:rsidR="007D724B" w:rsidRDefault="007D724B">
      <w:pPr>
        <w:spacing w:line="276" w:lineRule="auto"/>
        <w:ind w:right="-716"/>
        <w:jc w:val="right"/>
      </w:pPr>
    </w:p>
    <w:p w14:paraId="7742993D" w14:textId="77777777" w:rsidR="007D724B" w:rsidRDefault="00000000">
      <w:pPr>
        <w:spacing w:line="276" w:lineRule="auto"/>
        <w:ind w:right="-716"/>
        <w:jc w:val="right"/>
        <w:rPr>
          <w:rFonts w:ascii="Open Sans Light" w:eastAsia="Open Sans Light" w:hAnsi="Open Sans Light" w:cs="Open Sans Light"/>
          <w:b/>
          <w:color w:val="303AB2"/>
        </w:rPr>
      </w:pPr>
      <w:r>
        <w:t xml:space="preserve">     </w:t>
      </w:r>
      <w:r>
        <w:rPr>
          <w:rFonts w:ascii="Open Sans Light" w:eastAsia="Open Sans Light" w:hAnsi="Open Sans Light" w:cs="Open Sans Light"/>
          <w:b/>
          <w:color w:val="303AB2"/>
        </w:rPr>
        <w:t>Sobre el análisis “Situación del mercado de obra nueva en 2023”</w:t>
      </w:r>
    </w:p>
    <w:p w14:paraId="50FDB35E" w14:textId="77777777" w:rsidR="007D724B"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El portal inmobiliario Fotocasa ha realizado el análisis “</w:t>
      </w:r>
      <w:r>
        <w:rPr>
          <w:rFonts w:ascii="Open Sans" w:eastAsia="Open Sans" w:hAnsi="Open Sans" w:cs="Open Sans"/>
          <w:b/>
          <w:i/>
          <w:color w:val="000000"/>
          <w:sz w:val="22"/>
          <w:szCs w:val="22"/>
        </w:rPr>
        <w:t>Situación del mercado de obra nueva en 2023</w:t>
      </w:r>
      <w:r>
        <w:rPr>
          <w:rFonts w:ascii="Open Sans" w:eastAsia="Open Sans" w:hAnsi="Open Sans" w:cs="Open Sans"/>
          <w:color w:val="000000"/>
          <w:sz w:val="22"/>
          <w:szCs w:val="22"/>
        </w:rPr>
        <w:t>”, en base a un exhaustivo análisis del equipo de Business Analytics de Fotocasa en colaboración con el instituto de investigación The Cocktail Analysis.</w:t>
      </w:r>
    </w:p>
    <w:p w14:paraId="2FD700E1" w14:textId="77777777" w:rsidR="007D724B"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El análisis pone el foco en la situación de la vivienda de obra nueva. Al igual que los anteriores informes, se ha realizado sobre un panel independiente con una muestra de 5.002 personas representativas de la sociedad española y que tienen entre 18 y 75 años, a través de encuestas online que se efectuaron en el primer semestre de 2023. Error muestral</w:t>
      </w:r>
      <w:r>
        <w:rPr>
          <w:rFonts w:ascii="Open Sans" w:eastAsia="Open Sans" w:hAnsi="Open Sans" w:cs="Open Sans"/>
          <w:sz w:val="22"/>
          <w:szCs w:val="22"/>
        </w:rPr>
        <w:t>: +-1,4%.</w:t>
      </w:r>
    </w:p>
    <w:p w14:paraId="66498882" w14:textId="77777777" w:rsidR="007D724B"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2E06DC16" w14:textId="77777777" w:rsidR="007D724B"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6">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0" w:name="_heading=h.2s8eyo1" w:colFirst="0" w:colLast="0"/>
    <w:bookmarkEnd w:id="0"/>
    <w:p w14:paraId="5836114E" w14:textId="77777777" w:rsidR="007D724B"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hyperlink r:id="rId17">
        <w:r>
          <w:rPr>
            <w:rFonts w:ascii="Open Sans" w:eastAsia="Open Sans" w:hAnsi="Open Sans" w:cs="Open Sans"/>
            <w:color w:val="0000FF"/>
            <w:sz w:val="22"/>
            <w:szCs w:val="22"/>
            <w:u w:val="single"/>
          </w:rPr>
          <w:t>Adevinta</w:t>
        </w:r>
      </w:hyperlink>
      <w:r>
        <w:rPr>
          <w:rFonts w:ascii="Open Sans" w:eastAsia="Open Sans" w:hAnsi="Open Sans" w:cs="Open Sans"/>
          <w:color w:val="000000"/>
          <w:sz w:val="22"/>
          <w:szCs w:val="22"/>
        </w:rPr>
        <w:t xml:space="preserve">, una empresa 100% especializada en Marketplaces digitales y el único “pure player” del sector a nivel mundial. </w:t>
      </w:r>
    </w:p>
    <w:p w14:paraId="2D42CAF5" w14:textId="77777777" w:rsidR="007D724B" w:rsidRDefault="00000000">
      <w:pPr>
        <w:shd w:val="clear" w:color="auto" w:fill="FFFFFF"/>
        <w:spacing w:before="280" w:after="280" w:line="276" w:lineRule="auto"/>
        <w:ind w:right="-716"/>
        <w:jc w:val="both"/>
        <w:rPr>
          <w:rFonts w:ascii="Open Sans" w:eastAsia="Open Sans" w:hAnsi="Open Sans" w:cs="Open Sans"/>
          <w:color w:val="000000"/>
          <w:sz w:val="22"/>
          <w:szCs w:val="22"/>
        </w:rPr>
      </w:pPr>
      <w:hyperlink r:id="rId18">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7670E8E0" w14:textId="77777777" w:rsidR="007D724B"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64A2CB57" w14:textId="77777777" w:rsidR="007D724B" w:rsidRDefault="00000000">
      <w:pPr>
        <w:spacing w:before="143" w:after="200"/>
        <w:ind w:right="-716"/>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9">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1">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4">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545FAD15" w14:textId="77777777" w:rsidR="007D724B" w:rsidRDefault="00000000">
      <w:pPr>
        <w:spacing w:before="143" w:after="20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757FEEB8" w14:textId="77777777" w:rsidR="007D724B" w:rsidRDefault="00000000">
      <w:pPr>
        <w:spacing w:before="143" w:after="20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Adevinta tiene presencia mundial en 10 países. El conjunto de sus plataformas locales recibe un promedio de 3.000 millones de visitas cada mes. </w:t>
      </w:r>
    </w:p>
    <w:p w14:paraId="47F5FEDB" w14:textId="77777777" w:rsidR="007D724B" w:rsidRDefault="00000000">
      <w:pPr>
        <w:spacing w:after="160"/>
        <w:ind w:right="-716"/>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5">
        <w:r>
          <w:rPr>
            <w:rFonts w:ascii="Open Sans" w:eastAsia="Open Sans" w:hAnsi="Open Sans" w:cs="Open Sans"/>
            <w:color w:val="1155CC"/>
            <w:sz w:val="22"/>
            <w:szCs w:val="22"/>
            <w:u w:val="single"/>
          </w:rPr>
          <w:t>adevinta.es</w:t>
        </w:r>
      </w:hyperlink>
    </w:p>
    <w:p w14:paraId="433EF4B2" w14:textId="77777777" w:rsidR="007D724B" w:rsidRDefault="007D724B">
      <w:pPr>
        <w:spacing w:after="160"/>
        <w:ind w:right="-716"/>
        <w:jc w:val="both"/>
        <w:rPr>
          <w:rFonts w:ascii="Open Sans" w:eastAsia="Open Sans" w:hAnsi="Open Sans" w:cs="Open Sans"/>
        </w:rPr>
      </w:pPr>
    </w:p>
    <w:p w14:paraId="613E2209" w14:textId="77777777" w:rsidR="007D724B"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7AC9727" w14:textId="77777777" w:rsidR="007D724B"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32F6B84" w14:textId="77777777" w:rsidR="007D724B" w:rsidRDefault="00000000">
      <w:pPr>
        <w:shd w:val="clear" w:color="auto" w:fill="FFFFFF"/>
        <w:spacing w:line="276" w:lineRule="auto"/>
        <w:ind w:right="-716"/>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comunicacion@fotocasa.es</w:t>
        </w:r>
      </w:hyperlink>
    </w:p>
    <w:p w14:paraId="6D3C7134" w14:textId="77777777" w:rsidR="007D724B" w:rsidRDefault="00000000">
      <w:pPr>
        <w:shd w:val="clear" w:color="auto" w:fill="FFFFFF"/>
        <w:spacing w:line="276" w:lineRule="auto"/>
        <w:ind w:right="-71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2CFD851" w14:textId="77777777" w:rsidR="007D724B" w:rsidRDefault="007D724B">
      <w:pPr>
        <w:spacing w:line="276" w:lineRule="auto"/>
        <w:ind w:right="-716"/>
        <w:rPr>
          <w:rFonts w:ascii="Open Sans Light" w:eastAsia="Open Sans Light" w:hAnsi="Open Sans Light" w:cs="Open Sans Light"/>
          <w:b/>
          <w:color w:val="303AB2"/>
          <w:sz w:val="22"/>
          <w:szCs w:val="22"/>
        </w:rPr>
      </w:pPr>
    </w:p>
    <w:p w14:paraId="5DBE6632" w14:textId="77777777" w:rsidR="00B61231" w:rsidRDefault="00B61231">
      <w:pPr>
        <w:spacing w:line="276" w:lineRule="auto"/>
        <w:ind w:right="-716"/>
        <w:rPr>
          <w:rFonts w:ascii="Open Sans Light" w:eastAsia="Open Sans Light" w:hAnsi="Open Sans Light" w:cs="Open Sans Light"/>
          <w:b/>
          <w:color w:val="303AB2"/>
          <w:sz w:val="22"/>
          <w:szCs w:val="22"/>
        </w:rPr>
      </w:pPr>
    </w:p>
    <w:p w14:paraId="408015AB" w14:textId="77777777" w:rsidR="00B61231" w:rsidRDefault="00B61231">
      <w:pPr>
        <w:spacing w:line="276" w:lineRule="auto"/>
        <w:ind w:right="-716"/>
        <w:rPr>
          <w:rFonts w:ascii="Open Sans Light" w:eastAsia="Open Sans Light" w:hAnsi="Open Sans Light" w:cs="Open Sans Light"/>
          <w:b/>
          <w:color w:val="303AB2"/>
          <w:sz w:val="22"/>
          <w:szCs w:val="22"/>
        </w:rPr>
      </w:pPr>
    </w:p>
    <w:p w14:paraId="3AAA8227" w14:textId="77777777" w:rsidR="007D724B" w:rsidRDefault="007D724B">
      <w:pPr>
        <w:spacing w:line="276" w:lineRule="auto"/>
        <w:ind w:right="-716"/>
        <w:rPr>
          <w:rFonts w:ascii="Open Sans Light" w:eastAsia="Open Sans Light" w:hAnsi="Open Sans Light" w:cs="Open Sans Light"/>
          <w:b/>
          <w:color w:val="303AB2"/>
          <w:sz w:val="22"/>
          <w:szCs w:val="22"/>
        </w:rPr>
      </w:pPr>
    </w:p>
    <w:p w14:paraId="3A4FED22" w14:textId="77777777" w:rsidR="007D724B"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2748F876" w14:textId="77777777" w:rsidR="007D724B"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357088CE" w14:textId="77777777" w:rsidR="007D724B" w:rsidRPr="00B61231" w:rsidRDefault="00000000">
      <w:pPr>
        <w:shd w:val="clear" w:color="auto" w:fill="FFFFFF"/>
        <w:spacing w:line="276" w:lineRule="auto"/>
        <w:ind w:right="-716"/>
        <w:rPr>
          <w:rFonts w:ascii="Open Sans" w:eastAsia="Open Sans" w:hAnsi="Open Sans" w:cs="Open Sans"/>
          <w:color w:val="0000FF"/>
          <w:sz w:val="22"/>
          <w:szCs w:val="22"/>
          <w:u w:val="single"/>
          <w:lang w:val="en-US"/>
        </w:rPr>
      </w:pPr>
      <w:hyperlink r:id="rId27">
        <w:r w:rsidRPr="00B61231">
          <w:rPr>
            <w:rFonts w:ascii="Open Sans" w:eastAsia="Open Sans" w:hAnsi="Open Sans" w:cs="Open Sans"/>
            <w:color w:val="0000FF"/>
            <w:sz w:val="22"/>
            <w:szCs w:val="22"/>
            <w:u w:val="single"/>
            <w:lang w:val="en-US"/>
          </w:rPr>
          <w:t>rtorne@llorenteycuenca.com</w:t>
        </w:r>
      </w:hyperlink>
      <w:r w:rsidRPr="00B61231">
        <w:rPr>
          <w:rFonts w:ascii="Open Sans" w:eastAsia="Open Sans" w:hAnsi="Open Sans" w:cs="Open Sans"/>
          <w:color w:val="0000FF"/>
          <w:sz w:val="22"/>
          <w:szCs w:val="22"/>
          <w:lang w:val="en-US"/>
        </w:rPr>
        <w:tab/>
      </w:r>
      <w:r w:rsidRPr="00B61231">
        <w:rPr>
          <w:rFonts w:ascii="Open Sans" w:eastAsia="Open Sans" w:hAnsi="Open Sans" w:cs="Open Sans"/>
          <w:color w:val="0000FF"/>
          <w:sz w:val="22"/>
          <w:szCs w:val="22"/>
          <w:lang w:val="en-US"/>
        </w:rPr>
        <w:tab/>
      </w:r>
      <w:r w:rsidRPr="00B61231">
        <w:rPr>
          <w:rFonts w:ascii="Open Sans" w:eastAsia="Open Sans" w:hAnsi="Open Sans" w:cs="Open Sans"/>
          <w:color w:val="0000FF"/>
          <w:sz w:val="22"/>
          <w:szCs w:val="22"/>
          <w:lang w:val="en-US"/>
        </w:rPr>
        <w:tab/>
      </w:r>
    </w:p>
    <w:p w14:paraId="393D1AAE" w14:textId="77777777" w:rsidR="007D724B" w:rsidRPr="00B61231" w:rsidRDefault="00000000">
      <w:pPr>
        <w:shd w:val="clear" w:color="auto" w:fill="FFFFFF"/>
        <w:spacing w:line="276" w:lineRule="auto"/>
        <w:ind w:right="-716"/>
        <w:rPr>
          <w:rFonts w:ascii="Open Sans" w:eastAsia="Open Sans" w:hAnsi="Open Sans" w:cs="Open Sans"/>
          <w:color w:val="000000"/>
          <w:sz w:val="22"/>
          <w:szCs w:val="22"/>
          <w:lang w:val="en-US"/>
        </w:rPr>
      </w:pPr>
      <w:r w:rsidRPr="00B61231">
        <w:rPr>
          <w:rFonts w:ascii="Open Sans" w:eastAsia="Open Sans" w:hAnsi="Open Sans" w:cs="Open Sans"/>
          <w:color w:val="000000"/>
          <w:sz w:val="22"/>
          <w:szCs w:val="22"/>
          <w:lang w:val="en-US"/>
        </w:rPr>
        <w:t xml:space="preserve">638 68 19 85      </w:t>
      </w:r>
      <w:r w:rsidRPr="00B61231">
        <w:rPr>
          <w:rFonts w:ascii="Open Sans" w:eastAsia="Open Sans" w:hAnsi="Open Sans" w:cs="Open Sans"/>
          <w:color w:val="000000"/>
          <w:sz w:val="22"/>
          <w:szCs w:val="22"/>
          <w:lang w:val="en-US"/>
        </w:rPr>
        <w:tab/>
      </w:r>
      <w:r w:rsidRPr="00B61231">
        <w:rPr>
          <w:rFonts w:ascii="Open Sans" w:eastAsia="Open Sans" w:hAnsi="Open Sans" w:cs="Open Sans"/>
          <w:color w:val="000000"/>
          <w:sz w:val="22"/>
          <w:szCs w:val="22"/>
          <w:lang w:val="en-US"/>
        </w:rPr>
        <w:tab/>
      </w:r>
      <w:r w:rsidRPr="00B61231">
        <w:rPr>
          <w:rFonts w:ascii="Open Sans" w:eastAsia="Open Sans" w:hAnsi="Open Sans" w:cs="Open Sans"/>
          <w:color w:val="000000"/>
          <w:sz w:val="22"/>
          <w:szCs w:val="22"/>
          <w:lang w:val="en-US"/>
        </w:rPr>
        <w:tab/>
      </w:r>
      <w:r w:rsidRPr="00B61231">
        <w:rPr>
          <w:rFonts w:ascii="Open Sans" w:eastAsia="Open Sans" w:hAnsi="Open Sans" w:cs="Open Sans"/>
          <w:color w:val="000000"/>
          <w:sz w:val="22"/>
          <w:szCs w:val="22"/>
          <w:lang w:val="en-US"/>
        </w:rPr>
        <w:tab/>
      </w:r>
      <w:r w:rsidRPr="00B61231">
        <w:rPr>
          <w:rFonts w:ascii="Open Sans" w:eastAsia="Open Sans" w:hAnsi="Open Sans" w:cs="Open Sans"/>
          <w:color w:val="000000"/>
          <w:sz w:val="22"/>
          <w:szCs w:val="22"/>
          <w:lang w:val="en-US"/>
        </w:rPr>
        <w:tab/>
      </w:r>
      <w:r w:rsidRPr="00B61231">
        <w:rPr>
          <w:rFonts w:ascii="Open Sans" w:eastAsia="Open Sans" w:hAnsi="Open Sans" w:cs="Open Sans"/>
          <w:color w:val="000000"/>
          <w:sz w:val="22"/>
          <w:szCs w:val="22"/>
          <w:lang w:val="en-US"/>
        </w:rPr>
        <w:tab/>
      </w:r>
      <w:r w:rsidRPr="00B61231">
        <w:rPr>
          <w:rFonts w:ascii="Open Sans" w:eastAsia="Open Sans" w:hAnsi="Open Sans" w:cs="Open Sans"/>
          <w:color w:val="000000"/>
          <w:sz w:val="22"/>
          <w:szCs w:val="22"/>
          <w:lang w:val="en-US"/>
        </w:rPr>
        <w:tab/>
      </w:r>
      <w:r w:rsidRPr="00B61231">
        <w:rPr>
          <w:rFonts w:ascii="Open Sans" w:eastAsia="Open Sans" w:hAnsi="Open Sans" w:cs="Open Sans"/>
          <w:color w:val="000000"/>
          <w:sz w:val="22"/>
          <w:szCs w:val="22"/>
          <w:lang w:val="en-US"/>
        </w:rPr>
        <w:tab/>
      </w:r>
    </w:p>
    <w:p w14:paraId="783568DD" w14:textId="77777777" w:rsidR="007D724B" w:rsidRPr="00B61231" w:rsidRDefault="00000000">
      <w:pPr>
        <w:shd w:val="clear" w:color="auto" w:fill="FFFFFF"/>
        <w:ind w:right="-716"/>
        <w:rPr>
          <w:rFonts w:ascii="Arial" w:eastAsia="Arial" w:hAnsi="Arial" w:cs="Arial"/>
          <w:color w:val="222222"/>
          <w:sz w:val="22"/>
          <w:szCs w:val="22"/>
          <w:lang w:val="en-US"/>
        </w:rPr>
      </w:pPr>
      <w:r w:rsidRPr="00B61231">
        <w:rPr>
          <w:rFonts w:ascii="Arial" w:eastAsia="Arial" w:hAnsi="Arial" w:cs="Arial"/>
          <w:color w:val="222222"/>
          <w:sz w:val="22"/>
          <w:szCs w:val="22"/>
          <w:lang w:val="en-US"/>
        </w:rPr>
        <w:tab/>
      </w:r>
    </w:p>
    <w:p w14:paraId="3404D674" w14:textId="77777777" w:rsidR="007D724B" w:rsidRPr="00B61231" w:rsidRDefault="00000000">
      <w:pPr>
        <w:shd w:val="clear" w:color="auto" w:fill="FFFFFF"/>
        <w:ind w:right="-716"/>
        <w:rPr>
          <w:rFonts w:ascii="Arial" w:eastAsia="Arial" w:hAnsi="Arial" w:cs="Arial"/>
          <w:color w:val="222222"/>
          <w:sz w:val="22"/>
          <w:szCs w:val="22"/>
          <w:lang w:val="en-US"/>
        </w:rPr>
      </w:pPr>
      <w:r w:rsidRPr="00B61231">
        <w:rPr>
          <w:rFonts w:ascii="Arial" w:eastAsia="Arial" w:hAnsi="Arial" w:cs="Arial"/>
          <w:color w:val="222222"/>
          <w:sz w:val="22"/>
          <w:szCs w:val="22"/>
          <w:lang w:val="en-US"/>
        </w:rPr>
        <w:tab/>
      </w:r>
      <w:r w:rsidRPr="00B61231">
        <w:rPr>
          <w:rFonts w:ascii="Arial" w:eastAsia="Arial" w:hAnsi="Arial" w:cs="Arial"/>
          <w:color w:val="222222"/>
          <w:sz w:val="22"/>
          <w:szCs w:val="22"/>
          <w:lang w:val="en-US"/>
        </w:rPr>
        <w:tab/>
      </w:r>
      <w:r w:rsidRPr="00B61231">
        <w:rPr>
          <w:rFonts w:ascii="Arial" w:eastAsia="Arial" w:hAnsi="Arial" w:cs="Arial"/>
          <w:color w:val="222222"/>
          <w:sz w:val="22"/>
          <w:szCs w:val="22"/>
          <w:lang w:val="en-US"/>
        </w:rPr>
        <w:tab/>
      </w:r>
      <w:r w:rsidRPr="00B61231">
        <w:rPr>
          <w:rFonts w:ascii="Arial" w:eastAsia="Arial" w:hAnsi="Arial" w:cs="Arial"/>
          <w:color w:val="222222"/>
          <w:sz w:val="22"/>
          <w:szCs w:val="22"/>
          <w:lang w:val="en-US"/>
        </w:rPr>
        <w:tab/>
      </w:r>
      <w:r w:rsidRPr="00B61231">
        <w:rPr>
          <w:rFonts w:ascii="Arial" w:eastAsia="Arial" w:hAnsi="Arial" w:cs="Arial"/>
          <w:color w:val="222222"/>
          <w:sz w:val="22"/>
          <w:szCs w:val="22"/>
          <w:lang w:val="en-US"/>
        </w:rPr>
        <w:tab/>
      </w:r>
      <w:r w:rsidRPr="00B61231">
        <w:rPr>
          <w:rFonts w:ascii="Arial" w:eastAsia="Arial" w:hAnsi="Arial" w:cs="Arial"/>
          <w:color w:val="222222"/>
          <w:sz w:val="22"/>
          <w:szCs w:val="22"/>
          <w:lang w:val="en-US"/>
        </w:rPr>
        <w:tab/>
        <w:t xml:space="preserve">     </w:t>
      </w:r>
    </w:p>
    <w:p w14:paraId="38A3F6D5" w14:textId="77777777" w:rsidR="007D724B" w:rsidRPr="00B61231" w:rsidRDefault="00000000">
      <w:pPr>
        <w:shd w:val="clear" w:color="auto" w:fill="FFFFFF"/>
        <w:ind w:right="-716"/>
        <w:rPr>
          <w:rFonts w:ascii="Open Sans" w:eastAsia="Open Sans" w:hAnsi="Open Sans" w:cs="Open Sans"/>
          <w:b/>
          <w:color w:val="000000"/>
          <w:sz w:val="22"/>
          <w:szCs w:val="22"/>
          <w:lang w:val="en-US"/>
        </w:rPr>
      </w:pPr>
      <w:r w:rsidRPr="00B61231">
        <w:rPr>
          <w:rFonts w:ascii="Open Sans" w:eastAsia="Open Sans" w:hAnsi="Open Sans" w:cs="Open Sans"/>
          <w:b/>
          <w:color w:val="000000"/>
          <w:sz w:val="22"/>
          <w:szCs w:val="22"/>
          <w:lang w:val="en-US"/>
        </w:rPr>
        <w:t>Fanny Merino</w:t>
      </w:r>
    </w:p>
    <w:p w14:paraId="0541294B" w14:textId="77777777" w:rsidR="007D724B" w:rsidRPr="00B61231" w:rsidRDefault="00000000">
      <w:pPr>
        <w:shd w:val="clear" w:color="auto" w:fill="FFFFFF"/>
        <w:ind w:right="-716"/>
        <w:rPr>
          <w:rFonts w:ascii="Open Sans" w:eastAsia="Open Sans" w:hAnsi="Open Sans" w:cs="Open Sans"/>
          <w:b/>
          <w:color w:val="000000"/>
          <w:sz w:val="22"/>
          <w:szCs w:val="22"/>
          <w:lang w:val="en-US"/>
        </w:rPr>
      </w:pPr>
      <w:hyperlink r:id="rId28">
        <w:r w:rsidRPr="00B61231">
          <w:rPr>
            <w:rFonts w:ascii="Open Sans" w:eastAsia="Open Sans" w:hAnsi="Open Sans" w:cs="Open Sans"/>
            <w:color w:val="0000FF"/>
            <w:sz w:val="22"/>
            <w:szCs w:val="22"/>
            <w:u w:val="single"/>
            <w:lang w:val="en-US"/>
          </w:rPr>
          <w:t>emerino@llorenteycuenca.com</w:t>
        </w:r>
      </w:hyperlink>
      <w:r w:rsidRPr="00B61231">
        <w:rPr>
          <w:rFonts w:ascii="Open Sans" w:eastAsia="Open Sans" w:hAnsi="Open Sans" w:cs="Open Sans"/>
          <w:color w:val="0000FF"/>
          <w:sz w:val="22"/>
          <w:szCs w:val="22"/>
          <w:lang w:val="en-US"/>
        </w:rPr>
        <w:tab/>
      </w:r>
      <w:r w:rsidRPr="00B61231">
        <w:rPr>
          <w:rFonts w:ascii="Open Sans" w:eastAsia="Open Sans" w:hAnsi="Open Sans" w:cs="Open Sans"/>
          <w:color w:val="0000FF"/>
          <w:sz w:val="22"/>
          <w:szCs w:val="22"/>
          <w:lang w:val="en-US"/>
        </w:rPr>
        <w:tab/>
      </w:r>
    </w:p>
    <w:p w14:paraId="2FD9C28B" w14:textId="77777777" w:rsidR="007D724B" w:rsidRDefault="00000000">
      <w:pPr>
        <w:shd w:val="clear" w:color="auto" w:fill="FFFFFF"/>
        <w:ind w:right="-716"/>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50090CFC" w14:textId="77777777" w:rsidR="007D724B" w:rsidRDefault="007D724B">
      <w:pPr>
        <w:shd w:val="clear" w:color="auto" w:fill="FFFFFF"/>
        <w:ind w:right="-716"/>
        <w:rPr>
          <w:rFonts w:ascii="Open Sans" w:eastAsia="Open Sans" w:hAnsi="Open Sans" w:cs="Open Sans"/>
          <w:color w:val="000000"/>
          <w:sz w:val="22"/>
          <w:szCs w:val="22"/>
        </w:rPr>
      </w:pPr>
    </w:p>
    <w:p w14:paraId="06440C1F" w14:textId="77777777" w:rsidR="007D724B" w:rsidRDefault="007D724B">
      <w:pPr>
        <w:shd w:val="clear" w:color="auto" w:fill="FFFFFF"/>
        <w:ind w:right="-716"/>
        <w:rPr>
          <w:rFonts w:ascii="Open Sans" w:eastAsia="Open Sans" w:hAnsi="Open Sans" w:cs="Open Sans"/>
          <w:color w:val="000000"/>
          <w:sz w:val="22"/>
          <w:szCs w:val="22"/>
        </w:rPr>
      </w:pPr>
    </w:p>
    <w:p w14:paraId="7B91BC4D" w14:textId="77777777" w:rsidR="007D724B" w:rsidRDefault="007D724B">
      <w:pPr>
        <w:spacing w:line="276" w:lineRule="auto"/>
        <w:ind w:right="-574"/>
        <w:jc w:val="right"/>
        <w:rPr>
          <w:rFonts w:ascii="Open Sans" w:eastAsia="Open Sans" w:hAnsi="Open Sans" w:cs="Open Sans"/>
          <w:color w:val="000000"/>
          <w:sz w:val="21"/>
          <w:szCs w:val="21"/>
        </w:rPr>
      </w:pPr>
    </w:p>
    <w:sectPr w:rsidR="007D724B">
      <w:headerReference w:type="default" r:id="rId29"/>
      <w:footerReference w:type="default" r:id="rId30"/>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AF6EF" w14:textId="77777777" w:rsidR="00BA3951" w:rsidRDefault="00BA3951">
      <w:r>
        <w:separator/>
      </w:r>
    </w:p>
  </w:endnote>
  <w:endnote w:type="continuationSeparator" w:id="0">
    <w:p w14:paraId="178C74BA" w14:textId="77777777" w:rsidR="00BA3951" w:rsidRDefault="00BA3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93DAE" w14:textId="77777777" w:rsidR="007D724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14:anchorId="178F3714" wp14:editId="6C40B801">
          <wp:simplePos x="0" y="0"/>
          <wp:positionH relativeFrom="column">
            <wp:posOffset>-1068054</wp:posOffset>
          </wp:positionH>
          <wp:positionV relativeFrom="paragraph">
            <wp:posOffset>174608</wp:posOffset>
          </wp:positionV>
          <wp:extent cx="7670550" cy="451315"/>
          <wp:effectExtent l="0" t="0" r="0" b="0"/>
          <wp:wrapNone/>
          <wp:docPr id="20253289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DD1BD" w14:textId="77777777" w:rsidR="00BA3951" w:rsidRDefault="00BA3951">
      <w:r>
        <w:separator/>
      </w:r>
    </w:p>
  </w:footnote>
  <w:footnote w:type="continuationSeparator" w:id="0">
    <w:p w14:paraId="06C71510" w14:textId="77777777" w:rsidR="00BA3951" w:rsidRDefault="00BA3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C8DBF" w14:textId="77777777" w:rsidR="007D724B"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65DCD0F7" wp14:editId="63498C10">
          <wp:simplePos x="0" y="0"/>
          <wp:positionH relativeFrom="column">
            <wp:posOffset>-1121118</wp:posOffset>
          </wp:positionH>
          <wp:positionV relativeFrom="paragraph">
            <wp:posOffset>225177</wp:posOffset>
          </wp:positionV>
          <wp:extent cx="7581265" cy="1019175"/>
          <wp:effectExtent l="0" t="0" r="0" b="0"/>
          <wp:wrapNone/>
          <wp:docPr id="20253289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06D697EE" w14:textId="77777777" w:rsidR="007D724B" w:rsidRDefault="007D724B">
    <w:pPr>
      <w:pBdr>
        <w:top w:val="nil"/>
        <w:left w:val="nil"/>
        <w:bottom w:val="nil"/>
        <w:right w:val="nil"/>
        <w:between w:val="nil"/>
      </w:pBdr>
      <w:tabs>
        <w:tab w:val="center" w:pos="4252"/>
        <w:tab w:val="right" w:pos="8504"/>
      </w:tabs>
      <w:rPr>
        <w:color w:val="000000"/>
      </w:rPr>
    </w:pPr>
  </w:p>
  <w:p w14:paraId="718F3A22" w14:textId="77777777" w:rsidR="007D724B" w:rsidRDefault="007D724B">
    <w:pPr>
      <w:pBdr>
        <w:top w:val="nil"/>
        <w:left w:val="nil"/>
        <w:bottom w:val="nil"/>
        <w:right w:val="nil"/>
        <w:between w:val="nil"/>
      </w:pBdr>
      <w:tabs>
        <w:tab w:val="center" w:pos="4252"/>
        <w:tab w:val="right" w:pos="8504"/>
      </w:tabs>
      <w:rPr>
        <w:color w:val="000000"/>
      </w:rPr>
    </w:pPr>
  </w:p>
  <w:p w14:paraId="1EB61ECB" w14:textId="77777777" w:rsidR="007D724B" w:rsidRDefault="007D724B">
    <w:pPr>
      <w:pBdr>
        <w:top w:val="nil"/>
        <w:left w:val="nil"/>
        <w:bottom w:val="nil"/>
        <w:right w:val="nil"/>
        <w:between w:val="nil"/>
      </w:pBdr>
      <w:tabs>
        <w:tab w:val="center" w:pos="4252"/>
        <w:tab w:val="right" w:pos="8504"/>
      </w:tabs>
      <w:rPr>
        <w:color w:val="000000"/>
      </w:rPr>
    </w:pPr>
  </w:p>
  <w:p w14:paraId="4BC80FB6" w14:textId="77777777" w:rsidR="007D724B" w:rsidRDefault="007D724B">
    <w:pPr>
      <w:pBdr>
        <w:top w:val="nil"/>
        <w:left w:val="nil"/>
        <w:bottom w:val="nil"/>
        <w:right w:val="nil"/>
        <w:between w:val="nil"/>
      </w:pBdr>
      <w:tabs>
        <w:tab w:val="center" w:pos="4252"/>
        <w:tab w:val="right" w:pos="8504"/>
      </w:tabs>
      <w:rPr>
        <w:color w:val="000000"/>
      </w:rPr>
    </w:pPr>
  </w:p>
  <w:p w14:paraId="550F9B46" w14:textId="77777777" w:rsidR="007D724B" w:rsidRDefault="007D724B">
    <w:pPr>
      <w:pBdr>
        <w:top w:val="nil"/>
        <w:left w:val="nil"/>
        <w:bottom w:val="nil"/>
        <w:right w:val="nil"/>
        <w:between w:val="nil"/>
      </w:pBdr>
      <w:tabs>
        <w:tab w:val="center" w:pos="4252"/>
        <w:tab w:val="right" w:pos="8504"/>
      </w:tabs>
      <w:rPr>
        <w:color w:val="000000"/>
      </w:rPr>
    </w:pPr>
  </w:p>
  <w:p w14:paraId="52C4A452" w14:textId="77777777" w:rsidR="007D724B" w:rsidRDefault="007D724B">
    <w:pPr>
      <w:pBdr>
        <w:top w:val="nil"/>
        <w:left w:val="nil"/>
        <w:bottom w:val="nil"/>
        <w:right w:val="nil"/>
        <w:between w:val="nil"/>
      </w:pBdr>
      <w:tabs>
        <w:tab w:val="center" w:pos="4252"/>
        <w:tab w:val="right" w:pos="8504"/>
      </w:tabs>
      <w:rPr>
        <w:color w:val="000000"/>
      </w:rPr>
    </w:pPr>
  </w:p>
  <w:p w14:paraId="5CE0BA19" w14:textId="77777777" w:rsidR="007D724B" w:rsidRDefault="007D724B">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C56B04"/>
    <w:multiLevelType w:val="multilevel"/>
    <w:tmpl w:val="8954D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ED305FD"/>
    <w:multiLevelType w:val="multilevel"/>
    <w:tmpl w:val="E564E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2199468">
    <w:abstractNumId w:val="1"/>
  </w:num>
  <w:num w:numId="2" w16cid:durableId="693383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24B"/>
    <w:rsid w:val="007D724B"/>
    <w:rsid w:val="00B61231"/>
    <w:rsid w:val="00BA3951"/>
    <w:rsid w:val="00D6526E"/>
    <w:rsid w:val="00D751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2E826"/>
  <w15:docId w15:val="{A7DFDF7D-DFB3-4E38-96E3-AA6278D2D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97C"/>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semiHidden/>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erenciaintensa">
    <w:name w:val="Intense Reference"/>
    <w:basedOn w:val="Fuentedeprrafopredeter"/>
    <w:uiPriority w:val="32"/>
    <w:qFormat/>
    <w:rsid w:val="00DD156A"/>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Nz5neALMFtc" TargetMode="External"/><Relationship Id="rId13" Type="http://schemas.openxmlformats.org/officeDocument/2006/relationships/image" Target="media/image3.png"/><Relationship Id="rId18" Type="http://schemas.openxmlformats.org/officeDocument/2006/relationships/hyperlink" Target="https://www.fotocasa.es/es/quienes-somo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adevinta.com/" TargetMode="External"/><Relationship Id="rId25" Type="http://schemas.openxmlformats.org/officeDocument/2006/relationships/hyperlink" Target="http://adevinta.es" TargetMode="Externa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habitaclia.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milanuncios.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s://motos.coches.net/" TargetMode="External"/><Relationship Id="rId28" Type="http://schemas.openxmlformats.org/officeDocument/2006/relationships/hyperlink" Target="mailto:emerino@llorenteycuenca.com" TargetMode="External"/><Relationship Id="rId10" Type="http://schemas.openxmlformats.org/officeDocument/2006/relationships/hyperlink" Target="https://www.fotocasa.es/es/" TargetMode="External"/><Relationship Id="rId19" Type="http://schemas.openxmlformats.org/officeDocument/2006/relationships/hyperlink" Target="https://www.fotocasa.es/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image" Target="media/image4.png"/><Relationship Id="rId22" Type="http://schemas.openxmlformats.org/officeDocument/2006/relationships/hyperlink" Target="https://www.coches.net/" TargetMode="External"/><Relationship Id="rId27" Type="http://schemas.openxmlformats.org/officeDocument/2006/relationships/hyperlink" Target="mailto:rtorne@llorenteycuenca.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R++FtZory3MyiFLyU1f+gIc/ltQ==">AMUW2mWJQs5NsymUDAhoT0AB2trVIq0P6tdfnggIhbsr+xygHPxsNf873IfJhpEBBLWgcp1jhyh+cbDWY1srqZTp+zVkZml3SIXDF3rsDpATdzNGiKryfl3CA9l1ZVmKnZQYH3POmPEy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1321</Words>
  <Characters>7267</Characters>
  <Application>Microsoft Office Word</Application>
  <DocSecurity>0</DocSecurity>
  <Lines>60</Lines>
  <Paragraphs>17</Paragraphs>
  <ScaleCrop>false</ScaleCrop>
  <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3</cp:revision>
  <dcterms:created xsi:type="dcterms:W3CDTF">2022-04-21T07:41:00Z</dcterms:created>
  <dcterms:modified xsi:type="dcterms:W3CDTF">2023-11-14T10:01:00Z</dcterms:modified>
</cp:coreProperties>
</file>