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4F81" w14:textId="77777777" w:rsidR="00DD09A9" w:rsidRDefault="00000000">
      <w:r>
        <w:rPr>
          <w:noProof/>
        </w:rPr>
        <w:drawing>
          <wp:anchor distT="0" distB="0" distL="114300" distR="114300" simplePos="0" relativeHeight="251658240" behindDoc="0" locked="0" layoutInCell="1" hidden="0" allowOverlap="1" wp14:anchorId="0ECB31F4" wp14:editId="24480B46">
            <wp:simplePos x="0" y="0"/>
            <wp:positionH relativeFrom="column">
              <wp:posOffset>-1078858</wp:posOffset>
            </wp:positionH>
            <wp:positionV relativeFrom="paragraph">
              <wp:posOffset>-350446</wp:posOffset>
            </wp:positionV>
            <wp:extent cx="7581265" cy="101917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584BC288" w14:textId="77777777" w:rsidR="00DD09A9" w:rsidRDefault="00DD09A9">
      <w:pPr>
        <w:jc w:val="right"/>
        <w:rPr>
          <w:rFonts w:ascii="National" w:eastAsia="National" w:hAnsi="National" w:cs="National"/>
          <w:color w:val="303AB2"/>
          <w:sz w:val="36"/>
          <w:szCs w:val="36"/>
        </w:rPr>
      </w:pPr>
    </w:p>
    <w:p w14:paraId="6D72BDDC" w14:textId="77777777" w:rsidR="00DD09A9" w:rsidRDefault="00DD09A9">
      <w:pPr>
        <w:jc w:val="right"/>
        <w:rPr>
          <w:rFonts w:ascii="National" w:eastAsia="National" w:hAnsi="National" w:cs="National"/>
          <w:color w:val="303AB2"/>
          <w:sz w:val="36"/>
          <w:szCs w:val="36"/>
        </w:rPr>
      </w:pPr>
    </w:p>
    <w:p w14:paraId="65EA94AF" w14:textId="77777777" w:rsidR="00DD09A9" w:rsidRDefault="00DD09A9">
      <w:pPr>
        <w:rPr>
          <w:rFonts w:ascii="National" w:eastAsia="National" w:hAnsi="National" w:cs="National"/>
          <w:color w:val="303AB2"/>
          <w:sz w:val="18"/>
          <w:szCs w:val="18"/>
        </w:rPr>
      </w:pPr>
    </w:p>
    <w:p w14:paraId="7356EFD6" w14:textId="77777777" w:rsidR="00DD09A9" w:rsidRDefault="00000000">
      <w:pPr>
        <w:spacing w:line="276" w:lineRule="auto"/>
        <w:jc w:val="center"/>
        <w:rPr>
          <w:rFonts w:ascii="National" w:eastAsia="National" w:hAnsi="National" w:cs="National"/>
          <w:b/>
          <w:color w:val="1DBDC5"/>
          <w:sz w:val="34"/>
          <w:szCs w:val="34"/>
        </w:rPr>
      </w:pPr>
      <w:r>
        <w:rPr>
          <w:rFonts w:ascii="National" w:eastAsia="National" w:hAnsi="National" w:cs="National"/>
          <w:b/>
          <w:color w:val="1DBDC5"/>
          <w:sz w:val="34"/>
          <w:szCs w:val="34"/>
        </w:rPr>
        <w:t>MERCADO HIPOTECARIO EN EL SEGUNDO SEMESTRE DE 2023</w:t>
      </w:r>
    </w:p>
    <w:p w14:paraId="257F253D" w14:textId="77777777" w:rsidR="000547D4" w:rsidRDefault="000547D4" w:rsidP="000547D4">
      <w:pPr>
        <w:spacing w:line="276" w:lineRule="auto"/>
        <w:ind w:right="4"/>
        <w:jc w:val="center"/>
        <w:rPr>
          <w:rFonts w:ascii="National" w:eastAsia="National" w:hAnsi="National" w:cs="National"/>
          <w:b/>
          <w:color w:val="303AB2"/>
          <w:sz w:val="50"/>
          <w:szCs w:val="50"/>
        </w:rPr>
      </w:pPr>
      <w:r>
        <w:rPr>
          <w:rFonts w:ascii="National" w:eastAsia="National" w:hAnsi="National" w:cs="National"/>
          <w:b/>
          <w:color w:val="303AB2"/>
          <w:sz w:val="50"/>
          <w:szCs w:val="50"/>
        </w:rPr>
        <w:t>El 25% de los españoles con hipoteca mixta o variable destina más del 35% de su salario al pago de la hipoteca</w:t>
      </w:r>
    </w:p>
    <w:p w14:paraId="39CDC975" w14:textId="77777777" w:rsidR="00DD09A9" w:rsidRDefault="00DD09A9">
      <w:pPr>
        <w:spacing w:line="276" w:lineRule="auto"/>
        <w:ind w:left="720" w:right="4"/>
        <w:jc w:val="both"/>
        <w:rPr>
          <w:rFonts w:ascii="Open Sans" w:eastAsia="Open Sans" w:hAnsi="Open Sans" w:cs="Open Sans"/>
        </w:rPr>
      </w:pPr>
    </w:p>
    <w:p w14:paraId="26B662C6" w14:textId="77777777" w:rsidR="00DD09A9"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En un año se ha incrementado en 12 puntos porcentuales los españoles que dedican más del 35% al pago de su hipoteca</w:t>
      </w:r>
    </w:p>
    <w:p w14:paraId="3DF81488" w14:textId="77777777" w:rsidR="00DD09A9"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Un 27% de hipotecados asegura que la subida de tipos ha afectado mucho a su economía personal</w:t>
      </w:r>
    </w:p>
    <w:p w14:paraId="71386DA2" w14:textId="77777777" w:rsidR="00DD09A9"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Los que dedican menos del 15% al pago de la hipoteca se han reducido del 31% al 20% en un año</w:t>
      </w:r>
    </w:p>
    <w:p w14:paraId="1CD2E3F4" w14:textId="77777777" w:rsidR="00DD09A9"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El perfil de los impactados: hombre o mujer de casi 47 años</w:t>
      </w:r>
    </w:p>
    <w:p w14:paraId="617FC41B" w14:textId="77777777" w:rsidR="00DD09A9" w:rsidRDefault="00DD09A9">
      <w:pPr>
        <w:spacing w:line="276" w:lineRule="auto"/>
        <w:ind w:right="4"/>
        <w:jc w:val="both"/>
        <w:rPr>
          <w:rFonts w:ascii="Open Sans" w:eastAsia="Open Sans" w:hAnsi="Open Sans" w:cs="Open Sans"/>
          <w:color w:val="303AB2"/>
        </w:rPr>
      </w:pPr>
    </w:p>
    <w:p w14:paraId="7D93300C" w14:textId="77777777" w:rsidR="00DD09A9" w:rsidRDefault="00000000">
      <w:pPr>
        <w:spacing w:line="276" w:lineRule="auto"/>
        <w:ind w:right="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30 de noviembre de 2023</w:t>
      </w:r>
    </w:p>
    <w:p w14:paraId="12A74050" w14:textId="77777777" w:rsidR="00DD09A9" w:rsidRDefault="00DD09A9">
      <w:pPr>
        <w:spacing w:line="276" w:lineRule="auto"/>
        <w:ind w:right="4"/>
        <w:jc w:val="both"/>
        <w:rPr>
          <w:rFonts w:ascii="Open Sans" w:eastAsia="Open Sans" w:hAnsi="Open Sans" w:cs="Open Sans"/>
        </w:rPr>
      </w:pPr>
    </w:p>
    <w:p w14:paraId="355AEB98" w14:textId="77777777" w:rsidR="00DD09A9" w:rsidRDefault="00000000">
      <w:pPr>
        <w:spacing w:line="276" w:lineRule="auto"/>
        <w:ind w:right="4"/>
        <w:jc w:val="both"/>
        <w:rPr>
          <w:rFonts w:ascii="Open Sans" w:eastAsia="Open Sans" w:hAnsi="Open Sans" w:cs="Open Sans"/>
        </w:rPr>
      </w:pPr>
      <w:r>
        <w:rPr>
          <w:rFonts w:ascii="Open Sans" w:eastAsia="Open Sans" w:hAnsi="Open Sans" w:cs="Open Sans"/>
        </w:rPr>
        <w:t xml:space="preserve">La rápida subida de los tipos de interés a la que hemos asistido en el último año se ha traducido en un incremento de las cuotas para casi nueve de cada diez hipotecados con hipotecas mixtas o variables. Estos hipotecados aseguran, un </w:t>
      </w:r>
      <w:r>
        <w:rPr>
          <w:rFonts w:ascii="Open Sans" w:eastAsia="Open Sans" w:hAnsi="Open Sans" w:cs="Open Sans"/>
          <w:b/>
        </w:rPr>
        <w:t>59% de ellos, que la situación ha afectado mucho o bastante a su economía personal</w:t>
      </w:r>
      <w:r>
        <w:rPr>
          <w:rFonts w:ascii="Open Sans" w:eastAsia="Open Sans" w:hAnsi="Open Sans" w:cs="Open Sans"/>
        </w:rPr>
        <w:t xml:space="preserve">. De manera desglosada, los que afirman que el impacto es ‘mucho’ ascienden al 27%, mientras que los que aseguran que es ‘bastante’ son el 32%. Otro 30 % dice que el efecto ha sido ‘poco’, y existe un 11% restante que asegura que no les ha afectado nada. Así se desprende del último análisis realizado por Fotocasa </w:t>
      </w:r>
      <w:proofErr w:type="spellStart"/>
      <w:r>
        <w:rPr>
          <w:rFonts w:ascii="Open Sans" w:eastAsia="Open Sans" w:hAnsi="Open Sans" w:cs="Open Sans"/>
        </w:rPr>
        <w:t>Research</w:t>
      </w:r>
      <w:proofErr w:type="spellEnd"/>
      <w:r>
        <w:rPr>
          <w:rFonts w:ascii="Open Sans" w:eastAsia="Open Sans" w:hAnsi="Open Sans" w:cs="Open Sans"/>
        </w:rPr>
        <w:t xml:space="preserve"> a más de 5.000 personas los pasados mes de agosto y septiembre de 2023.</w:t>
      </w:r>
    </w:p>
    <w:p w14:paraId="7C0CF856" w14:textId="77777777" w:rsidR="00DD09A9" w:rsidRDefault="00DD09A9">
      <w:pPr>
        <w:spacing w:line="276" w:lineRule="auto"/>
        <w:ind w:right="4"/>
        <w:jc w:val="both"/>
        <w:rPr>
          <w:rFonts w:ascii="Open Sans" w:eastAsia="Open Sans" w:hAnsi="Open Sans" w:cs="Open Sans"/>
        </w:rPr>
      </w:pPr>
    </w:p>
    <w:p w14:paraId="189FFE72" w14:textId="77777777" w:rsidR="00DD09A9" w:rsidRDefault="00000000">
      <w:pPr>
        <w:spacing w:line="276" w:lineRule="auto"/>
        <w:ind w:right="4"/>
        <w:jc w:val="both"/>
        <w:rPr>
          <w:rFonts w:ascii="Open Sans" w:eastAsia="Open Sans" w:hAnsi="Open Sans" w:cs="Open Sans"/>
          <w:b/>
        </w:rPr>
      </w:pPr>
      <w:r>
        <w:rPr>
          <w:rFonts w:ascii="Open Sans" w:eastAsia="Open Sans" w:hAnsi="Open Sans" w:cs="Open Sans"/>
        </w:rPr>
        <w:t xml:space="preserve">Uno de los cambios más significativos que está dejando la subida de tipos en la economía de los españoles es el porcentaje del salario que se destina al pago de la hipoteca fija o variable, que está cambiando respecto a hace un año. Y es que </w:t>
      </w:r>
      <w:r>
        <w:rPr>
          <w:rFonts w:ascii="Open Sans" w:eastAsia="Open Sans" w:hAnsi="Open Sans" w:cs="Open Sans"/>
          <w:b/>
        </w:rPr>
        <w:t xml:space="preserve">los que dedicaban menos de un 15% de sus ingresos al pago de la hipoteca </w:t>
      </w:r>
      <w:r>
        <w:rPr>
          <w:rFonts w:ascii="Open Sans" w:eastAsia="Open Sans" w:hAnsi="Open Sans" w:cs="Open Sans"/>
          <w:b/>
        </w:rPr>
        <w:lastRenderedPageBreak/>
        <w:t>en 2022 han visto reducido su peso, pasando a ser en agosto de 2023 únicamente el 20%, once puntos porcentuales menos que un año antes (31%).</w:t>
      </w:r>
    </w:p>
    <w:p w14:paraId="4CF110FD" w14:textId="77777777" w:rsidR="00DD09A9" w:rsidRDefault="00DD09A9">
      <w:pPr>
        <w:spacing w:line="276" w:lineRule="auto"/>
        <w:ind w:right="4"/>
        <w:jc w:val="both"/>
        <w:rPr>
          <w:rFonts w:ascii="Open Sans" w:eastAsia="Open Sans" w:hAnsi="Open Sans" w:cs="Open Sans"/>
          <w:b/>
        </w:rPr>
      </w:pPr>
    </w:p>
    <w:p w14:paraId="57258EE1" w14:textId="77777777" w:rsidR="00DD09A9" w:rsidRDefault="00000000">
      <w:pPr>
        <w:spacing w:line="276" w:lineRule="auto"/>
        <w:ind w:right="4"/>
        <w:jc w:val="both"/>
        <w:rPr>
          <w:rFonts w:ascii="Open Sans" w:eastAsia="Open Sans" w:hAnsi="Open Sans" w:cs="Open Sans"/>
        </w:rPr>
      </w:pPr>
      <w:r>
        <w:rPr>
          <w:rFonts w:ascii="Open Sans" w:eastAsia="Open Sans" w:hAnsi="Open Sans" w:cs="Open Sans"/>
        </w:rPr>
        <w:t xml:space="preserve">“Este cambio supone un gran desembolso a mayores de lo planificado por los hogares e implica un lastre para el bolsillo de las familias y evidencia un obstáculo en el consumo de los ciudadanos, ocasionando la pérdida de poder adquisitivo y aumentando el riesgo de impago de las familias. Para estas, son para quienes se establecen las medidas de alivio de la carga hipotecaria que el Gobierno ha firmado con las patronales bancarias con el fin de evitar aumentos en la tasa de morosidad de las entidades financieras”, comenta María Matos, directora de Estudios y portavoz de </w:t>
      </w:r>
      <w:hyperlink r:id="rId9">
        <w:r>
          <w:rPr>
            <w:rFonts w:ascii="Open Sans" w:eastAsia="Open Sans" w:hAnsi="Open Sans" w:cs="Open Sans"/>
            <w:color w:val="1155CC"/>
            <w:u w:val="single"/>
          </w:rPr>
          <w:t>Fotocasa</w:t>
        </w:r>
      </w:hyperlink>
      <w:r>
        <w:rPr>
          <w:rFonts w:ascii="Open Sans" w:eastAsia="Open Sans" w:hAnsi="Open Sans" w:cs="Open Sans"/>
        </w:rPr>
        <w:t>.</w:t>
      </w:r>
    </w:p>
    <w:p w14:paraId="56E726D4" w14:textId="77777777" w:rsidR="00DD09A9" w:rsidRDefault="00DD09A9">
      <w:pPr>
        <w:spacing w:line="276" w:lineRule="auto"/>
        <w:ind w:right="4"/>
        <w:jc w:val="both"/>
        <w:rPr>
          <w:rFonts w:ascii="Open Sans" w:eastAsia="Open Sans" w:hAnsi="Open Sans" w:cs="Open Sans"/>
          <w:b/>
        </w:rPr>
      </w:pPr>
    </w:p>
    <w:p w14:paraId="7CC96BBA" w14:textId="77777777" w:rsidR="00DD09A9" w:rsidRDefault="00000000">
      <w:pPr>
        <w:spacing w:line="276" w:lineRule="auto"/>
        <w:ind w:right="4"/>
        <w:jc w:val="both"/>
        <w:rPr>
          <w:rFonts w:ascii="Open Sans" w:eastAsia="Open Sans" w:hAnsi="Open Sans" w:cs="Open Sans"/>
        </w:rPr>
      </w:pPr>
      <w:r>
        <w:rPr>
          <w:rFonts w:ascii="Open Sans" w:eastAsia="Open Sans" w:hAnsi="Open Sans" w:cs="Open Sans"/>
        </w:rPr>
        <w:t>Otro tanto sucede con el grupo siguiente, el de los que dedican entre el 15% y el 25% de sus ingresos a pagar la hipoteca, los cuales se reducen hasta el 24% de quienes tienen una hipoteca mixta o variable, seis puntos menos que doce meses antes (30%).</w:t>
      </w:r>
    </w:p>
    <w:p w14:paraId="5636C12B" w14:textId="77777777" w:rsidR="00DD09A9" w:rsidRDefault="00DD09A9">
      <w:pPr>
        <w:spacing w:line="276" w:lineRule="auto"/>
        <w:ind w:right="4"/>
        <w:jc w:val="both"/>
        <w:rPr>
          <w:rFonts w:ascii="Open Sans" w:eastAsia="Open Sans" w:hAnsi="Open Sans" w:cs="Open Sans"/>
        </w:rPr>
      </w:pPr>
    </w:p>
    <w:p w14:paraId="0D9D7F8B" w14:textId="77777777" w:rsidR="00DD09A9" w:rsidRDefault="00000000">
      <w:pPr>
        <w:spacing w:line="276" w:lineRule="auto"/>
        <w:ind w:right="4"/>
        <w:jc w:val="both"/>
        <w:rPr>
          <w:rFonts w:ascii="Open Sans" w:eastAsia="Open Sans" w:hAnsi="Open Sans" w:cs="Open Sans"/>
        </w:rPr>
      </w:pPr>
      <w:r>
        <w:rPr>
          <w:rFonts w:ascii="Open Sans" w:eastAsia="Open Sans" w:hAnsi="Open Sans" w:cs="Open Sans"/>
        </w:rPr>
        <w:t xml:space="preserve">Los drásticos descensos porcentuales en los dos primeros grupos se traducen, por pura lógica, en un gran aumento dentro del segmento de los que dedican más del 25% de sus ingresos al pago de la cuota mensual de su hipoteca, que pasan del 28% de doce meses antes al 44% de agosto de 2023. </w:t>
      </w:r>
    </w:p>
    <w:p w14:paraId="6E32A0B4" w14:textId="77777777" w:rsidR="00DD09A9" w:rsidRDefault="00000000">
      <w:pPr>
        <w:spacing w:line="276" w:lineRule="auto"/>
        <w:ind w:right="4"/>
        <w:jc w:val="both"/>
        <w:rPr>
          <w:rFonts w:ascii="Open Sans" w:eastAsia="Open Sans" w:hAnsi="Open Sans" w:cs="Open Sans"/>
        </w:rPr>
      </w:pPr>
      <w:r>
        <w:rPr>
          <w:noProof/>
        </w:rPr>
        <w:drawing>
          <wp:inline distT="0" distB="0" distL="0" distR="0" wp14:anchorId="7AE547A8" wp14:editId="48FADFF5">
            <wp:extent cx="5760720" cy="3458434"/>
            <wp:effectExtent l="0" t="0" r="0" b="0"/>
            <wp:docPr id="2" name="image1.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Gráfico, Gráfico de barras&#10;&#10;Descripción generada automáticamente"/>
                    <pic:cNvPicPr preferRelativeResize="0"/>
                  </pic:nvPicPr>
                  <pic:blipFill>
                    <a:blip r:embed="rId10"/>
                    <a:srcRect/>
                    <a:stretch>
                      <a:fillRect/>
                    </a:stretch>
                  </pic:blipFill>
                  <pic:spPr>
                    <a:xfrm>
                      <a:off x="0" y="0"/>
                      <a:ext cx="5760720" cy="3458434"/>
                    </a:xfrm>
                    <a:prstGeom prst="rect">
                      <a:avLst/>
                    </a:prstGeom>
                    <a:ln/>
                  </pic:spPr>
                </pic:pic>
              </a:graphicData>
            </a:graphic>
          </wp:inline>
        </w:drawing>
      </w:r>
    </w:p>
    <w:p w14:paraId="274C15D9" w14:textId="77777777" w:rsidR="00DD09A9" w:rsidRDefault="00000000">
      <w:pPr>
        <w:spacing w:line="276" w:lineRule="auto"/>
        <w:ind w:right="4"/>
        <w:jc w:val="both"/>
        <w:rPr>
          <w:rFonts w:ascii="Open Sans" w:eastAsia="Open Sans" w:hAnsi="Open Sans" w:cs="Open Sans"/>
        </w:rPr>
      </w:pPr>
      <w:r>
        <w:rPr>
          <w:rFonts w:ascii="Open Sans" w:eastAsia="Open Sans" w:hAnsi="Open Sans" w:cs="Open Sans"/>
        </w:rPr>
        <w:lastRenderedPageBreak/>
        <w:t xml:space="preserve">Dentro de este tercer colectivo, el grupo más representativo es el formado por los </w:t>
      </w:r>
      <w:r>
        <w:rPr>
          <w:rFonts w:ascii="Open Sans" w:eastAsia="Open Sans" w:hAnsi="Open Sans" w:cs="Open Sans"/>
          <w:b/>
        </w:rPr>
        <w:t>que destinan entre el 25% y el 35% de sus ingresos al abono de su contrato hipotecario, los cuales suman el 20%.</w:t>
      </w:r>
      <w:r>
        <w:rPr>
          <w:rFonts w:ascii="Open Sans" w:eastAsia="Open Sans" w:hAnsi="Open Sans" w:cs="Open Sans"/>
        </w:rPr>
        <w:t xml:space="preserve"> </w:t>
      </w:r>
      <w:r>
        <w:rPr>
          <w:rFonts w:ascii="Open Sans" w:eastAsia="Open Sans" w:hAnsi="Open Sans" w:cs="Open Sans"/>
          <w:b/>
        </w:rPr>
        <w:t>También experimentan un incremento muy fuerte los que abonan más del 35% de sus ingresos</w:t>
      </w:r>
      <w:r>
        <w:rPr>
          <w:rFonts w:ascii="Open Sans" w:eastAsia="Open Sans" w:hAnsi="Open Sans" w:cs="Open Sans"/>
        </w:rPr>
        <w:t xml:space="preserve"> por este concepto: del 13% de agosto de 2022 pasan al 25% un año después.</w:t>
      </w:r>
    </w:p>
    <w:p w14:paraId="4AA39B8B" w14:textId="77777777" w:rsidR="00DD09A9" w:rsidRDefault="00DD09A9">
      <w:pPr>
        <w:spacing w:line="276" w:lineRule="auto"/>
        <w:ind w:right="4"/>
        <w:jc w:val="both"/>
        <w:rPr>
          <w:rFonts w:ascii="Open Sans Light" w:eastAsia="Open Sans Light" w:hAnsi="Open Sans Light" w:cs="Open Sans Light"/>
          <w:b/>
          <w:color w:val="303AB2"/>
          <w:sz w:val="28"/>
          <w:szCs w:val="28"/>
        </w:rPr>
      </w:pPr>
    </w:p>
    <w:p w14:paraId="01930CC6" w14:textId="77777777" w:rsidR="00DD09A9" w:rsidRDefault="00000000">
      <w:pPr>
        <w:spacing w:line="276" w:lineRule="auto"/>
        <w:ind w:right="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El perfil de los impactados: hombre o mujer de casi 47 años</w:t>
      </w:r>
    </w:p>
    <w:p w14:paraId="015DC347" w14:textId="77777777" w:rsidR="00DD09A9" w:rsidRDefault="00DD09A9">
      <w:pPr>
        <w:spacing w:line="276" w:lineRule="auto"/>
        <w:ind w:right="4"/>
        <w:jc w:val="both"/>
        <w:rPr>
          <w:rFonts w:ascii="Open Sans" w:eastAsia="Open Sans" w:hAnsi="Open Sans" w:cs="Open Sans"/>
        </w:rPr>
      </w:pPr>
    </w:p>
    <w:p w14:paraId="051928E1" w14:textId="77777777" w:rsidR="00DD09A9" w:rsidRDefault="00000000">
      <w:pPr>
        <w:spacing w:line="276" w:lineRule="auto"/>
        <w:ind w:right="4"/>
        <w:jc w:val="both"/>
        <w:rPr>
          <w:rFonts w:ascii="Open Sans" w:eastAsia="Open Sans" w:hAnsi="Open Sans" w:cs="Open Sans"/>
        </w:rPr>
      </w:pPr>
      <w:r>
        <w:rPr>
          <w:rFonts w:ascii="Open Sans" w:eastAsia="Open Sans" w:hAnsi="Open Sans" w:cs="Open Sans"/>
          <w:b/>
        </w:rPr>
        <w:t>El retrato medio de los afectados por el incremento de las hipotecas sería el de un hombre o una mujer, indistintamente (los impactados se reparten al 50% entre ambos sexos), con una medida de edad de 46, 8 años</w:t>
      </w:r>
      <w:r>
        <w:rPr>
          <w:rFonts w:ascii="Open Sans" w:eastAsia="Open Sans" w:hAnsi="Open Sans" w:cs="Open Sans"/>
        </w:rPr>
        <w:t xml:space="preserve"> (el colectivo de entre los 35 y los 44 años aglutina el 33%, mientras que el de los 45 a los 54 constituye el 27%). Entre ambos segmentos se sitúa el de los que cuentan entre 55 y 75, que suponen un 28%. </w:t>
      </w:r>
    </w:p>
    <w:p w14:paraId="3141F38D" w14:textId="77777777" w:rsidR="00DD09A9" w:rsidRDefault="00DD09A9">
      <w:pPr>
        <w:spacing w:line="276" w:lineRule="auto"/>
        <w:ind w:right="4"/>
        <w:jc w:val="both"/>
        <w:rPr>
          <w:rFonts w:ascii="Open Sans" w:eastAsia="Open Sans" w:hAnsi="Open Sans" w:cs="Open Sans"/>
        </w:rPr>
      </w:pPr>
    </w:p>
    <w:p w14:paraId="4A292F14" w14:textId="77777777" w:rsidR="00DD09A9" w:rsidRDefault="00000000">
      <w:pPr>
        <w:spacing w:line="276" w:lineRule="auto"/>
        <w:ind w:right="4"/>
        <w:jc w:val="both"/>
        <w:rPr>
          <w:rFonts w:ascii="Open Sans" w:eastAsia="Open Sans" w:hAnsi="Open Sans" w:cs="Open Sans"/>
        </w:rPr>
      </w:pPr>
      <w:r>
        <w:rPr>
          <w:rFonts w:ascii="Open Sans" w:eastAsia="Open Sans" w:hAnsi="Open Sans" w:cs="Open Sans"/>
        </w:rPr>
        <w:t xml:space="preserve">Por su parte, la clase social y los ingresos también juegan un papel importante a la hora de discriminar cuanto afecta la subida de las hipotecas. De este modo, </w:t>
      </w:r>
      <w:r>
        <w:rPr>
          <w:rFonts w:ascii="Open Sans" w:eastAsia="Open Sans" w:hAnsi="Open Sans" w:cs="Open Sans"/>
          <w:b/>
        </w:rPr>
        <w:t>entre los impactados por la subida están sobrerrepresentadas las personas de clase social más baja, así como de bajos ingresos</w:t>
      </w:r>
      <w:r>
        <w:rPr>
          <w:rFonts w:ascii="Open Sans" w:eastAsia="Open Sans" w:hAnsi="Open Sans" w:cs="Open Sans"/>
        </w:rPr>
        <w:t>. De la misma manera, entre aquellos que declaran sentirse menos impactados las clases sociales más altas tienen un peso mayor.</w:t>
      </w:r>
    </w:p>
    <w:p w14:paraId="28FFDE3F" w14:textId="77777777" w:rsidR="00DD09A9" w:rsidRDefault="00DD09A9">
      <w:pPr>
        <w:spacing w:line="276" w:lineRule="auto"/>
        <w:ind w:right="4"/>
        <w:jc w:val="both"/>
        <w:rPr>
          <w:rFonts w:ascii="Open Sans" w:eastAsia="Open Sans" w:hAnsi="Open Sans" w:cs="Open Sans"/>
        </w:rPr>
      </w:pPr>
    </w:p>
    <w:p w14:paraId="7AFDD167" w14:textId="77777777" w:rsidR="00DD09A9" w:rsidRDefault="00000000">
      <w:pPr>
        <w:spacing w:line="276" w:lineRule="auto"/>
        <w:ind w:right="4"/>
        <w:jc w:val="both"/>
        <w:rPr>
          <w:rFonts w:ascii="Open Sans" w:eastAsia="Open Sans" w:hAnsi="Open Sans" w:cs="Open Sans"/>
          <w:b/>
        </w:rPr>
      </w:pPr>
      <w:r>
        <w:rPr>
          <w:rFonts w:ascii="Open Sans" w:eastAsia="Open Sans" w:hAnsi="Open Sans" w:cs="Open Sans"/>
        </w:rPr>
        <w:t xml:space="preserve">En términos porcentuales, </w:t>
      </w:r>
      <w:r>
        <w:rPr>
          <w:rFonts w:ascii="Open Sans" w:eastAsia="Open Sans" w:hAnsi="Open Sans" w:cs="Open Sans"/>
          <w:b/>
        </w:rPr>
        <w:t>los grupos que se declaran más impactados por la situación (16%) son los que cuentan con unos ingresos de entre 1.001 y 1.500 euros, seguidos (con un 13% de afectados), los que perciben entre 1.501 y 2.000 euros mensuales.</w:t>
      </w:r>
    </w:p>
    <w:p w14:paraId="7657574C" w14:textId="77777777" w:rsidR="00DD09A9" w:rsidRDefault="00DD09A9">
      <w:pPr>
        <w:spacing w:line="276" w:lineRule="auto"/>
        <w:ind w:right="4"/>
        <w:jc w:val="both"/>
        <w:rPr>
          <w:rFonts w:ascii="Open Sans" w:eastAsia="Open Sans" w:hAnsi="Open Sans" w:cs="Open Sans"/>
        </w:rPr>
      </w:pPr>
    </w:p>
    <w:p w14:paraId="0FBCFA9E" w14:textId="77777777" w:rsidR="00DD09A9" w:rsidRDefault="00000000">
      <w:pPr>
        <w:spacing w:line="276" w:lineRule="auto"/>
        <w:ind w:right="4"/>
        <w:jc w:val="both"/>
        <w:rPr>
          <w:rFonts w:ascii="Open Sans" w:eastAsia="Open Sans" w:hAnsi="Open Sans" w:cs="Open Sans"/>
        </w:rPr>
      </w:pPr>
      <w:r>
        <w:rPr>
          <w:rFonts w:ascii="Open Sans" w:eastAsia="Open Sans" w:hAnsi="Open Sans" w:cs="Open Sans"/>
        </w:rPr>
        <w:t>Por su parte, de aquellos cuyos ingresos se sitúan entre los 5.000 y los 8.000 euros tan solo el 3% se reconocen afectados por el incremento hipotecario.</w:t>
      </w:r>
    </w:p>
    <w:p w14:paraId="5FE74A8D" w14:textId="77777777" w:rsidR="00DD09A9" w:rsidRDefault="00000000">
      <w:pPr>
        <w:spacing w:line="276" w:lineRule="auto"/>
        <w:ind w:right="4"/>
        <w:jc w:val="both"/>
        <w:rPr>
          <w:rFonts w:ascii="Open Sans" w:eastAsia="Open Sans" w:hAnsi="Open Sans" w:cs="Open Sans"/>
        </w:rPr>
      </w:pPr>
      <w:r>
        <w:rPr>
          <w:rFonts w:ascii="Open Sans" w:eastAsia="Open Sans" w:hAnsi="Open Sans" w:cs="Open Sans"/>
        </w:rPr>
        <w:t> </w:t>
      </w:r>
    </w:p>
    <w:p w14:paraId="4723E42E" w14:textId="77777777" w:rsidR="00DD09A9" w:rsidRDefault="00DD09A9">
      <w:pPr>
        <w:spacing w:line="276" w:lineRule="auto"/>
        <w:ind w:right="4"/>
        <w:jc w:val="both"/>
        <w:rPr>
          <w:rFonts w:ascii="Open Sans" w:eastAsia="Open Sans" w:hAnsi="Open Sans" w:cs="Open Sans"/>
        </w:rPr>
      </w:pPr>
    </w:p>
    <w:p w14:paraId="46F59433" w14:textId="77777777" w:rsidR="00DD09A9" w:rsidRDefault="00DD09A9">
      <w:pPr>
        <w:spacing w:line="276" w:lineRule="auto"/>
        <w:ind w:right="4"/>
        <w:jc w:val="both"/>
        <w:rPr>
          <w:rFonts w:ascii="Open Sans" w:eastAsia="Open Sans" w:hAnsi="Open Sans" w:cs="Open Sans"/>
        </w:rPr>
      </w:pPr>
    </w:p>
    <w:p w14:paraId="06B979C1" w14:textId="77777777" w:rsidR="00366FC7" w:rsidRDefault="00366FC7">
      <w:pPr>
        <w:spacing w:line="276" w:lineRule="auto"/>
        <w:ind w:right="4"/>
        <w:jc w:val="both"/>
        <w:rPr>
          <w:rFonts w:ascii="Open Sans" w:eastAsia="Open Sans" w:hAnsi="Open Sans" w:cs="Open Sans"/>
        </w:rPr>
      </w:pPr>
    </w:p>
    <w:p w14:paraId="2110F637" w14:textId="77777777" w:rsidR="00366FC7" w:rsidRDefault="00366FC7">
      <w:pPr>
        <w:spacing w:line="276" w:lineRule="auto"/>
        <w:ind w:right="4"/>
        <w:jc w:val="both"/>
        <w:rPr>
          <w:rFonts w:ascii="Open Sans" w:eastAsia="Open Sans" w:hAnsi="Open Sans" w:cs="Open Sans"/>
        </w:rPr>
      </w:pPr>
    </w:p>
    <w:p w14:paraId="153258E0" w14:textId="77777777" w:rsidR="00366FC7" w:rsidRDefault="00366FC7">
      <w:pPr>
        <w:spacing w:line="276" w:lineRule="auto"/>
        <w:ind w:right="4"/>
        <w:jc w:val="both"/>
        <w:rPr>
          <w:rFonts w:ascii="Open Sans" w:eastAsia="Open Sans" w:hAnsi="Open Sans" w:cs="Open Sans"/>
        </w:rPr>
      </w:pPr>
    </w:p>
    <w:p w14:paraId="514860B8" w14:textId="77777777" w:rsidR="00366FC7" w:rsidRDefault="00366FC7">
      <w:pPr>
        <w:spacing w:line="276" w:lineRule="auto"/>
        <w:ind w:right="4"/>
        <w:jc w:val="both"/>
        <w:rPr>
          <w:rFonts w:ascii="Open Sans" w:eastAsia="Open Sans" w:hAnsi="Open Sans" w:cs="Open Sans"/>
        </w:rPr>
      </w:pPr>
    </w:p>
    <w:p w14:paraId="5AD678A2" w14:textId="77777777" w:rsidR="00366FC7" w:rsidRDefault="00366FC7">
      <w:pPr>
        <w:spacing w:line="276" w:lineRule="auto"/>
        <w:ind w:right="4"/>
        <w:jc w:val="both"/>
        <w:rPr>
          <w:rFonts w:ascii="Open Sans" w:eastAsia="Open Sans" w:hAnsi="Open Sans" w:cs="Open Sans"/>
        </w:rPr>
      </w:pPr>
    </w:p>
    <w:p w14:paraId="56433A0C" w14:textId="77777777" w:rsidR="00DD09A9"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6C16D02C" w14:textId="77777777" w:rsidR="00DD09A9"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1">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2">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423D24D1" w14:textId="77777777" w:rsidR="00DD09A9" w:rsidRDefault="00000000">
      <w:pPr>
        <w:shd w:val="clear" w:color="auto" w:fill="FFFFFF"/>
        <w:spacing w:before="280" w:after="280" w:line="276" w:lineRule="auto"/>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3EBA3114" w14:textId="77777777" w:rsidR="00DD09A9" w:rsidRDefault="00000000">
      <w:pPr>
        <w:shd w:val="clear" w:color="auto" w:fill="FFFFFF"/>
        <w:spacing w:before="280" w:after="280" w:line="276" w:lineRule="auto"/>
        <w:jc w:val="both"/>
        <w:rPr>
          <w:rFonts w:ascii="Open Sans" w:eastAsia="Open Sans" w:hAnsi="Open Sans" w:cs="Open Sans"/>
          <w:color w:val="000000"/>
          <w:sz w:val="22"/>
          <w:szCs w:val="22"/>
        </w:rPr>
      </w:pPr>
      <w:hyperlink r:id="rId13">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7F9AD3A" w14:textId="77777777" w:rsidR="00DD09A9" w:rsidRDefault="00DD09A9">
      <w:pPr>
        <w:spacing w:line="276" w:lineRule="auto"/>
        <w:jc w:val="right"/>
        <w:rPr>
          <w:rFonts w:ascii="Open Sans Light" w:eastAsia="Open Sans Light" w:hAnsi="Open Sans Light" w:cs="Open Sans Light"/>
          <w:b/>
          <w:color w:val="303AB2"/>
        </w:rPr>
      </w:pPr>
    </w:p>
    <w:p w14:paraId="10773F33" w14:textId="77777777" w:rsidR="00DD09A9"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49C032B0" w14:textId="77777777" w:rsidR="00DD09A9" w:rsidRDefault="00000000">
      <w:pPr>
        <w:spacing w:before="143" w:after="200"/>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4">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5">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6">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7">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6D655563" w14:textId="77777777" w:rsidR="00DD09A9"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6389B3CB" w14:textId="77777777" w:rsidR="00DD09A9" w:rsidRDefault="00000000">
      <w:pPr>
        <w:spacing w:before="143" w:after="200"/>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34C36443" w14:textId="77777777" w:rsidR="00DD09A9" w:rsidRDefault="00000000">
      <w:pPr>
        <w:spacing w:after="160"/>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19">
        <w:r>
          <w:rPr>
            <w:rFonts w:ascii="Open Sans" w:eastAsia="Open Sans" w:hAnsi="Open Sans" w:cs="Open Sans"/>
            <w:color w:val="1155CC"/>
            <w:sz w:val="22"/>
            <w:szCs w:val="22"/>
            <w:u w:val="single"/>
          </w:rPr>
          <w:t>adevinta.es</w:t>
        </w:r>
      </w:hyperlink>
    </w:p>
    <w:p w14:paraId="46EA3F4C" w14:textId="77777777" w:rsidR="00DD09A9" w:rsidRDefault="00DD09A9">
      <w:pPr>
        <w:spacing w:after="160"/>
        <w:jc w:val="both"/>
        <w:rPr>
          <w:rFonts w:ascii="Open Sans" w:eastAsia="Open Sans" w:hAnsi="Open Sans" w:cs="Open Sans"/>
        </w:rPr>
      </w:pPr>
    </w:p>
    <w:p w14:paraId="238B2219" w14:textId="77777777" w:rsidR="00DD09A9"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2BA7EA9B" w14:textId="77777777" w:rsidR="00DD09A9"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63E007C2" w14:textId="77777777" w:rsidR="00DD09A9" w:rsidRDefault="00000000">
      <w:pPr>
        <w:shd w:val="clear" w:color="auto" w:fill="FFFFFF"/>
        <w:spacing w:line="276" w:lineRule="auto"/>
        <w:rPr>
          <w:rFonts w:ascii="Open Sans" w:eastAsia="Open Sans" w:hAnsi="Open Sans" w:cs="Open Sans"/>
          <w:color w:val="0000FF"/>
          <w:sz w:val="22"/>
          <w:szCs w:val="22"/>
          <w:u w:val="single"/>
        </w:rPr>
      </w:pPr>
      <w:hyperlink r:id="rId20">
        <w:r>
          <w:rPr>
            <w:rFonts w:ascii="Open Sans" w:eastAsia="Open Sans" w:hAnsi="Open Sans" w:cs="Open Sans"/>
            <w:color w:val="0000FF"/>
            <w:sz w:val="22"/>
            <w:szCs w:val="22"/>
            <w:u w:val="single"/>
          </w:rPr>
          <w:t>comunicacion@fotocasa.es</w:t>
        </w:r>
      </w:hyperlink>
    </w:p>
    <w:p w14:paraId="24969A4F" w14:textId="77777777" w:rsidR="00DD09A9"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40AA93B4" w14:textId="77777777" w:rsidR="00DD09A9" w:rsidRDefault="00DD09A9">
      <w:pPr>
        <w:spacing w:line="276" w:lineRule="auto"/>
        <w:rPr>
          <w:rFonts w:ascii="Open Sans Light" w:eastAsia="Open Sans Light" w:hAnsi="Open Sans Light" w:cs="Open Sans Light"/>
          <w:b/>
          <w:color w:val="303AB2"/>
          <w:sz w:val="22"/>
          <w:szCs w:val="22"/>
        </w:rPr>
      </w:pPr>
    </w:p>
    <w:p w14:paraId="6AF13369" w14:textId="77777777" w:rsidR="00DD09A9" w:rsidRDefault="00DD09A9">
      <w:pPr>
        <w:spacing w:line="276" w:lineRule="auto"/>
        <w:rPr>
          <w:rFonts w:ascii="Open Sans Light" w:eastAsia="Open Sans Light" w:hAnsi="Open Sans Light" w:cs="Open Sans Light"/>
          <w:b/>
          <w:color w:val="303AB2"/>
          <w:sz w:val="22"/>
          <w:szCs w:val="22"/>
        </w:rPr>
      </w:pPr>
    </w:p>
    <w:p w14:paraId="424E26E0" w14:textId="77777777" w:rsidR="00DD09A9"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4B363039" w14:textId="77777777" w:rsidR="00DD09A9"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78E4D42B" w14:textId="77777777" w:rsidR="00DD09A9" w:rsidRPr="000547D4" w:rsidRDefault="00000000">
      <w:pPr>
        <w:shd w:val="clear" w:color="auto" w:fill="FFFFFF"/>
        <w:spacing w:line="276" w:lineRule="auto"/>
        <w:rPr>
          <w:rFonts w:ascii="Open Sans" w:eastAsia="Open Sans" w:hAnsi="Open Sans" w:cs="Open Sans"/>
          <w:color w:val="0000FF"/>
          <w:sz w:val="22"/>
          <w:szCs w:val="22"/>
          <w:u w:val="single"/>
          <w:lang w:val="en-US"/>
        </w:rPr>
      </w:pPr>
      <w:hyperlink r:id="rId21">
        <w:r w:rsidRPr="000547D4">
          <w:rPr>
            <w:rFonts w:ascii="Open Sans" w:eastAsia="Open Sans" w:hAnsi="Open Sans" w:cs="Open Sans"/>
            <w:color w:val="0000FF"/>
            <w:sz w:val="22"/>
            <w:szCs w:val="22"/>
            <w:u w:val="single"/>
            <w:lang w:val="en-US"/>
          </w:rPr>
          <w:t>rtorne@llorenteycuenca.com</w:t>
        </w:r>
      </w:hyperlink>
      <w:r w:rsidRPr="000547D4">
        <w:rPr>
          <w:rFonts w:ascii="Open Sans" w:eastAsia="Open Sans" w:hAnsi="Open Sans" w:cs="Open Sans"/>
          <w:color w:val="0000FF"/>
          <w:sz w:val="22"/>
          <w:szCs w:val="22"/>
          <w:lang w:val="en-US"/>
        </w:rPr>
        <w:tab/>
      </w:r>
      <w:r w:rsidRPr="000547D4">
        <w:rPr>
          <w:rFonts w:ascii="Open Sans" w:eastAsia="Open Sans" w:hAnsi="Open Sans" w:cs="Open Sans"/>
          <w:color w:val="0000FF"/>
          <w:sz w:val="22"/>
          <w:szCs w:val="22"/>
          <w:lang w:val="en-US"/>
        </w:rPr>
        <w:tab/>
      </w:r>
      <w:r w:rsidRPr="000547D4">
        <w:rPr>
          <w:rFonts w:ascii="Open Sans" w:eastAsia="Open Sans" w:hAnsi="Open Sans" w:cs="Open Sans"/>
          <w:color w:val="0000FF"/>
          <w:sz w:val="22"/>
          <w:szCs w:val="22"/>
          <w:lang w:val="en-US"/>
        </w:rPr>
        <w:tab/>
      </w:r>
    </w:p>
    <w:p w14:paraId="7DAC712D" w14:textId="77777777" w:rsidR="00DD09A9" w:rsidRPr="000547D4" w:rsidRDefault="00000000">
      <w:pPr>
        <w:shd w:val="clear" w:color="auto" w:fill="FFFFFF"/>
        <w:spacing w:line="276" w:lineRule="auto"/>
        <w:rPr>
          <w:rFonts w:ascii="Open Sans" w:eastAsia="Open Sans" w:hAnsi="Open Sans" w:cs="Open Sans"/>
          <w:color w:val="000000"/>
          <w:sz w:val="22"/>
          <w:szCs w:val="22"/>
          <w:lang w:val="en-US"/>
        </w:rPr>
      </w:pPr>
      <w:r w:rsidRPr="000547D4">
        <w:rPr>
          <w:rFonts w:ascii="Open Sans" w:eastAsia="Open Sans" w:hAnsi="Open Sans" w:cs="Open Sans"/>
          <w:color w:val="000000"/>
          <w:sz w:val="22"/>
          <w:szCs w:val="22"/>
          <w:lang w:val="en-US"/>
        </w:rPr>
        <w:lastRenderedPageBreak/>
        <w:t xml:space="preserve">638 68 19 85      </w:t>
      </w:r>
      <w:r w:rsidRPr="000547D4">
        <w:rPr>
          <w:rFonts w:ascii="Open Sans" w:eastAsia="Open Sans" w:hAnsi="Open Sans" w:cs="Open Sans"/>
          <w:color w:val="000000"/>
          <w:sz w:val="22"/>
          <w:szCs w:val="22"/>
          <w:lang w:val="en-US"/>
        </w:rPr>
        <w:tab/>
      </w:r>
      <w:r w:rsidRPr="000547D4">
        <w:rPr>
          <w:rFonts w:ascii="Open Sans" w:eastAsia="Open Sans" w:hAnsi="Open Sans" w:cs="Open Sans"/>
          <w:color w:val="000000"/>
          <w:sz w:val="22"/>
          <w:szCs w:val="22"/>
          <w:lang w:val="en-US"/>
        </w:rPr>
        <w:tab/>
      </w:r>
      <w:r w:rsidRPr="000547D4">
        <w:rPr>
          <w:rFonts w:ascii="Open Sans" w:eastAsia="Open Sans" w:hAnsi="Open Sans" w:cs="Open Sans"/>
          <w:color w:val="000000"/>
          <w:sz w:val="22"/>
          <w:szCs w:val="22"/>
          <w:lang w:val="en-US"/>
        </w:rPr>
        <w:tab/>
      </w:r>
      <w:r w:rsidRPr="000547D4">
        <w:rPr>
          <w:rFonts w:ascii="Open Sans" w:eastAsia="Open Sans" w:hAnsi="Open Sans" w:cs="Open Sans"/>
          <w:color w:val="000000"/>
          <w:sz w:val="22"/>
          <w:szCs w:val="22"/>
          <w:lang w:val="en-US"/>
        </w:rPr>
        <w:tab/>
      </w:r>
      <w:r w:rsidRPr="000547D4">
        <w:rPr>
          <w:rFonts w:ascii="Open Sans" w:eastAsia="Open Sans" w:hAnsi="Open Sans" w:cs="Open Sans"/>
          <w:color w:val="000000"/>
          <w:sz w:val="22"/>
          <w:szCs w:val="22"/>
          <w:lang w:val="en-US"/>
        </w:rPr>
        <w:tab/>
      </w:r>
      <w:r w:rsidRPr="000547D4">
        <w:rPr>
          <w:rFonts w:ascii="Open Sans" w:eastAsia="Open Sans" w:hAnsi="Open Sans" w:cs="Open Sans"/>
          <w:color w:val="000000"/>
          <w:sz w:val="22"/>
          <w:szCs w:val="22"/>
          <w:lang w:val="en-US"/>
        </w:rPr>
        <w:tab/>
      </w:r>
      <w:r w:rsidRPr="000547D4">
        <w:rPr>
          <w:rFonts w:ascii="Open Sans" w:eastAsia="Open Sans" w:hAnsi="Open Sans" w:cs="Open Sans"/>
          <w:color w:val="000000"/>
          <w:sz w:val="22"/>
          <w:szCs w:val="22"/>
          <w:lang w:val="en-US"/>
        </w:rPr>
        <w:tab/>
      </w:r>
      <w:r w:rsidRPr="000547D4">
        <w:rPr>
          <w:rFonts w:ascii="Open Sans" w:eastAsia="Open Sans" w:hAnsi="Open Sans" w:cs="Open Sans"/>
          <w:color w:val="000000"/>
          <w:sz w:val="22"/>
          <w:szCs w:val="22"/>
          <w:lang w:val="en-US"/>
        </w:rPr>
        <w:tab/>
      </w:r>
    </w:p>
    <w:p w14:paraId="5B7EB96A" w14:textId="77777777" w:rsidR="00DD09A9" w:rsidRPr="000547D4" w:rsidRDefault="00000000">
      <w:pPr>
        <w:shd w:val="clear" w:color="auto" w:fill="FFFFFF"/>
        <w:rPr>
          <w:rFonts w:ascii="Arial" w:eastAsia="Arial" w:hAnsi="Arial" w:cs="Arial"/>
          <w:color w:val="222222"/>
          <w:sz w:val="22"/>
          <w:szCs w:val="22"/>
          <w:lang w:val="en-US"/>
        </w:rPr>
      </w:pPr>
      <w:r w:rsidRPr="000547D4">
        <w:rPr>
          <w:rFonts w:ascii="Arial" w:eastAsia="Arial" w:hAnsi="Arial" w:cs="Arial"/>
          <w:color w:val="222222"/>
          <w:sz w:val="22"/>
          <w:szCs w:val="22"/>
          <w:lang w:val="en-US"/>
        </w:rPr>
        <w:tab/>
      </w:r>
    </w:p>
    <w:p w14:paraId="279C1145" w14:textId="77777777" w:rsidR="00DD09A9" w:rsidRPr="000547D4" w:rsidRDefault="00000000">
      <w:pPr>
        <w:shd w:val="clear" w:color="auto" w:fill="FFFFFF"/>
        <w:rPr>
          <w:rFonts w:ascii="Arial" w:eastAsia="Arial" w:hAnsi="Arial" w:cs="Arial"/>
          <w:color w:val="222222"/>
          <w:sz w:val="22"/>
          <w:szCs w:val="22"/>
          <w:lang w:val="en-US"/>
        </w:rPr>
      </w:pPr>
      <w:r w:rsidRPr="000547D4">
        <w:rPr>
          <w:rFonts w:ascii="Arial" w:eastAsia="Arial" w:hAnsi="Arial" w:cs="Arial"/>
          <w:color w:val="222222"/>
          <w:sz w:val="22"/>
          <w:szCs w:val="22"/>
          <w:lang w:val="en-US"/>
        </w:rPr>
        <w:tab/>
      </w:r>
      <w:r w:rsidRPr="000547D4">
        <w:rPr>
          <w:rFonts w:ascii="Arial" w:eastAsia="Arial" w:hAnsi="Arial" w:cs="Arial"/>
          <w:color w:val="222222"/>
          <w:sz w:val="22"/>
          <w:szCs w:val="22"/>
          <w:lang w:val="en-US"/>
        </w:rPr>
        <w:tab/>
      </w:r>
      <w:r w:rsidRPr="000547D4">
        <w:rPr>
          <w:rFonts w:ascii="Arial" w:eastAsia="Arial" w:hAnsi="Arial" w:cs="Arial"/>
          <w:color w:val="222222"/>
          <w:sz w:val="22"/>
          <w:szCs w:val="22"/>
          <w:lang w:val="en-US"/>
        </w:rPr>
        <w:tab/>
      </w:r>
      <w:r w:rsidRPr="000547D4">
        <w:rPr>
          <w:rFonts w:ascii="Arial" w:eastAsia="Arial" w:hAnsi="Arial" w:cs="Arial"/>
          <w:color w:val="222222"/>
          <w:sz w:val="22"/>
          <w:szCs w:val="22"/>
          <w:lang w:val="en-US"/>
        </w:rPr>
        <w:tab/>
      </w:r>
      <w:r w:rsidRPr="000547D4">
        <w:rPr>
          <w:rFonts w:ascii="Arial" w:eastAsia="Arial" w:hAnsi="Arial" w:cs="Arial"/>
          <w:color w:val="222222"/>
          <w:sz w:val="22"/>
          <w:szCs w:val="22"/>
          <w:lang w:val="en-US"/>
        </w:rPr>
        <w:tab/>
      </w:r>
      <w:r w:rsidRPr="000547D4">
        <w:rPr>
          <w:rFonts w:ascii="Arial" w:eastAsia="Arial" w:hAnsi="Arial" w:cs="Arial"/>
          <w:color w:val="222222"/>
          <w:sz w:val="22"/>
          <w:szCs w:val="22"/>
          <w:lang w:val="en-US"/>
        </w:rPr>
        <w:tab/>
        <w:t xml:space="preserve">     </w:t>
      </w:r>
    </w:p>
    <w:p w14:paraId="294F3DEA" w14:textId="77777777" w:rsidR="00DD09A9" w:rsidRPr="000547D4" w:rsidRDefault="00000000">
      <w:pPr>
        <w:shd w:val="clear" w:color="auto" w:fill="FFFFFF"/>
        <w:rPr>
          <w:rFonts w:ascii="Open Sans" w:eastAsia="Open Sans" w:hAnsi="Open Sans" w:cs="Open Sans"/>
          <w:b/>
          <w:color w:val="000000"/>
          <w:sz w:val="22"/>
          <w:szCs w:val="22"/>
          <w:lang w:val="en-US"/>
        </w:rPr>
      </w:pPr>
      <w:r w:rsidRPr="000547D4">
        <w:rPr>
          <w:rFonts w:ascii="Open Sans" w:eastAsia="Open Sans" w:hAnsi="Open Sans" w:cs="Open Sans"/>
          <w:b/>
          <w:color w:val="000000"/>
          <w:sz w:val="22"/>
          <w:szCs w:val="22"/>
          <w:lang w:val="en-US"/>
        </w:rPr>
        <w:t>Fanny Merino</w:t>
      </w:r>
    </w:p>
    <w:p w14:paraId="6006F62C" w14:textId="77777777" w:rsidR="00DD09A9" w:rsidRPr="000547D4" w:rsidRDefault="00000000">
      <w:pPr>
        <w:shd w:val="clear" w:color="auto" w:fill="FFFFFF"/>
        <w:rPr>
          <w:rFonts w:ascii="Open Sans" w:eastAsia="Open Sans" w:hAnsi="Open Sans" w:cs="Open Sans"/>
          <w:b/>
          <w:color w:val="000000"/>
          <w:sz w:val="22"/>
          <w:szCs w:val="22"/>
          <w:lang w:val="en-US"/>
        </w:rPr>
      </w:pPr>
      <w:hyperlink r:id="rId22">
        <w:r w:rsidRPr="000547D4">
          <w:rPr>
            <w:rFonts w:ascii="Open Sans" w:eastAsia="Open Sans" w:hAnsi="Open Sans" w:cs="Open Sans"/>
            <w:color w:val="0000FF"/>
            <w:sz w:val="22"/>
            <w:szCs w:val="22"/>
            <w:u w:val="single"/>
            <w:lang w:val="en-US"/>
          </w:rPr>
          <w:t>emerino@llorenteycuenca.com</w:t>
        </w:r>
      </w:hyperlink>
      <w:r w:rsidRPr="000547D4">
        <w:rPr>
          <w:rFonts w:ascii="Open Sans" w:eastAsia="Open Sans" w:hAnsi="Open Sans" w:cs="Open Sans"/>
          <w:color w:val="0000FF"/>
          <w:sz w:val="22"/>
          <w:szCs w:val="22"/>
          <w:lang w:val="en-US"/>
        </w:rPr>
        <w:tab/>
      </w:r>
      <w:r w:rsidRPr="000547D4">
        <w:rPr>
          <w:rFonts w:ascii="Open Sans" w:eastAsia="Open Sans" w:hAnsi="Open Sans" w:cs="Open Sans"/>
          <w:color w:val="0000FF"/>
          <w:sz w:val="22"/>
          <w:szCs w:val="22"/>
          <w:lang w:val="en-US"/>
        </w:rPr>
        <w:tab/>
      </w:r>
    </w:p>
    <w:p w14:paraId="061EF0B9" w14:textId="77777777" w:rsidR="00DD09A9"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6C058A8C" w14:textId="77777777" w:rsidR="00DD09A9" w:rsidRDefault="00DD09A9">
      <w:pPr>
        <w:shd w:val="clear" w:color="auto" w:fill="FFFFFF"/>
        <w:rPr>
          <w:rFonts w:ascii="Open Sans" w:eastAsia="Open Sans" w:hAnsi="Open Sans" w:cs="Open Sans"/>
          <w:color w:val="000000"/>
          <w:sz w:val="22"/>
          <w:szCs w:val="22"/>
        </w:rPr>
      </w:pPr>
    </w:p>
    <w:p w14:paraId="2BA1168B" w14:textId="77777777" w:rsidR="00DD09A9" w:rsidRDefault="00DD09A9">
      <w:pPr>
        <w:shd w:val="clear" w:color="auto" w:fill="FFFFFF"/>
        <w:rPr>
          <w:rFonts w:ascii="Open Sans" w:eastAsia="Open Sans" w:hAnsi="Open Sans" w:cs="Open Sans"/>
          <w:color w:val="000000"/>
          <w:sz w:val="22"/>
          <w:szCs w:val="22"/>
        </w:rPr>
      </w:pPr>
    </w:p>
    <w:p w14:paraId="5DEAABBC" w14:textId="77777777" w:rsidR="00DD09A9" w:rsidRDefault="00DD09A9">
      <w:pPr>
        <w:spacing w:line="276" w:lineRule="auto"/>
        <w:jc w:val="right"/>
        <w:rPr>
          <w:rFonts w:ascii="Open Sans" w:eastAsia="Open Sans" w:hAnsi="Open Sans" w:cs="Open Sans"/>
          <w:color w:val="000000"/>
          <w:sz w:val="21"/>
          <w:szCs w:val="21"/>
        </w:rPr>
      </w:pPr>
    </w:p>
    <w:sectPr w:rsidR="00DD09A9">
      <w:footerReference w:type="default" r:id="rId23"/>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993E" w14:textId="77777777" w:rsidR="00FA3D62" w:rsidRDefault="00FA3D62">
      <w:r>
        <w:separator/>
      </w:r>
    </w:p>
  </w:endnote>
  <w:endnote w:type="continuationSeparator" w:id="0">
    <w:p w14:paraId="61B9A173" w14:textId="77777777" w:rsidR="00FA3D62" w:rsidRDefault="00FA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F076" w14:textId="77777777" w:rsidR="00DD09A9"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5AFC0876" wp14:editId="11DD7B6D">
          <wp:simplePos x="0" y="0"/>
          <wp:positionH relativeFrom="column">
            <wp:posOffset>-1068062</wp:posOffset>
          </wp:positionH>
          <wp:positionV relativeFrom="paragraph">
            <wp:posOffset>174608</wp:posOffset>
          </wp:positionV>
          <wp:extent cx="7670550" cy="45131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E577" w14:textId="77777777" w:rsidR="00FA3D62" w:rsidRDefault="00FA3D62">
      <w:r>
        <w:separator/>
      </w:r>
    </w:p>
  </w:footnote>
  <w:footnote w:type="continuationSeparator" w:id="0">
    <w:p w14:paraId="0F502EC3" w14:textId="77777777" w:rsidR="00FA3D62" w:rsidRDefault="00FA3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02F8A"/>
    <w:multiLevelType w:val="multilevel"/>
    <w:tmpl w:val="E1E2268C"/>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33507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A9"/>
    <w:rsid w:val="000547D4"/>
    <w:rsid w:val="00366FC7"/>
    <w:rsid w:val="00DD09A9"/>
    <w:rsid w:val="00FA3D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D25B"/>
  <w15:docId w15:val="{94FBD2E7-C5AA-404E-BEB0-D58C81D7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es/quienes-somos/" TargetMode="External"/><Relationship Id="rId18" Type="http://schemas.openxmlformats.org/officeDocument/2006/relationships/hyperlink" Target="https://motos.coches.net/" TargetMode="External"/><Relationship Id="rId3" Type="http://schemas.openxmlformats.org/officeDocument/2006/relationships/styles" Target="styles.xml"/><Relationship Id="rId21" Type="http://schemas.openxmlformats.org/officeDocument/2006/relationships/hyperlink" Target="mailto:rtorne@llorenteycuenca.com" TargetMode="External"/><Relationship Id="rId7" Type="http://schemas.openxmlformats.org/officeDocument/2006/relationships/endnotes" Target="endnotes.xml"/><Relationship Id="rId12" Type="http://schemas.openxmlformats.org/officeDocument/2006/relationships/hyperlink" Target="http://prensa.fotocasa.es" TargetMode="External"/><Relationship Id="rId17" Type="http://schemas.openxmlformats.org/officeDocument/2006/relationships/hyperlink" Target="https://www.coches.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fojobs.net/" TargetMode="External"/><Relationship Id="rId20"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ind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abitaclia.com/"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adevinta.es"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fotocasa.es/es/" TargetMode="External"/><Relationship Id="rId22" Type="http://schemas.openxmlformats.org/officeDocument/2006/relationships/hyperlink" Target="mailto:emerino@llorenteycuenc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rldE13eK3azd58zri5AHJNow0Q==">CgMxLjAyCWguMnM4ZXlvMTgAciExbmpTYXJjemdjX2FwekNkMHhBTkxaR1pTOHl0M1QyX2E=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1108</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2</cp:revision>
  <dcterms:created xsi:type="dcterms:W3CDTF">2023-11-21T22:55:00Z</dcterms:created>
  <dcterms:modified xsi:type="dcterms:W3CDTF">2023-11-21T23:07:00Z</dcterms:modified>
</cp:coreProperties>
</file>