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340C" w14:textId="77777777" w:rsidR="00AA0FBF"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7D3D1C69" wp14:editId="2C77ED38">
            <wp:simplePos x="0" y="0"/>
            <wp:positionH relativeFrom="column">
              <wp:posOffset>-1056040</wp:posOffset>
            </wp:positionH>
            <wp:positionV relativeFrom="paragraph">
              <wp:posOffset>-346309</wp:posOffset>
            </wp:positionV>
            <wp:extent cx="7711147" cy="1037167"/>
            <wp:effectExtent l="0" t="0" r="0" b="0"/>
            <wp:wrapSquare wrapText="bothSides" distT="0" distB="0" distL="0" distR="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6E499523" w14:textId="77777777" w:rsidR="00AA0FBF" w:rsidRDefault="00AA0FBF">
      <w:pPr>
        <w:spacing w:line="240" w:lineRule="auto"/>
        <w:jc w:val="right"/>
        <w:rPr>
          <w:rFonts w:ascii="National" w:eastAsia="National" w:hAnsi="National" w:cs="National"/>
          <w:color w:val="303AB2"/>
          <w:sz w:val="36"/>
          <w:szCs w:val="36"/>
        </w:rPr>
      </w:pPr>
    </w:p>
    <w:p w14:paraId="17EB4552" w14:textId="143228FD" w:rsidR="00AA0FBF"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28"/>
          <w:szCs w:val="28"/>
        </w:rPr>
      </w:pPr>
      <w:r>
        <w:rPr>
          <w:rFonts w:ascii="National" w:eastAsia="National" w:hAnsi="National" w:cs="National"/>
          <w:b/>
          <w:color w:val="303AB2"/>
          <w:sz w:val="56"/>
          <w:szCs w:val="56"/>
        </w:rPr>
        <w:t>“</w:t>
      </w:r>
      <w:r w:rsidR="00230483">
        <w:rPr>
          <w:rFonts w:ascii="National" w:eastAsia="National" w:hAnsi="National" w:cs="National"/>
          <w:b/>
          <w:color w:val="303AB2"/>
          <w:sz w:val="56"/>
          <w:szCs w:val="56"/>
        </w:rPr>
        <w:t xml:space="preserve">Se supera la barrera de las 500.000 compraventas </w:t>
      </w:r>
      <w:r w:rsidR="00610B81">
        <w:rPr>
          <w:rFonts w:ascii="National" w:eastAsia="National" w:hAnsi="National" w:cs="National"/>
          <w:b/>
          <w:color w:val="303AB2"/>
          <w:sz w:val="56"/>
          <w:szCs w:val="56"/>
        </w:rPr>
        <w:t>y 2023 puede ser el segundo mejor año desde 2007</w:t>
      </w:r>
      <w:r>
        <w:rPr>
          <w:rFonts w:ascii="National" w:eastAsia="National" w:hAnsi="National" w:cs="National"/>
          <w:b/>
          <w:color w:val="303AB2"/>
          <w:sz w:val="56"/>
          <w:szCs w:val="56"/>
        </w:rPr>
        <w:t>”</w:t>
      </w:r>
      <w:r>
        <w:rPr>
          <w:rFonts w:ascii="National" w:eastAsia="National" w:hAnsi="National" w:cs="National"/>
          <w:b/>
          <w:color w:val="303AB2"/>
          <w:sz w:val="58"/>
          <w:szCs w:val="58"/>
        </w:rPr>
        <w:t xml:space="preserve"> </w:t>
      </w:r>
    </w:p>
    <w:p w14:paraId="37CF19F4" w14:textId="77777777" w:rsidR="00AA0FBF" w:rsidRDefault="00AA0FBF">
      <w:pPr>
        <w:pBdr>
          <w:top w:val="nil"/>
          <w:left w:val="nil"/>
          <w:bottom w:val="nil"/>
          <w:right w:val="nil"/>
          <w:between w:val="nil"/>
        </w:pBdr>
        <w:shd w:val="clear" w:color="auto" w:fill="FFFFFF"/>
        <w:spacing w:after="225"/>
        <w:jc w:val="both"/>
        <w:rPr>
          <w:rFonts w:ascii="Open Sans" w:eastAsia="Open Sans" w:hAnsi="Open Sans" w:cs="Open Sans"/>
          <w:b/>
          <w:color w:val="303AB2"/>
        </w:rPr>
      </w:pPr>
    </w:p>
    <w:p w14:paraId="1F238434" w14:textId="7C1CD832" w:rsidR="00AA0FBF" w:rsidRDefault="00000000">
      <w:pPr>
        <w:pBdr>
          <w:top w:val="nil"/>
          <w:left w:val="nil"/>
          <w:bottom w:val="nil"/>
          <w:right w:val="nil"/>
          <w:between w:val="nil"/>
        </w:pBdr>
        <w:shd w:val="clear" w:color="auto" w:fill="FFFFFF"/>
        <w:spacing w:after="225"/>
        <w:jc w:val="both"/>
        <w:rPr>
          <w:rFonts w:ascii="Open Sans" w:eastAsia="Open Sans" w:hAnsi="Open Sans" w:cs="Open Sans"/>
          <w:color w:val="000000"/>
          <w:sz w:val="20"/>
          <w:szCs w:val="20"/>
        </w:rPr>
      </w:pPr>
      <w:r>
        <w:rPr>
          <w:rFonts w:ascii="Open Sans" w:eastAsia="Open Sans" w:hAnsi="Open Sans" w:cs="Open Sans"/>
          <w:b/>
          <w:color w:val="303AB2"/>
        </w:rPr>
        <w:t xml:space="preserve">Madrid, </w:t>
      </w:r>
      <w:r w:rsidR="00230483">
        <w:rPr>
          <w:rFonts w:ascii="Open Sans" w:eastAsia="Open Sans" w:hAnsi="Open Sans" w:cs="Open Sans"/>
          <w:b/>
          <w:color w:val="303AB2"/>
        </w:rPr>
        <w:t>15 de diciembre</w:t>
      </w:r>
      <w:r>
        <w:rPr>
          <w:rFonts w:ascii="Open Sans" w:eastAsia="Open Sans" w:hAnsi="Open Sans" w:cs="Open Sans"/>
          <w:b/>
          <w:color w:val="303AB2"/>
        </w:rPr>
        <w:t xml:space="preserve"> de 2023</w:t>
      </w:r>
    </w:p>
    <w:p w14:paraId="56908036" w14:textId="7E98CC41" w:rsidR="00230483"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w:t>
      </w:r>
      <w:r>
        <w:rPr>
          <w:rFonts w:ascii="Open Sans" w:eastAsia="Open Sans" w:hAnsi="Open Sans" w:cs="Open Sans"/>
          <w:sz w:val="21"/>
          <w:szCs w:val="21"/>
        </w:rPr>
        <w:t xml:space="preserve">pasado mes de </w:t>
      </w:r>
      <w:r w:rsidR="00230483">
        <w:rPr>
          <w:rFonts w:ascii="Open Sans" w:eastAsia="Open Sans" w:hAnsi="Open Sans" w:cs="Open Sans"/>
          <w:sz w:val="21"/>
          <w:szCs w:val="21"/>
        </w:rPr>
        <w:t>octubre</w:t>
      </w:r>
      <w:r>
        <w:rPr>
          <w:rFonts w:ascii="Open Sans" w:eastAsia="Open Sans" w:hAnsi="Open Sans" w:cs="Open Sans"/>
          <w:sz w:val="21"/>
          <w:szCs w:val="21"/>
        </w:rPr>
        <w:t xml:space="preserve"> de </w:t>
      </w:r>
      <w:r>
        <w:rPr>
          <w:rFonts w:ascii="Open Sans" w:eastAsia="Open Sans" w:hAnsi="Open Sans" w:cs="Open Sans"/>
          <w:color w:val="000000"/>
          <w:sz w:val="21"/>
          <w:szCs w:val="21"/>
        </w:rPr>
        <w:t>202</w:t>
      </w:r>
      <w:r>
        <w:rPr>
          <w:rFonts w:ascii="Open Sans" w:eastAsia="Open Sans" w:hAnsi="Open Sans" w:cs="Open Sans"/>
          <w:sz w:val="21"/>
          <w:szCs w:val="21"/>
        </w:rPr>
        <w:t>3</w:t>
      </w:r>
      <w:r>
        <w:rPr>
          <w:rFonts w:ascii="Open Sans" w:eastAsia="Open Sans" w:hAnsi="Open Sans" w:cs="Open Sans"/>
          <w:color w:val="000000"/>
          <w:sz w:val="21"/>
          <w:szCs w:val="21"/>
        </w:rPr>
        <w:t xml:space="preserve"> dados a conocer hoy por el INE reflejan </w:t>
      </w:r>
      <w:r w:rsidR="00230483">
        <w:rPr>
          <w:rFonts w:ascii="Open Sans" w:eastAsia="Open Sans" w:hAnsi="Open Sans" w:cs="Open Sans"/>
          <w:sz w:val="21"/>
          <w:szCs w:val="21"/>
        </w:rPr>
        <w:t>un incremento</w:t>
      </w:r>
      <w:r>
        <w:rPr>
          <w:rFonts w:ascii="Open Sans" w:eastAsia="Open Sans" w:hAnsi="Open Sans" w:cs="Open Sans"/>
          <w:sz w:val="21"/>
          <w:szCs w:val="21"/>
        </w:rPr>
        <w:t xml:space="preserve"> mensual del </w:t>
      </w:r>
      <w:r w:rsidR="00230483">
        <w:rPr>
          <w:rFonts w:ascii="Open Sans" w:eastAsia="Open Sans" w:hAnsi="Open Sans" w:cs="Open Sans"/>
          <w:sz w:val="21"/>
          <w:szCs w:val="21"/>
        </w:rPr>
        <w:t>4,1</w:t>
      </w:r>
      <w:r>
        <w:rPr>
          <w:rFonts w:ascii="Open Sans" w:eastAsia="Open Sans" w:hAnsi="Open Sans" w:cs="Open Sans"/>
          <w:sz w:val="21"/>
          <w:szCs w:val="21"/>
        </w:rPr>
        <w:t>% y un descenso</w:t>
      </w:r>
      <w:r>
        <w:rPr>
          <w:rFonts w:ascii="Open Sans" w:eastAsia="Open Sans" w:hAnsi="Open Sans" w:cs="Open Sans"/>
          <w:color w:val="000000"/>
          <w:sz w:val="21"/>
          <w:szCs w:val="21"/>
        </w:rPr>
        <w:t xml:space="preserve"> interanual del</w:t>
      </w:r>
      <w:r>
        <w:rPr>
          <w:rFonts w:ascii="Open Sans" w:eastAsia="Open Sans" w:hAnsi="Open Sans" w:cs="Open Sans"/>
          <w:sz w:val="21"/>
          <w:szCs w:val="21"/>
        </w:rPr>
        <w:t xml:space="preserve"> -</w:t>
      </w:r>
      <w:r w:rsidR="00230483">
        <w:rPr>
          <w:rFonts w:ascii="Open Sans" w:eastAsia="Open Sans" w:hAnsi="Open Sans" w:cs="Open Sans"/>
          <w:sz w:val="21"/>
          <w:szCs w:val="21"/>
        </w:rPr>
        <w:t>11,1</w:t>
      </w:r>
      <w:r>
        <w:rPr>
          <w:rFonts w:ascii="Open Sans" w:eastAsia="Open Sans" w:hAnsi="Open Sans" w:cs="Open Sans"/>
          <w:color w:val="000000"/>
          <w:sz w:val="21"/>
          <w:szCs w:val="21"/>
        </w:rPr>
        <w:t>%</w:t>
      </w:r>
      <w:r>
        <w:rPr>
          <w:rFonts w:ascii="Open Sans" w:eastAsia="Open Sans" w:hAnsi="Open Sans" w:cs="Open Sans"/>
          <w:sz w:val="21"/>
          <w:szCs w:val="21"/>
        </w:rPr>
        <w:t xml:space="preserve">. </w:t>
      </w:r>
      <w:r w:rsidR="00230483" w:rsidRPr="00A57282">
        <w:rPr>
          <w:rFonts w:ascii="Open Sans" w:eastAsia="Open Sans" w:hAnsi="Open Sans" w:cs="Open Sans"/>
          <w:b/>
          <w:bCs/>
          <w:sz w:val="21"/>
          <w:szCs w:val="21"/>
        </w:rPr>
        <w:t xml:space="preserve">“Las compraventas continúan mostrando un ritmo muy intenso en el mes de octubre, llegando casi a las </w:t>
      </w:r>
      <w:r w:rsidR="0004752A" w:rsidRPr="00A57282">
        <w:rPr>
          <w:rFonts w:ascii="Open Sans" w:eastAsia="Open Sans" w:hAnsi="Open Sans" w:cs="Open Sans"/>
          <w:b/>
          <w:bCs/>
          <w:sz w:val="21"/>
          <w:szCs w:val="21"/>
        </w:rPr>
        <w:t>46.000</w:t>
      </w:r>
      <w:r w:rsidR="00230483" w:rsidRPr="00A57282">
        <w:rPr>
          <w:rFonts w:ascii="Open Sans" w:eastAsia="Open Sans" w:hAnsi="Open Sans" w:cs="Open Sans"/>
          <w:b/>
          <w:bCs/>
          <w:sz w:val="21"/>
          <w:szCs w:val="21"/>
        </w:rPr>
        <w:t xml:space="preserve"> operaciones durante ese mes. A pesar de que interanualmente la caída es ya de dos dígitos, hay que poner en contexto que esta bajada se produce a la comparativa con el ejercicio 2022, que fue de máximo boom</w:t>
      </w:r>
      <w:r w:rsidR="00230483">
        <w:rPr>
          <w:rFonts w:ascii="Open Sans" w:eastAsia="Open Sans" w:hAnsi="Open Sans" w:cs="Open Sans"/>
          <w:sz w:val="21"/>
          <w:szCs w:val="21"/>
        </w:rPr>
        <w:t xml:space="preserve">. La cifra de octubre sigue mostrando resistencia a las subidas de tipos y un volumen mensual similar a las cifras de 2019, </w:t>
      </w:r>
      <w:r w:rsidR="00230483">
        <w:rPr>
          <w:rFonts w:ascii="Open Sans" w:eastAsia="Open Sans" w:hAnsi="Open Sans" w:cs="Open Sans"/>
          <w:sz w:val="21"/>
          <w:szCs w:val="21"/>
        </w:rPr>
        <w:t xml:space="preserve">antes del impacto de la pandemia, por lo que supone una vuelta a la normalidad y a la dinámica habitual del mercado tras haberse </w:t>
      </w:r>
      <w:proofErr w:type="spellStart"/>
      <w:r w:rsidR="00230483">
        <w:rPr>
          <w:rFonts w:ascii="Open Sans" w:eastAsia="Open Sans" w:hAnsi="Open Sans" w:cs="Open Sans"/>
          <w:sz w:val="21"/>
          <w:szCs w:val="21"/>
        </w:rPr>
        <w:t>sobreestimulado</w:t>
      </w:r>
      <w:proofErr w:type="spellEnd"/>
      <w:r w:rsidR="00230483">
        <w:rPr>
          <w:rFonts w:ascii="Open Sans" w:eastAsia="Open Sans" w:hAnsi="Open Sans" w:cs="Open Sans"/>
          <w:sz w:val="21"/>
          <w:szCs w:val="21"/>
        </w:rPr>
        <w:t xml:space="preserve">”, comenta María Matos, directora de Estudios de </w:t>
      </w:r>
      <w:hyperlink r:id="rId8">
        <w:r w:rsidR="00230483">
          <w:rPr>
            <w:rFonts w:ascii="Open Sans" w:eastAsia="Open Sans" w:hAnsi="Open Sans" w:cs="Open Sans"/>
            <w:color w:val="1155CC"/>
            <w:sz w:val="21"/>
            <w:szCs w:val="21"/>
            <w:u w:val="single"/>
          </w:rPr>
          <w:t>Fotocasa</w:t>
        </w:r>
      </w:hyperlink>
      <w:r w:rsidR="00230483">
        <w:rPr>
          <w:rFonts w:ascii="Open Sans" w:eastAsia="Open Sans" w:hAnsi="Open Sans" w:cs="Open Sans"/>
          <w:sz w:val="21"/>
          <w:szCs w:val="21"/>
        </w:rPr>
        <w:t>.</w:t>
      </w:r>
    </w:p>
    <w:p w14:paraId="24EA8290" w14:textId="381B1830" w:rsidR="00AA0FBF" w:rsidRDefault="00230483">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Estas cifras nos muestran que lo que está sucediendo en el sector </w:t>
      </w:r>
      <w:r w:rsidRPr="00A57282">
        <w:rPr>
          <w:rFonts w:ascii="Open Sans" w:eastAsia="Open Sans" w:hAnsi="Open Sans" w:cs="Open Sans"/>
          <w:b/>
          <w:bCs/>
          <w:sz w:val="21"/>
          <w:szCs w:val="21"/>
        </w:rPr>
        <w:t>no es un parón en el mercado inmobiliario, sino una tendencia de acomodación a la nueva situación económica de escalada de tipos y que continuará con estos tipos altos durante una buena parte de 2024</w:t>
      </w:r>
      <w:r>
        <w:rPr>
          <w:rFonts w:ascii="Open Sans" w:eastAsia="Open Sans" w:hAnsi="Open Sans" w:cs="Open Sans"/>
          <w:sz w:val="21"/>
          <w:szCs w:val="21"/>
        </w:rPr>
        <w:t xml:space="preserve">. </w:t>
      </w:r>
      <w:r w:rsidR="0004752A">
        <w:rPr>
          <w:rFonts w:ascii="Open Sans" w:eastAsia="Open Sans" w:hAnsi="Open Sans" w:cs="Open Sans"/>
          <w:sz w:val="21"/>
          <w:szCs w:val="21"/>
        </w:rPr>
        <w:t xml:space="preserve">De hecho, los estudios de </w:t>
      </w:r>
      <w:hyperlink r:id="rId9">
        <w:r w:rsidR="00000000">
          <w:rPr>
            <w:rFonts w:ascii="Open Sans" w:eastAsia="Open Sans" w:hAnsi="Open Sans" w:cs="Open Sans"/>
            <w:color w:val="1155CC"/>
            <w:sz w:val="21"/>
            <w:szCs w:val="21"/>
            <w:u w:val="single"/>
          </w:rPr>
          <w:t xml:space="preserve">Fotocasa </w:t>
        </w:r>
        <w:proofErr w:type="spellStart"/>
        <w:r w:rsidR="00000000">
          <w:rPr>
            <w:rFonts w:ascii="Open Sans" w:eastAsia="Open Sans" w:hAnsi="Open Sans" w:cs="Open Sans"/>
            <w:color w:val="1155CC"/>
            <w:sz w:val="21"/>
            <w:szCs w:val="21"/>
            <w:u w:val="single"/>
          </w:rPr>
          <w:t>Research</w:t>
        </w:r>
        <w:proofErr w:type="spellEnd"/>
      </w:hyperlink>
      <w:r w:rsidR="00000000">
        <w:rPr>
          <w:rFonts w:ascii="Open Sans" w:eastAsia="Open Sans" w:hAnsi="Open Sans" w:cs="Open Sans"/>
          <w:sz w:val="21"/>
          <w:szCs w:val="21"/>
        </w:rPr>
        <w:t xml:space="preserve">, </w:t>
      </w:r>
      <w:r w:rsidR="0004752A">
        <w:rPr>
          <w:rFonts w:ascii="Open Sans" w:eastAsia="Open Sans" w:hAnsi="Open Sans" w:cs="Open Sans"/>
          <w:sz w:val="21"/>
          <w:szCs w:val="21"/>
        </w:rPr>
        <w:t>ya detectan</w:t>
      </w:r>
      <w:r w:rsidR="00000000">
        <w:rPr>
          <w:rFonts w:ascii="Open Sans" w:eastAsia="Open Sans" w:hAnsi="Open Sans" w:cs="Open Sans"/>
          <w:sz w:val="21"/>
          <w:szCs w:val="21"/>
        </w:rPr>
        <w:t xml:space="preserve"> que la demanda de adquisición se sitúa por encima de las cifras de prepandemia, por lo que las subidas de tipos no han congelado la demanda latente, sino que sólo están afectando a la ‘sobredemanda’ surgida”, explica María Matos, portavoz de </w:t>
      </w:r>
      <w:hyperlink r:id="rId10">
        <w:r w:rsidR="00000000">
          <w:rPr>
            <w:rFonts w:ascii="Open Sans" w:eastAsia="Open Sans" w:hAnsi="Open Sans" w:cs="Open Sans"/>
            <w:color w:val="1155CC"/>
            <w:sz w:val="21"/>
            <w:szCs w:val="21"/>
            <w:u w:val="single"/>
          </w:rPr>
          <w:t>Fotocasa</w:t>
        </w:r>
      </w:hyperlink>
      <w:r w:rsidR="00000000">
        <w:rPr>
          <w:rFonts w:ascii="Open Sans" w:eastAsia="Open Sans" w:hAnsi="Open Sans" w:cs="Open Sans"/>
          <w:sz w:val="21"/>
          <w:szCs w:val="21"/>
        </w:rPr>
        <w:t xml:space="preserve">. </w:t>
      </w:r>
    </w:p>
    <w:p w14:paraId="57D0451F" w14:textId="79EC4384" w:rsidR="0004752A" w:rsidRDefault="0004752A">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Hay que destacar que octubre ha cerrado con 45.903 operaciones cerradas y en el acumulativo del año ya se superan las 500.000 operaciones. En concreto, </w:t>
      </w:r>
      <w:r w:rsidRPr="00A57282">
        <w:rPr>
          <w:rFonts w:ascii="Open Sans" w:eastAsia="Open Sans" w:hAnsi="Open Sans" w:cs="Open Sans"/>
          <w:b/>
          <w:bCs/>
          <w:sz w:val="21"/>
          <w:szCs w:val="21"/>
        </w:rPr>
        <w:t>e</w:t>
      </w:r>
      <w:r w:rsidR="00A57282" w:rsidRPr="00A57282">
        <w:rPr>
          <w:rFonts w:ascii="Open Sans" w:eastAsia="Open Sans" w:hAnsi="Open Sans" w:cs="Open Sans"/>
          <w:b/>
          <w:bCs/>
          <w:sz w:val="21"/>
          <w:szCs w:val="21"/>
        </w:rPr>
        <w:t>n</w:t>
      </w:r>
      <w:r w:rsidRPr="00A57282">
        <w:rPr>
          <w:rFonts w:ascii="Open Sans" w:eastAsia="Open Sans" w:hAnsi="Open Sans" w:cs="Open Sans"/>
          <w:b/>
          <w:bCs/>
          <w:sz w:val="21"/>
          <w:szCs w:val="21"/>
        </w:rPr>
        <w:t xml:space="preserve"> octubre se llegan ya a las 503.000 operaciones de compraventa durante 2023 y teniendo en cuenta que todavía quedan dos meses para cerrar el año es posible que estemos frente al segundo o tercer mejor año desde 2007</w:t>
      </w:r>
      <w:r>
        <w:rPr>
          <w:rFonts w:ascii="Open Sans" w:eastAsia="Open Sans" w:hAnsi="Open Sans" w:cs="Open Sans"/>
          <w:sz w:val="21"/>
          <w:szCs w:val="21"/>
        </w:rPr>
        <w:t xml:space="preserve">. “Los españoles continúan mostrando un gran </w:t>
      </w:r>
      <w:r>
        <w:rPr>
          <w:rFonts w:ascii="Open Sans" w:eastAsia="Open Sans" w:hAnsi="Open Sans" w:cs="Open Sans"/>
          <w:sz w:val="21"/>
          <w:szCs w:val="21"/>
        </w:rPr>
        <w:lastRenderedPageBreak/>
        <w:t xml:space="preserve">interés por comprar vivienda, un interés que explotó justo después del confinamiento de 2020, y el cambiar a una vivienda mejor todavía está moviendo el mercado inmobiliario en 2023. Aunque existe un gran problema en nuestro país y es la falta de stock, por lo que es posible que si hubiese más stock de vivienda el número de compraventas fuera aún mayor. De hecho, un reciente análisis de </w:t>
      </w:r>
      <w:hyperlink r:id="rId11">
        <w:r>
          <w:rPr>
            <w:rFonts w:ascii="Open Sans" w:eastAsia="Open Sans" w:hAnsi="Open Sans" w:cs="Open Sans"/>
            <w:color w:val="1155CC"/>
            <w:sz w:val="21"/>
            <w:szCs w:val="21"/>
            <w:u w:val="single"/>
          </w:rPr>
          <w:t xml:space="preserve">Fotocasa </w:t>
        </w:r>
        <w:proofErr w:type="spellStart"/>
        <w:r>
          <w:rPr>
            <w:rFonts w:ascii="Open Sans" w:eastAsia="Open Sans" w:hAnsi="Open Sans" w:cs="Open Sans"/>
            <w:color w:val="1155CC"/>
            <w:sz w:val="21"/>
            <w:szCs w:val="21"/>
            <w:u w:val="single"/>
          </w:rPr>
          <w:t>Research</w:t>
        </w:r>
        <w:proofErr w:type="spellEnd"/>
      </w:hyperlink>
      <w:r>
        <w:rPr>
          <w:rFonts w:ascii="Open Sans" w:eastAsia="Open Sans" w:hAnsi="Open Sans" w:cs="Open Sans"/>
          <w:sz w:val="21"/>
          <w:szCs w:val="21"/>
        </w:rPr>
        <w:t xml:space="preserve"> revela que </w:t>
      </w:r>
      <w:hyperlink r:id="rId12" w:history="1">
        <w:r w:rsidRPr="0004752A">
          <w:rPr>
            <w:rStyle w:val="Hipervnculo"/>
            <w:rFonts w:ascii="Open Sans" w:eastAsia="Open Sans" w:hAnsi="Open Sans" w:cs="Open Sans"/>
            <w:sz w:val="21"/>
            <w:szCs w:val="21"/>
          </w:rPr>
          <w:t>la demanda quintuplica a la oferta en el mercado de compra</w:t>
        </w:r>
      </w:hyperlink>
      <w:r>
        <w:rPr>
          <w:rFonts w:ascii="Open Sans" w:eastAsia="Open Sans" w:hAnsi="Open Sans" w:cs="Open Sans"/>
          <w:sz w:val="21"/>
          <w:szCs w:val="21"/>
        </w:rPr>
        <w:t xml:space="preserve"> y esto se traduce en que por cada vivienda hay 5 potenciales demandantes interesados. Seguramente, si contásemos con más stock de vivienda en España los datos podrían ser aún mejores”, comenta </w:t>
      </w:r>
      <w:r>
        <w:rPr>
          <w:rFonts w:ascii="Open Sans" w:eastAsia="Open Sans" w:hAnsi="Open Sans" w:cs="Open Sans"/>
          <w:sz w:val="21"/>
          <w:szCs w:val="21"/>
        </w:rPr>
        <w:t xml:space="preserve">María Matos, portavoz de </w:t>
      </w:r>
      <w:hyperlink r:id="rId13">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749BC4FB" w14:textId="45C64B18" w:rsidR="00AA0FBF" w:rsidRPr="00672CCE" w:rsidRDefault="00000000">
      <w:pPr>
        <w:pBdr>
          <w:top w:val="nil"/>
          <w:left w:val="nil"/>
          <w:bottom w:val="nil"/>
          <w:right w:val="nil"/>
          <w:between w:val="nil"/>
        </w:pBdr>
        <w:shd w:val="clear" w:color="auto" w:fill="FFFFFF"/>
        <w:spacing w:after="225"/>
        <w:jc w:val="both"/>
        <w:rPr>
          <w:rFonts w:ascii="Open Sans" w:eastAsia="Open Sans" w:hAnsi="Open Sans" w:cs="Open Sans"/>
          <w:b/>
          <w:color w:val="303AB2"/>
          <w:sz w:val="24"/>
          <w:szCs w:val="24"/>
        </w:rPr>
      </w:pPr>
      <w:r w:rsidRPr="00672CCE">
        <w:rPr>
          <w:rFonts w:ascii="Open Sans" w:eastAsia="Open Sans" w:hAnsi="Open Sans" w:cs="Open Sans"/>
          <w:b/>
          <w:color w:val="303AB2"/>
          <w:sz w:val="24"/>
          <w:szCs w:val="24"/>
        </w:rPr>
        <w:t xml:space="preserve">La vivienda de obra nueva </w:t>
      </w:r>
      <w:r w:rsidR="00CA38F7" w:rsidRPr="00672CCE">
        <w:rPr>
          <w:rFonts w:ascii="Open Sans" w:eastAsia="Open Sans" w:hAnsi="Open Sans" w:cs="Open Sans"/>
          <w:b/>
          <w:color w:val="303AB2"/>
          <w:sz w:val="24"/>
          <w:szCs w:val="24"/>
        </w:rPr>
        <w:t>sigue mostrando interés</w:t>
      </w:r>
    </w:p>
    <w:p w14:paraId="16E0B4FE" w14:textId="25BC2AE9" w:rsidR="00AA0FBF" w:rsidRDefault="00CA38F7">
      <w:pPr>
        <w:shd w:val="clear" w:color="auto" w:fill="FFFFFF"/>
        <w:spacing w:before="280" w:after="280"/>
        <w:jc w:val="both"/>
        <w:rPr>
          <w:rFonts w:ascii="Open Sans" w:eastAsia="Open Sans" w:hAnsi="Open Sans" w:cs="Open Sans"/>
          <w:sz w:val="21"/>
          <w:szCs w:val="21"/>
        </w:rPr>
      </w:pPr>
      <w:r w:rsidRPr="00CA38F7">
        <w:rPr>
          <w:rFonts w:ascii="Open Sans" w:eastAsia="Open Sans" w:hAnsi="Open Sans" w:cs="Open Sans"/>
          <w:sz w:val="21"/>
          <w:szCs w:val="21"/>
        </w:rPr>
        <w:t>Las</w:t>
      </w:r>
      <w:r>
        <w:rPr>
          <w:rFonts w:ascii="Open Sans" w:eastAsia="Open Sans" w:hAnsi="Open Sans" w:cs="Open Sans"/>
          <w:sz w:val="21"/>
          <w:szCs w:val="21"/>
        </w:rPr>
        <w:t xml:space="preserve"> viviendas de obra nueva siguen mostrando un gran interés entre la población y representan el 19,3% de las operaciones del mes de octubre, en concreto se han cerrado 8.847 operaciones en octubre de 2023.</w:t>
      </w:r>
      <w:r w:rsidR="00000000">
        <w:rPr>
          <w:rFonts w:ascii="Open Sans" w:eastAsia="Open Sans" w:hAnsi="Open Sans" w:cs="Open Sans"/>
          <w:sz w:val="21"/>
          <w:szCs w:val="21"/>
        </w:rPr>
        <w:t xml:space="preserve"> “A pesar del auge sin precedentes que vive esta tipología desde el estallido de la pandemia, es la que más sufre al adaptarse a los nuevos tipos de interés, ya que el encarecimiento hipotecario sumado al mayor precio de la vivienda nueva en comparación con la segunda </w:t>
      </w:r>
      <w:proofErr w:type="gramStart"/>
      <w:r w:rsidR="00000000">
        <w:rPr>
          <w:rFonts w:ascii="Open Sans" w:eastAsia="Open Sans" w:hAnsi="Open Sans" w:cs="Open Sans"/>
          <w:sz w:val="21"/>
          <w:szCs w:val="21"/>
        </w:rPr>
        <w:t>mano,</w:t>
      </w:r>
      <w:proofErr w:type="gramEnd"/>
      <w:r w:rsidR="00000000">
        <w:rPr>
          <w:rFonts w:ascii="Open Sans" w:eastAsia="Open Sans" w:hAnsi="Open Sans" w:cs="Open Sans"/>
          <w:sz w:val="21"/>
          <w:szCs w:val="21"/>
        </w:rPr>
        <w:t xml:space="preserve"> hace que un volumen significativo de compradores desechen la opción de obra nueva. Además, </w:t>
      </w:r>
      <w:r w:rsidR="00000000">
        <w:rPr>
          <w:rFonts w:ascii="Open Sans" w:eastAsia="Open Sans" w:hAnsi="Open Sans" w:cs="Open Sans"/>
          <w:b/>
          <w:sz w:val="21"/>
          <w:szCs w:val="21"/>
        </w:rPr>
        <w:t>podemos encontrarnos con una grave problemática de subida de precios, si la demanda continúa latente</w:t>
      </w:r>
      <w:r w:rsidR="00000000">
        <w:rPr>
          <w:rFonts w:ascii="Open Sans" w:eastAsia="Open Sans" w:hAnsi="Open Sans" w:cs="Open Sans"/>
          <w:sz w:val="21"/>
          <w:szCs w:val="21"/>
        </w:rPr>
        <w:t xml:space="preserve">. No solo por la inflación,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14:paraId="7364DF52" w14:textId="070219A3" w:rsidR="00CA38F7" w:rsidRDefault="00CA38F7">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Hay que tener en cuenta que la vivienda de obra nueva resulta muy atractiva para un perfil muy concreto del comprador y según muestran los estudios de Fotocasa y se ve también reflejado en los datos del INE, un 20% </w:t>
      </w:r>
      <w:hyperlink r:id="rId14" w:history="1">
        <w:r w:rsidRPr="00CA38F7">
          <w:rPr>
            <w:rStyle w:val="Hipervnculo"/>
            <w:rFonts w:ascii="Open Sans" w:eastAsia="Open Sans" w:hAnsi="Open Sans" w:cs="Open Sans"/>
            <w:sz w:val="21"/>
            <w:szCs w:val="21"/>
          </w:rPr>
          <w:t>de la demanda de vivienda busca exclusivamente obra nueva</w:t>
        </w:r>
      </w:hyperlink>
      <w:r>
        <w:rPr>
          <w:rFonts w:ascii="Open Sans" w:eastAsia="Open Sans" w:hAnsi="Open Sans" w:cs="Open Sans"/>
          <w:sz w:val="21"/>
          <w:szCs w:val="21"/>
        </w:rPr>
        <w:t xml:space="preserve"> y, de media, </w:t>
      </w:r>
      <w:hyperlink r:id="rId15" w:history="1">
        <w:r w:rsidRPr="00CA38F7">
          <w:rPr>
            <w:rStyle w:val="Hipervnculo"/>
            <w:rFonts w:ascii="Open Sans" w:eastAsia="Open Sans" w:hAnsi="Open Sans" w:cs="Open Sans"/>
            <w:sz w:val="21"/>
            <w:szCs w:val="21"/>
          </w:rPr>
          <w:t>tardan más de un año en encontrar la vivienda</w:t>
        </w:r>
      </w:hyperlink>
      <w:r>
        <w:rPr>
          <w:rFonts w:ascii="Open Sans" w:eastAsia="Open Sans" w:hAnsi="Open Sans" w:cs="Open Sans"/>
          <w:sz w:val="21"/>
          <w:szCs w:val="21"/>
        </w:rPr>
        <w:t xml:space="preserve">. </w:t>
      </w:r>
    </w:p>
    <w:p w14:paraId="458C25A7" w14:textId="77777777" w:rsidR="00AA0FBF" w:rsidRPr="00672CCE" w:rsidRDefault="00000000">
      <w:pPr>
        <w:shd w:val="clear" w:color="auto" w:fill="FFFFFF"/>
        <w:spacing w:before="280" w:after="280"/>
        <w:jc w:val="both"/>
        <w:rPr>
          <w:rFonts w:ascii="Open Sans" w:eastAsia="Open Sans" w:hAnsi="Open Sans" w:cs="Open Sans"/>
        </w:rPr>
      </w:pPr>
      <w:r w:rsidRPr="00672CCE">
        <w:rPr>
          <w:rFonts w:ascii="Open Sans" w:eastAsia="Open Sans" w:hAnsi="Open Sans" w:cs="Open Sans"/>
          <w:b/>
          <w:color w:val="303AB2"/>
          <w:sz w:val="24"/>
          <w:szCs w:val="24"/>
        </w:rPr>
        <w:t>Impacto en las previsiones de cierre de año</w:t>
      </w:r>
    </w:p>
    <w:p w14:paraId="2C8D460B" w14:textId="0ECECE56" w:rsidR="00AA0FBF"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“Entramos en una etapa de moderación de compraventas con respecto a los dos años precedentes. Hay que tener en cuenta que el incremento del precio de la vivienda y el encarecimiento hipotecario merman la capacidad adquisitiva de los ciudadanos. Desde </w:t>
      </w:r>
      <w:hyperlink r:id="rId16">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estimamos que </w:t>
      </w:r>
      <w:r>
        <w:rPr>
          <w:rFonts w:ascii="Open Sans" w:eastAsia="Open Sans" w:hAnsi="Open Sans" w:cs="Open Sans"/>
          <w:b/>
          <w:sz w:val="21"/>
          <w:szCs w:val="21"/>
        </w:rPr>
        <w:t>el 60% de compradores ya se han visto afectados por la nueva política del BCE y que el 28% de ellos se han visto obligados a paralizar el proceso de adquisición</w:t>
      </w:r>
      <w:r>
        <w:rPr>
          <w:rFonts w:ascii="Open Sans" w:eastAsia="Open Sans" w:hAnsi="Open Sans" w:cs="Open Sans"/>
          <w:sz w:val="21"/>
          <w:szCs w:val="21"/>
        </w:rPr>
        <w:t xml:space="preserve">. Esta situación está provocando un cambio en el perfil del comprador hacia uno más específico conformado por ciudadanos solventes de nivel socioeconómico alto, que probablemente tengan </w:t>
      </w:r>
      <w:proofErr w:type="spellStart"/>
      <w:r w:rsidRPr="00D04B81">
        <w:rPr>
          <w:rFonts w:ascii="Open Sans" w:eastAsia="Open Sans" w:hAnsi="Open Sans" w:cs="Open Sans"/>
          <w:i/>
          <w:iCs/>
          <w:sz w:val="21"/>
          <w:szCs w:val="21"/>
        </w:rPr>
        <w:t>expertise</w:t>
      </w:r>
      <w:proofErr w:type="spellEnd"/>
      <w:r>
        <w:rPr>
          <w:rFonts w:ascii="Open Sans" w:eastAsia="Open Sans" w:hAnsi="Open Sans" w:cs="Open Sans"/>
          <w:sz w:val="21"/>
          <w:szCs w:val="21"/>
        </w:rPr>
        <w:t xml:space="preserve"> en el mercado inmobiliario. Como es propio del momento de incertidumbre económica, también surgen nuevas figuras como pequeños ahorradores y grandes inversores, además de compradores extranjeros, que no son tan vulnerables al cambio de política monetaria al precisar menos financiación bancaria. Es un cambio habitual en un contexto de adaptación a la nueva política monetaria. Sin embargo, en los próximos </w:t>
      </w:r>
      <w:r>
        <w:rPr>
          <w:rFonts w:ascii="Open Sans" w:eastAsia="Open Sans" w:hAnsi="Open Sans" w:cs="Open Sans"/>
          <w:sz w:val="21"/>
          <w:szCs w:val="21"/>
        </w:rPr>
        <w:lastRenderedPageBreak/>
        <w:t xml:space="preserve">meses vamos a ver todavía un sector dinámico, aunque con cifras menos abultadas”, explica María Matos, directora de Estudios de </w:t>
      </w:r>
      <w:hyperlink r:id="rId17">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639AF52C" w14:textId="77777777" w:rsidR="00672CCE" w:rsidRDefault="00672CCE">
      <w:pPr>
        <w:shd w:val="clear" w:color="auto" w:fill="FFFFFF"/>
        <w:spacing w:before="280" w:after="280"/>
        <w:jc w:val="right"/>
        <w:rPr>
          <w:rFonts w:ascii="Open Sans Light" w:eastAsia="Open Sans Light" w:hAnsi="Open Sans Light" w:cs="Open Sans Light"/>
          <w:b/>
          <w:color w:val="303AB2"/>
          <w:sz w:val="24"/>
          <w:szCs w:val="24"/>
        </w:rPr>
      </w:pPr>
    </w:p>
    <w:p w14:paraId="17DF3CAD" w14:textId="0BE176E5" w:rsidR="00AA0FBF" w:rsidRDefault="00000000">
      <w:pPr>
        <w:shd w:val="clear" w:color="auto" w:fill="FFFFFF"/>
        <w:spacing w:before="280" w:after="280"/>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6A27741D" w14:textId="77777777" w:rsidR="00AA0FBF"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069E7061" w14:textId="77777777" w:rsidR="00AA0FBF"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0749E5AD" w14:textId="77777777" w:rsidR="00AA0FBF" w:rsidRDefault="00000000">
      <w:pPr>
        <w:shd w:val="clear" w:color="auto" w:fill="FFFFFF"/>
        <w:ind w:right="-7"/>
        <w:jc w:val="right"/>
        <w:rPr>
          <w:rFonts w:ascii="Open Sans" w:eastAsia="Open Sans" w:hAnsi="Open Sans" w:cs="Open Sans"/>
          <w:sz w:val="21"/>
          <w:szCs w:val="21"/>
        </w:rPr>
      </w:pPr>
      <w:hyperlink r:id="rId18">
        <w:r>
          <w:rPr>
            <w:rFonts w:ascii="Open Sans" w:eastAsia="Open Sans" w:hAnsi="Open Sans" w:cs="Open Sans"/>
            <w:color w:val="0563C1"/>
            <w:sz w:val="21"/>
            <w:szCs w:val="21"/>
            <w:u w:val="single"/>
          </w:rPr>
          <w:t>comunicacion@fotocasa.es</w:t>
        </w:r>
      </w:hyperlink>
    </w:p>
    <w:p w14:paraId="38FCC64F" w14:textId="77777777" w:rsidR="00AA0FBF" w:rsidRDefault="00000000">
      <w:pPr>
        <w:shd w:val="clear" w:color="auto" w:fill="FFFFFF"/>
        <w:ind w:right="-7"/>
        <w:jc w:val="right"/>
        <w:rPr>
          <w:rFonts w:ascii="Open Sans" w:eastAsia="Open Sans" w:hAnsi="Open Sans" w:cs="Open Sans"/>
          <w:sz w:val="21"/>
          <w:szCs w:val="21"/>
        </w:rPr>
      </w:pPr>
      <w:hyperlink r:id="rId19">
        <w:r>
          <w:rPr>
            <w:rFonts w:ascii="Open Sans" w:eastAsia="Open Sans" w:hAnsi="Open Sans" w:cs="Open Sans"/>
            <w:color w:val="0563C1"/>
            <w:sz w:val="21"/>
            <w:szCs w:val="21"/>
            <w:u w:val="single"/>
          </w:rPr>
          <w:t>http://prensa.fotocasa.es</w:t>
        </w:r>
      </w:hyperlink>
    </w:p>
    <w:p w14:paraId="5450A1D6" w14:textId="77777777" w:rsidR="00AA0FBF" w:rsidRDefault="00000000">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345D601E" w14:textId="77777777" w:rsidR="00AA0FBF" w:rsidRDefault="00AA0FBF"/>
    <w:sectPr w:rsidR="00AA0FBF">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A036" w14:textId="77777777" w:rsidR="001905FA" w:rsidRDefault="001905FA">
      <w:pPr>
        <w:spacing w:line="240" w:lineRule="auto"/>
      </w:pPr>
      <w:r>
        <w:separator/>
      </w:r>
    </w:p>
  </w:endnote>
  <w:endnote w:type="continuationSeparator" w:id="0">
    <w:p w14:paraId="26D7D2E0" w14:textId="77777777" w:rsidR="001905FA" w:rsidRDefault="00190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930D" w14:textId="77777777" w:rsidR="00AA0FBF" w:rsidRDefault="00000000">
    <w:r>
      <w:rPr>
        <w:noProof/>
      </w:rPr>
      <w:drawing>
        <wp:anchor distT="0" distB="0" distL="0" distR="0" simplePos="0" relativeHeight="251658240" behindDoc="0" locked="0" layoutInCell="1" hidden="0" allowOverlap="1" wp14:anchorId="31B7F099" wp14:editId="7895FB9D">
          <wp:simplePos x="0" y="0"/>
          <wp:positionH relativeFrom="column">
            <wp:posOffset>-1916415</wp:posOffset>
          </wp:positionH>
          <wp:positionV relativeFrom="paragraph">
            <wp:posOffset>304800</wp:posOffset>
          </wp:positionV>
          <wp:extent cx="8620125" cy="447675"/>
          <wp:effectExtent l="0" t="0" r="0" b="0"/>
          <wp:wrapSquare wrapText="bothSides" distT="0" distB="0" distL="0" distR="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6270" w14:textId="77777777" w:rsidR="001905FA" w:rsidRDefault="001905FA">
      <w:pPr>
        <w:spacing w:line="240" w:lineRule="auto"/>
      </w:pPr>
      <w:r>
        <w:separator/>
      </w:r>
    </w:p>
  </w:footnote>
  <w:footnote w:type="continuationSeparator" w:id="0">
    <w:p w14:paraId="30FFD3C0" w14:textId="77777777" w:rsidR="001905FA" w:rsidRDefault="001905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BF"/>
    <w:rsid w:val="0004752A"/>
    <w:rsid w:val="001905FA"/>
    <w:rsid w:val="00230483"/>
    <w:rsid w:val="00404AF3"/>
    <w:rsid w:val="00610B81"/>
    <w:rsid w:val="00672CCE"/>
    <w:rsid w:val="00A57282"/>
    <w:rsid w:val="00AA0FBF"/>
    <w:rsid w:val="00CA38F7"/>
    <w:rsid w:val="00D04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B6B3"/>
  <w15:docId w15:val="{594B6784-1EB1-48DC-B8E7-18090CA8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paragraph" w:styleId="Encabezado">
    <w:name w:val="header"/>
    <w:basedOn w:val="Normal"/>
    <w:link w:val="EncabezadoCar"/>
    <w:uiPriority w:val="99"/>
    <w:unhideWhenUsed/>
    <w:rsid w:val="001C01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C0136"/>
  </w:style>
  <w:style w:type="paragraph" w:styleId="Piedepgina">
    <w:name w:val="footer"/>
    <w:basedOn w:val="Normal"/>
    <w:link w:val="PiedepginaCar"/>
    <w:uiPriority w:val="99"/>
    <w:unhideWhenUsed/>
    <w:rsid w:val="001C01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0136"/>
  </w:style>
  <w:style w:type="character" w:styleId="Hipervnculovisitado">
    <w:name w:val="FollowedHyperlink"/>
    <w:basedOn w:val="Fuentedeprrafopredeter"/>
    <w:uiPriority w:val="99"/>
    <w:semiHidden/>
    <w:unhideWhenUsed/>
    <w:rsid w:val="00D632B5"/>
    <w:rPr>
      <w:color w:val="800080" w:themeColor="followed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 TargetMode="External"/><Relationship Id="rId18" Type="http://schemas.openxmlformats.org/officeDocument/2006/relationships/hyperlink" Target="http://comunicacion@fotocasa.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rensa.fotocasa.es/crece-el-desequilibrio-en-el-mercado-del-alquiler-y-la-compra-la-demanda-quintuplica-a-la-oferta/" TargetMode="External"/><Relationship Id="rId17" Type="http://schemas.openxmlformats.org/officeDocument/2006/relationships/hyperlink" Target="https://www.fotocasa.es" TargetMode="External"/><Relationship Id="rId2" Type="http://schemas.openxmlformats.org/officeDocument/2006/relationships/styles" Target="styles.xml"/><Relationship Id="rId16" Type="http://schemas.openxmlformats.org/officeDocument/2006/relationships/hyperlink" Target="https://www.fotocasa.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earch.fotocasa.es/" TargetMode="External"/><Relationship Id="rId5" Type="http://schemas.openxmlformats.org/officeDocument/2006/relationships/footnotes" Target="footnotes.xml"/><Relationship Id="rId15" Type="http://schemas.openxmlformats.org/officeDocument/2006/relationships/hyperlink" Target="https://prensa.fotocasa.es/uno-de-cada-cuatro-compradores-que-buscaron-obra-nueva-tarda-mas-de-un-ano-en-adquirir-la-vivienda/" TargetMode="External"/><Relationship Id="rId10" Type="http://schemas.openxmlformats.org/officeDocument/2006/relationships/hyperlink" Target="https://www.fotocasa.es" TargetMode="External"/><Relationship Id="rId19"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s://research.fotocasa.es/" TargetMode="External"/><Relationship Id="rId14" Type="http://schemas.openxmlformats.org/officeDocument/2006/relationships/hyperlink" Target="https://prensa.fotocasa.es/el-20-de-los-compradores-de-vivienda-busca-exclusivamente-obra-nuev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10BtTDl5URDdvUN3PCW7tAMT0g==">CgMxLjA4AHIhMTVkd1hRMG9udlYtdkxsVmRGUFlrYjVGOXZoWXBfQVJk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7</cp:revision>
  <dcterms:created xsi:type="dcterms:W3CDTF">2022-05-27T10:04:00Z</dcterms:created>
  <dcterms:modified xsi:type="dcterms:W3CDTF">2023-12-15T08:40:00Z</dcterms:modified>
</cp:coreProperties>
</file>