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CDD20" w14:textId="77777777" w:rsidR="00A054B7" w:rsidRDefault="00000000">
      <w:r>
        <w:rPr>
          <w:noProof/>
        </w:rPr>
        <w:drawing>
          <wp:anchor distT="0" distB="0" distL="114300" distR="114300" simplePos="0" relativeHeight="251658240" behindDoc="0" locked="0" layoutInCell="1" hidden="0" allowOverlap="1" wp14:anchorId="295D30B9" wp14:editId="7722F0C3">
            <wp:simplePos x="0" y="0"/>
            <wp:positionH relativeFrom="column">
              <wp:posOffset>-1078857</wp:posOffset>
            </wp:positionH>
            <wp:positionV relativeFrom="paragraph">
              <wp:posOffset>-350445</wp:posOffset>
            </wp:positionV>
            <wp:extent cx="7581265" cy="1019175"/>
            <wp:effectExtent l="0" t="0" r="0" b="0"/>
            <wp:wrapNone/>
            <wp:docPr id="20526773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A5BFDAE" w14:textId="77777777" w:rsidR="00A054B7" w:rsidRDefault="00A054B7">
      <w:pPr>
        <w:jc w:val="right"/>
        <w:rPr>
          <w:rFonts w:ascii="National" w:eastAsia="National" w:hAnsi="National" w:cs="National"/>
          <w:color w:val="303AB2"/>
          <w:sz w:val="36"/>
          <w:szCs w:val="36"/>
        </w:rPr>
      </w:pPr>
    </w:p>
    <w:p w14:paraId="061FA2A7" w14:textId="77777777" w:rsidR="00A054B7" w:rsidRDefault="00A054B7">
      <w:pPr>
        <w:jc w:val="right"/>
        <w:rPr>
          <w:rFonts w:ascii="National" w:eastAsia="National" w:hAnsi="National" w:cs="National"/>
          <w:color w:val="303AB2"/>
          <w:sz w:val="36"/>
          <w:szCs w:val="36"/>
        </w:rPr>
      </w:pPr>
    </w:p>
    <w:p w14:paraId="06AF9B1E" w14:textId="77777777" w:rsidR="00A054B7" w:rsidRDefault="00A054B7">
      <w:pPr>
        <w:rPr>
          <w:rFonts w:ascii="National" w:eastAsia="National" w:hAnsi="National" w:cs="National"/>
          <w:color w:val="303AB2"/>
          <w:sz w:val="18"/>
          <w:szCs w:val="18"/>
        </w:rPr>
      </w:pPr>
    </w:p>
    <w:p w14:paraId="19DE7517" w14:textId="77777777" w:rsidR="00A054B7" w:rsidRDefault="00000000">
      <w:pPr>
        <w:spacing w:line="276" w:lineRule="auto"/>
        <w:jc w:val="center"/>
        <w:rPr>
          <w:rFonts w:ascii="National" w:eastAsia="National" w:hAnsi="National" w:cs="National"/>
          <w:b/>
          <w:color w:val="1DBDC5"/>
          <w:sz w:val="34"/>
          <w:szCs w:val="34"/>
        </w:rPr>
      </w:pPr>
      <w:r>
        <w:rPr>
          <w:rFonts w:ascii="National" w:eastAsia="National" w:hAnsi="National" w:cs="National"/>
          <w:b/>
          <w:color w:val="1DBDC5"/>
          <w:sz w:val="34"/>
          <w:szCs w:val="34"/>
        </w:rPr>
        <w:t>MERCADO HIPOTECARIO EN EL SEGUNDO SEMESTRE DE 2023</w:t>
      </w:r>
    </w:p>
    <w:p w14:paraId="063EA6C3" w14:textId="77777777" w:rsidR="00A054B7" w:rsidRDefault="00000000">
      <w:pPr>
        <w:spacing w:line="276" w:lineRule="auto"/>
        <w:ind w:right="4"/>
        <w:jc w:val="center"/>
        <w:rPr>
          <w:rFonts w:ascii="National" w:eastAsia="National" w:hAnsi="National" w:cs="National"/>
          <w:b/>
          <w:color w:val="303AB2"/>
          <w:sz w:val="48"/>
          <w:szCs w:val="48"/>
        </w:rPr>
      </w:pPr>
      <w:r>
        <w:rPr>
          <w:rFonts w:ascii="National" w:eastAsia="National" w:hAnsi="National" w:cs="National"/>
          <w:b/>
          <w:color w:val="303AB2"/>
          <w:sz w:val="48"/>
          <w:szCs w:val="48"/>
        </w:rPr>
        <w:t>El 10% de los que tienen hipotecas fijas provienen de variables o mixtas</w:t>
      </w:r>
    </w:p>
    <w:p w14:paraId="2C902B2E" w14:textId="77777777" w:rsidR="00A054B7" w:rsidRDefault="00A054B7">
      <w:pPr>
        <w:spacing w:line="276" w:lineRule="auto"/>
        <w:ind w:left="720" w:right="4"/>
        <w:jc w:val="both"/>
        <w:rPr>
          <w:rFonts w:ascii="Open Sans" w:eastAsia="Open Sans" w:hAnsi="Open Sans" w:cs="Open Sans"/>
        </w:rPr>
      </w:pPr>
    </w:p>
    <w:p w14:paraId="31D56139" w14:textId="77777777" w:rsidR="00A054B7"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 xml:space="preserve">Un 43 % de quienes han cambiado de tipo de hipoteca lo ha hecho con el mismo banco </w:t>
      </w:r>
    </w:p>
    <w:p w14:paraId="61FF958E" w14:textId="77777777" w:rsidR="00A054B7"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La hipoteca variable tiene más peso entre la población más mayor y la fija entre los segmentos más jóvenes</w:t>
      </w:r>
    </w:p>
    <w:p w14:paraId="25195E3A" w14:textId="77777777" w:rsidR="00A054B7"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El desconocimiento de la moratoria hipotecaria crece del 52% al 57% en seis meses</w:t>
      </w:r>
    </w:p>
    <w:p w14:paraId="5940914A" w14:textId="77777777" w:rsidR="00A054B7" w:rsidRDefault="00A054B7">
      <w:pPr>
        <w:spacing w:line="276" w:lineRule="auto"/>
        <w:ind w:right="4"/>
        <w:jc w:val="both"/>
        <w:rPr>
          <w:rFonts w:ascii="Open Sans" w:eastAsia="Open Sans" w:hAnsi="Open Sans" w:cs="Open Sans"/>
          <w:color w:val="303AB2"/>
        </w:rPr>
      </w:pPr>
    </w:p>
    <w:p w14:paraId="6EFFEAF4" w14:textId="1D66AAC5" w:rsidR="00A054B7" w:rsidRDefault="00000000">
      <w:pPr>
        <w:spacing w:line="276" w:lineRule="auto"/>
        <w:ind w:right="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14 de diciembre de 2023</w:t>
      </w:r>
    </w:p>
    <w:p w14:paraId="78CCDA91" w14:textId="77777777" w:rsidR="00732A60" w:rsidRPr="00732A60" w:rsidRDefault="00732A60">
      <w:pPr>
        <w:spacing w:line="276" w:lineRule="auto"/>
        <w:ind w:right="4"/>
        <w:jc w:val="both"/>
        <w:rPr>
          <w:rFonts w:ascii="Open Sans Light" w:eastAsia="Open Sans Light" w:hAnsi="Open Sans Light" w:cs="Open Sans Light"/>
          <w:b/>
          <w:color w:val="303AB2"/>
        </w:rPr>
      </w:pPr>
    </w:p>
    <w:p w14:paraId="6AE58295"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b/>
        </w:rPr>
        <w:t xml:space="preserve">Los españoles que están entre los 35 y 44 años son los que en mayor proporción tienen contratada una hipoteca: un 45% de ellos frente al 31% de la media general. </w:t>
      </w:r>
      <w:r>
        <w:rPr>
          <w:rFonts w:ascii="Open Sans" w:eastAsia="Open Sans" w:hAnsi="Open Sans" w:cs="Open Sans"/>
        </w:rPr>
        <w:t xml:space="preserve">El siguiente tramo de edad (45-54 años) se sitúa muy cerca con un 43% de población hipotecada. Son los últimos datos de una encuesta de </w:t>
      </w:r>
      <w:hyperlink r:id="rId9">
        <w:r>
          <w:rPr>
            <w:rFonts w:ascii="Open Sans" w:eastAsia="Open Sans" w:hAnsi="Open Sans" w:cs="Open Sans"/>
            <w:color w:val="1155CC"/>
            <w:u w:val="single"/>
          </w:rPr>
          <w:t xml:space="preserve">Fotocasa </w:t>
        </w:r>
        <w:proofErr w:type="spellStart"/>
        <w:r>
          <w:rPr>
            <w:rFonts w:ascii="Open Sans" w:eastAsia="Open Sans" w:hAnsi="Open Sans" w:cs="Open Sans"/>
            <w:color w:val="1155CC"/>
            <w:u w:val="single"/>
          </w:rPr>
          <w:t>Research</w:t>
        </w:r>
        <w:proofErr w:type="spellEnd"/>
      </w:hyperlink>
      <w:r>
        <w:rPr>
          <w:rFonts w:ascii="Open Sans" w:eastAsia="Open Sans" w:hAnsi="Open Sans" w:cs="Open Sans"/>
        </w:rPr>
        <w:t xml:space="preserve">  a partir de más de 5.000 entrevistas. </w:t>
      </w:r>
    </w:p>
    <w:p w14:paraId="01CF765C" w14:textId="77777777" w:rsidR="00A054B7" w:rsidRDefault="00A054B7">
      <w:pPr>
        <w:spacing w:line="276" w:lineRule="auto"/>
        <w:ind w:right="4"/>
        <w:jc w:val="both"/>
        <w:rPr>
          <w:rFonts w:ascii="Open Sans" w:eastAsia="Open Sans" w:hAnsi="Open Sans" w:cs="Open Sans"/>
        </w:rPr>
      </w:pPr>
    </w:p>
    <w:p w14:paraId="0EFC4E03"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En un escalón sensiblemente más bajo están el resto de los tramos de edad. Entre los 18 y los 24 años el porcentaje de personas que tienen hipoteca es del 17%; entre los 25 y los 34 años, el 24%; entre 55 y 75 años, el 23%. Y es que, como es lógico, contar con una hipoteca está muy relacionado con el momento de la vida, de manera que tanto en edades tempranas como en las más avanzadas se reduce el número de personas que tiene contratada una.</w:t>
      </w:r>
    </w:p>
    <w:p w14:paraId="0049917A" w14:textId="77777777" w:rsidR="00A054B7" w:rsidRDefault="00A054B7">
      <w:pPr>
        <w:spacing w:line="276" w:lineRule="auto"/>
        <w:ind w:right="4"/>
        <w:jc w:val="both"/>
        <w:rPr>
          <w:rFonts w:ascii="Open Sans" w:eastAsia="Open Sans" w:hAnsi="Open Sans" w:cs="Open Sans"/>
        </w:rPr>
      </w:pPr>
    </w:p>
    <w:p w14:paraId="215EAB45"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 xml:space="preserve">Al observar el comportamiento de los hipotecados por tramos de edad, se advierte, además, que respecto a la medición </w:t>
      </w:r>
      <w:r>
        <w:rPr>
          <w:rFonts w:ascii="Open Sans" w:eastAsia="Open Sans" w:hAnsi="Open Sans" w:cs="Open Sans"/>
          <w:b/>
        </w:rPr>
        <w:t>anterior se ha incrementado el porcentaje de los que tienen firmado uno de estos contratos entre los más jóvenes (18-24 años), que pasan del 13% al 17%, un aumento de cuatro puntos</w:t>
      </w:r>
      <w:r>
        <w:rPr>
          <w:rFonts w:ascii="Open Sans" w:eastAsia="Open Sans" w:hAnsi="Open Sans" w:cs="Open Sans"/>
        </w:rPr>
        <w:t xml:space="preserve">. También aumentan, en este caso levemente, los hipotecados de más </w:t>
      </w:r>
      <w:r>
        <w:rPr>
          <w:rFonts w:ascii="Open Sans" w:eastAsia="Open Sans" w:hAnsi="Open Sans" w:cs="Open Sans"/>
        </w:rPr>
        <w:lastRenderedPageBreak/>
        <w:t>edad (del 22% al 23%). El resto de los grupos se mantiene en los mismos dígitos o muy cercanos.</w:t>
      </w:r>
    </w:p>
    <w:p w14:paraId="567F901B" w14:textId="77777777" w:rsidR="00732A60" w:rsidRDefault="00732A60">
      <w:pPr>
        <w:spacing w:line="276" w:lineRule="auto"/>
        <w:ind w:right="4"/>
        <w:jc w:val="both"/>
        <w:rPr>
          <w:rFonts w:ascii="Open Sans" w:eastAsia="Open Sans" w:hAnsi="Open Sans" w:cs="Open Sans"/>
        </w:rPr>
      </w:pPr>
    </w:p>
    <w:p w14:paraId="47DD4784" w14:textId="77777777" w:rsidR="00A054B7" w:rsidRDefault="00000000">
      <w:pPr>
        <w:spacing w:line="276" w:lineRule="auto"/>
        <w:ind w:right="4"/>
        <w:jc w:val="both"/>
        <w:rPr>
          <w:rFonts w:ascii="Open Sans" w:eastAsia="Open Sans" w:hAnsi="Open Sans" w:cs="Open Sans"/>
        </w:rPr>
      </w:pPr>
      <w:r>
        <w:rPr>
          <w:noProof/>
        </w:rPr>
        <w:drawing>
          <wp:inline distT="0" distB="0" distL="0" distR="0" wp14:anchorId="127B5497" wp14:editId="2068E020">
            <wp:extent cx="5620703" cy="3396293"/>
            <wp:effectExtent l="0" t="0" r="0" b="0"/>
            <wp:docPr id="2052677331" name="image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Descripción generada automáticamente"/>
                    <pic:cNvPicPr preferRelativeResize="0"/>
                  </pic:nvPicPr>
                  <pic:blipFill>
                    <a:blip r:embed="rId10"/>
                    <a:srcRect l="7036" t="6175" r="7338" b="7588"/>
                    <a:stretch>
                      <a:fillRect/>
                    </a:stretch>
                  </pic:blipFill>
                  <pic:spPr>
                    <a:xfrm>
                      <a:off x="0" y="0"/>
                      <a:ext cx="5620703" cy="3396293"/>
                    </a:xfrm>
                    <a:prstGeom prst="rect">
                      <a:avLst/>
                    </a:prstGeom>
                    <a:ln/>
                  </pic:spPr>
                </pic:pic>
              </a:graphicData>
            </a:graphic>
          </wp:inline>
        </w:drawing>
      </w:r>
    </w:p>
    <w:p w14:paraId="10580FE6" w14:textId="77777777" w:rsidR="00732A60" w:rsidRDefault="00732A60">
      <w:pPr>
        <w:spacing w:line="276" w:lineRule="auto"/>
        <w:ind w:right="4"/>
        <w:jc w:val="both"/>
        <w:rPr>
          <w:rFonts w:ascii="Open Sans" w:eastAsia="Open Sans" w:hAnsi="Open Sans" w:cs="Open Sans"/>
        </w:rPr>
      </w:pPr>
    </w:p>
    <w:p w14:paraId="0F0D65D4" w14:textId="0DA865DA" w:rsidR="00A054B7"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Por otra parte, el tipo de hipoteca a contratar también guarda relación con la edad. Así, </w:t>
      </w:r>
      <w:r>
        <w:rPr>
          <w:rFonts w:ascii="Open Sans" w:eastAsia="Open Sans" w:hAnsi="Open Sans" w:cs="Open Sans"/>
          <w:b/>
        </w:rPr>
        <w:t>las hipotecas variables son mayoría entre los mayores de 35 años mientras que los más jóvenes optan en mayor medida por las hipotecas a tipo fijo.</w:t>
      </w:r>
    </w:p>
    <w:p w14:paraId="10082573" w14:textId="77777777" w:rsidR="00A054B7" w:rsidRDefault="00A054B7">
      <w:pPr>
        <w:spacing w:line="276" w:lineRule="auto"/>
        <w:ind w:right="4"/>
        <w:jc w:val="both"/>
        <w:rPr>
          <w:rFonts w:ascii="Open Sans" w:eastAsia="Open Sans" w:hAnsi="Open Sans" w:cs="Open Sans"/>
        </w:rPr>
      </w:pPr>
    </w:p>
    <w:p w14:paraId="23915F6E"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 xml:space="preserve">Así, se observa que en el segmento de edad </w:t>
      </w:r>
      <w:r>
        <w:rPr>
          <w:rFonts w:ascii="Open Sans" w:eastAsia="Open Sans" w:hAnsi="Open Sans" w:cs="Open Sans"/>
          <w:b/>
        </w:rPr>
        <w:t>entre los 25 y los 34 años son muchos más los que tienen firmada una hipoteca a tipo fijo que a tipo variable</w:t>
      </w:r>
      <w:r>
        <w:rPr>
          <w:rFonts w:ascii="Open Sans" w:eastAsia="Open Sans" w:hAnsi="Open Sans" w:cs="Open Sans"/>
        </w:rPr>
        <w:t xml:space="preserve"> (14% frente al 7%), mientras que entre los que cuentan entre 35 y 44 la relación es la inversa (27% tienen firmadas hipotecas a tipo variable, y el 18% de tipo fijo).</w:t>
      </w:r>
    </w:p>
    <w:p w14:paraId="1B06D0B6" w14:textId="77777777" w:rsidR="00A054B7" w:rsidRDefault="00A054B7">
      <w:pPr>
        <w:spacing w:line="276" w:lineRule="auto"/>
        <w:ind w:right="4"/>
        <w:jc w:val="both"/>
        <w:rPr>
          <w:rFonts w:ascii="Open Sans" w:eastAsia="Open Sans" w:hAnsi="Open Sans" w:cs="Open Sans"/>
        </w:rPr>
      </w:pPr>
    </w:p>
    <w:p w14:paraId="6F81901C"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 xml:space="preserve">Estos datos guardan relación con la evolución de las hipotecas en el mercado: teniendo en cuenta los largos plazos de estos créditos (24 años de media de acuerdo con el último dato del INE), es fácil entender que </w:t>
      </w:r>
      <w:r>
        <w:rPr>
          <w:rFonts w:ascii="Open Sans" w:eastAsia="Open Sans" w:hAnsi="Open Sans" w:cs="Open Sans"/>
          <w:b/>
        </w:rPr>
        <w:t xml:space="preserve">entre los tramos de mayor edad hay mucha gente todavía pagando las hipotecas mayoritarias en el mercado hasta hace una década </w:t>
      </w:r>
      <w:r>
        <w:rPr>
          <w:rFonts w:ascii="Open Sans" w:eastAsia="Open Sans" w:hAnsi="Open Sans" w:cs="Open Sans"/>
        </w:rPr>
        <w:t>(las variables), mientras que entre los más jóvenes tienen más protagonismo las que han ganado peso desde entonces (las fijas).</w:t>
      </w:r>
    </w:p>
    <w:p w14:paraId="588272A3" w14:textId="77777777" w:rsidR="00A054B7" w:rsidRDefault="00A054B7">
      <w:pPr>
        <w:spacing w:line="276" w:lineRule="auto"/>
        <w:ind w:right="4"/>
        <w:jc w:val="both"/>
        <w:rPr>
          <w:rFonts w:ascii="Open Sans" w:eastAsia="Open Sans" w:hAnsi="Open Sans" w:cs="Open Sans"/>
        </w:rPr>
      </w:pPr>
    </w:p>
    <w:p w14:paraId="5E6DCD14" w14:textId="77777777" w:rsidR="00A054B7" w:rsidRDefault="00000000">
      <w:pPr>
        <w:spacing w:line="276" w:lineRule="auto"/>
        <w:ind w:right="4"/>
        <w:jc w:val="both"/>
        <w:rPr>
          <w:rFonts w:ascii="Open Sans" w:eastAsia="Open Sans" w:hAnsi="Open Sans" w:cs="Open Sans"/>
        </w:rPr>
      </w:pPr>
      <w:r>
        <w:rPr>
          <w:noProof/>
        </w:rPr>
        <w:lastRenderedPageBreak/>
        <w:drawing>
          <wp:inline distT="0" distB="0" distL="0" distR="0" wp14:anchorId="726AF919" wp14:editId="0CE32D3F">
            <wp:extent cx="5760720" cy="3458210"/>
            <wp:effectExtent l="0" t="0" r="0" b="0"/>
            <wp:docPr id="2052677330" name="image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Descripción generada automáticamente"/>
                    <pic:cNvPicPr preferRelativeResize="0"/>
                  </pic:nvPicPr>
                  <pic:blipFill>
                    <a:blip r:embed="rId11"/>
                    <a:srcRect/>
                    <a:stretch>
                      <a:fillRect/>
                    </a:stretch>
                  </pic:blipFill>
                  <pic:spPr>
                    <a:xfrm>
                      <a:off x="0" y="0"/>
                      <a:ext cx="5760720" cy="3458210"/>
                    </a:xfrm>
                    <a:prstGeom prst="rect">
                      <a:avLst/>
                    </a:prstGeom>
                    <a:ln/>
                  </pic:spPr>
                </pic:pic>
              </a:graphicData>
            </a:graphic>
          </wp:inline>
        </w:drawing>
      </w:r>
    </w:p>
    <w:p w14:paraId="356166C9" w14:textId="77777777" w:rsidR="00A054B7" w:rsidRDefault="00A054B7">
      <w:pPr>
        <w:spacing w:line="276" w:lineRule="auto"/>
        <w:ind w:right="4"/>
        <w:jc w:val="both"/>
        <w:rPr>
          <w:rFonts w:ascii="Open Sans" w:eastAsia="Open Sans" w:hAnsi="Open Sans" w:cs="Open Sans"/>
        </w:rPr>
      </w:pPr>
    </w:p>
    <w:p w14:paraId="74B103C9" w14:textId="77777777" w:rsidR="00A054B7" w:rsidRPr="00732A60" w:rsidRDefault="00000000">
      <w:pPr>
        <w:spacing w:line="276" w:lineRule="auto"/>
        <w:ind w:right="4"/>
        <w:jc w:val="both"/>
        <w:rPr>
          <w:rFonts w:ascii="Open Sans Light" w:eastAsia="Open Sans Light" w:hAnsi="Open Sans Light" w:cs="Open Sans Light"/>
          <w:b/>
          <w:color w:val="303AB2"/>
          <w:sz w:val="28"/>
          <w:szCs w:val="28"/>
        </w:rPr>
      </w:pPr>
      <w:r w:rsidRPr="00732A60">
        <w:rPr>
          <w:rFonts w:ascii="Open Sans Light" w:eastAsia="Open Sans Light" w:hAnsi="Open Sans Light" w:cs="Open Sans Light"/>
          <w:b/>
          <w:color w:val="303AB2"/>
          <w:sz w:val="28"/>
          <w:szCs w:val="28"/>
        </w:rPr>
        <w:t>Uno de cada diez hipotecados a tipo fijo antes tenía variable o mixta</w:t>
      </w:r>
    </w:p>
    <w:p w14:paraId="7DBB6510" w14:textId="77777777" w:rsidR="00732A60" w:rsidRDefault="00732A60">
      <w:pPr>
        <w:spacing w:line="276" w:lineRule="auto"/>
        <w:ind w:right="4"/>
        <w:jc w:val="both"/>
        <w:rPr>
          <w:rFonts w:ascii="Open Sans" w:eastAsia="Open Sans" w:hAnsi="Open Sans" w:cs="Open Sans"/>
        </w:rPr>
      </w:pPr>
    </w:p>
    <w:p w14:paraId="45EB1CE5" w14:textId="76C8503E" w:rsidR="00A054B7"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El panorama descrito anteriormente no solo responde a la elección que los particulares hipotecados hicieron al contratar su crédito. </w:t>
      </w:r>
      <w:r>
        <w:rPr>
          <w:rFonts w:ascii="Open Sans" w:eastAsia="Open Sans" w:hAnsi="Open Sans" w:cs="Open Sans"/>
          <w:b/>
        </w:rPr>
        <w:t>El escenario de subidas de tipos de interés y, en consecuencia, de incremento de los costes hipotecarios para quienes están a tipo variable o mixto también está provocando movimientos en busca de una mayor seguridad y unos costes más bajos.</w:t>
      </w:r>
    </w:p>
    <w:p w14:paraId="67C0662A" w14:textId="77777777" w:rsidR="00A054B7" w:rsidRDefault="00A054B7">
      <w:pPr>
        <w:spacing w:line="276" w:lineRule="auto"/>
        <w:ind w:right="4"/>
        <w:jc w:val="both"/>
        <w:rPr>
          <w:rFonts w:ascii="Open Sans" w:eastAsia="Open Sans" w:hAnsi="Open Sans" w:cs="Open Sans"/>
        </w:rPr>
      </w:pPr>
    </w:p>
    <w:p w14:paraId="5B1C4574" w14:textId="77777777" w:rsidR="00A054B7"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De este modo, el movimiento más relevante en términos absolutos se está produciendo hacia la hipoteca fija. </w:t>
      </w:r>
      <w:r>
        <w:rPr>
          <w:rFonts w:ascii="Open Sans" w:eastAsia="Open Sans" w:hAnsi="Open Sans" w:cs="Open Sans"/>
          <w:b/>
        </w:rPr>
        <w:t xml:space="preserve">El 10% de quienes tienen un crédito de este tipo tenía hace un año una hipoteca variable o mixta. </w:t>
      </w:r>
    </w:p>
    <w:p w14:paraId="66A15811" w14:textId="77777777" w:rsidR="00A054B7" w:rsidRDefault="00A054B7">
      <w:pPr>
        <w:spacing w:line="276" w:lineRule="auto"/>
        <w:ind w:right="4"/>
        <w:jc w:val="both"/>
        <w:rPr>
          <w:rFonts w:ascii="Open Sans" w:eastAsia="Open Sans" w:hAnsi="Open Sans" w:cs="Open Sans"/>
          <w:b/>
        </w:rPr>
      </w:pPr>
    </w:p>
    <w:p w14:paraId="56BC77B7" w14:textId="77777777" w:rsidR="00A054B7" w:rsidRPr="00732A60" w:rsidRDefault="00000000">
      <w:pPr>
        <w:spacing w:line="276" w:lineRule="auto"/>
        <w:ind w:right="4"/>
        <w:jc w:val="both"/>
        <w:rPr>
          <w:rFonts w:ascii="Open Sans" w:eastAsia="Open Sans" w:hAnsi="Open Sans" w:cs="Open Sans"/>
          <w:b/>
          <w:bCs/>
        </w:rPr>
      </w:pPr>
      <w:r>
        <w:rPr>
          <w:rFonts w:ascii="Open Sans" w:eastAsia="Open Sans" w:hAnsi="Open Sans" w:cs="Open Sans"/>
        </w:rPr>
        <w:t xml:space="preserve">“Las novaciones y subrogaciones están a la orden del día desde que en 2022 el Euríbor comenzó a escalar. El cambio a tipo fijo es un reflejo de la preocupación de los ciudadanos porque el índice siga aumentando y tener que enfrentarse a un posible encarecimiento de la cuota en un futuro. Además, las ofertas de las entidades financieras hacen que el tipo variable sea más atractivo que el fijo en estos momentos. Pero lo que más llama la atención es el poco impacto que está teniendo el Código de Buenas Prácticas al que pueden acogerse los colectivos vulnerables y que no lo están haciendo por falta de información y </w:t>
      </w:r>
      <w:r>
        <w:rPr>
          <w:rFonts w:ascii="Open Sans" w:eastAsia="Open Sans" w:hAnsi="Open Sans" w:cs="Open Sans"/>
        </w:rPr>
        <w:lastRenderedPageBreak/>
        <w:t xml:space="preserve">desconocimiento”, comenta </w:t>
      </w:r>
      <w:r w:rsidRPr="00732A60">
        <w:rPr>
          <w:rFonts w:ascii="Open Sans" w:eastAsia="Open Sans" w:hAnsi="Open Sans" w:cs="Open Sans"/>
          <w:b/>
          <w:bCs/>
        </w:rPr>
        <w:t xml:space="preserve">María Matos, directora de Estudios y portavoz de </w:t>
      </w:r>
      <w:hyperlink r:id="rId12">
        <w:r w:rsidRPr="00732A60">
          <w:rPr>
            <w:rFonts w:ascii="Open Sans" w:eastAsia="Open Sans" w:hAnsi="Open Sans" w:cs="Open Sans"/>
            <w:b/>
            <w:bCs/>
            <w:color w:val="1155CC"/>
            <w:u w:val="single"/>
          </w:rPr>
          <w:t>Fotocasa</w:t>
        </w:r>
      </w:hyperlink>
      <w:r w:rsidRPr="00732A60">
        <w:rPr>
          <w:rFonts w:ascii="Open Sans" w:eastAsia="Open Sans" w:hAnsi="Open Sans" w:cs="Open Sans"/>
          <w:b/>
          <w:bCs/>
        </w:rPr>
        <w:t>.</w:t>
      </w:r>
    </w:p>
    <w:p w14:paraId="174984C5" w14:textId="77777777" w:rsidR="00A054B7" w:rsidRDefault="00A054B7">
      <w:pPr>
        <w:spacing w:line="276" w:lineRule="auto"/>
        <w:ind w:right="4"/>
        <w:jc w:val="both"/>
        <w:rPr>
          <w:rFonts w:ascii="Open Sans" w:eastAsia="Open Sans" w:hAnsi="Open Sans" w:cs="Open Sans"/>
        </w:rPr>
      </w:pPr>
    </w:p>
    <w:p w14:paraId="7A773282"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Aunque en volumen, la cifra sea inferior, en términos porcentuales es incluso más llamativo el movimiento que se ha producido hacia la hipoteca mixta, ya que el 14% de quienes tienen un crédito de este tipo tenía hasta hace un año una variable. Otro 6% proviene de una fija.</w:t>
      </w:r>
    </w:p>
    <w:p w14:paraId="49D9A73A" w14:textId="77777777" w:rsidR="00A054B7" w:rsidRDefault="00A054B7">
      <w:pPr>
        <w:spacing w:line="276" w:lineRule="auto"/>
        <w:ind w:right="4"/>
        <w:jc w:val="both"/>
        <w:rPr>
          <w:rFonts w:ascii="Open Sans" w:eastAsia="Open Sans" w:hAnsi="Open Sans" w:cs="Open Sans"/>
        </w:rPr>
      </w:pPr>
    </w:p>
    <w:p w14:paraId="3DF13B9B" w14:textId="77777777" w:rsidR="00A054B7" w:rsidRDefault="00000000">
      <w:pPr>
        <w:spacing w:line="276" w:lineRule="auto"/>
        <w:ind w:right="4"/>
        <w:jc w:val="both"/>
        <w:rPr>
          <w:rFonts w:ascii="Open Sans" w:eastAsia="Open Sans" w:hAnsi="Open Sans" w:cs="Open Sans"/>
        </w:rPr>
      </w:pPr>
      <w:r>
        <w:rPr>
          <w:noProof/>
        </w:rPr>
        <w:drawing>
          <wp:inline distT="0" distB="0" distL="0" distR="0" wp14:anchorId="024B726D" wp14:editId="23717D57">
            <wp:extent cx="5658803" cy="3245048"/>
            <wp:effectExtent l="0" t="0" r="0" b="0"/>
            <wp:docPr id="2052677333" name="image5.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Diagrama&#10;&#10;Descripción generada automáticamente"/>
                    <pic:cNvPicPr preferRelativeResize="0"/>
                  </pic:nvPicPr>
                  <pic:blipFill>
                    <a:blip r:embed="rId13"/>
                    <a:srcRect l="2247" t="5105" r="4366" b="5645"/>
                    <a:stretch>
                      <a:fillRect/>
                    </a:stretch>
                  </pic:blipFill>
                  <pic:spPr>
                    <a:xfrm>
                      <a:off x="0" y="0"/>
                      <a:ext cx="5658803" cy="3245048"/>
                    </a:xfrm>
                    <a:prstGeom prst="rect">
                      <a:avLst/>
                    </a:prstGeom>
                    <a:ln/>
                  </pic:spPr>
                </pic:pic>
              </a:graphicData>
            </a:graphic>
          </wp:inline>
        </w:drawing>
      </w:r>
    </w:p>
    <w:p w14:paraId="6A88737C" w14:textId="77777777" w:rsidR="00A054B7" w:rsidRDefault="00A054B7">
      <w:pPr>
        <w:spacing w:line="276" w:lineRule="auto"/>
        <w:ind w:right="4"/>
        <w:jc w:val="both"/>
        <w:rPr>
          <w:rFonts w:ascii="Open Sans" w:eastAsia="Open Sans" w:hAnsi="Open Sans" w:cs="Open Sans"/>
        </w:rPr>
      </w:pPr>
    </w:p>
    <w:p w14:paraId="0FC35582"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 xml:space="preserve">Podemos por tanto concluir que </w:t>
      </w:r>
      <w:r>
        <w:rPr>
          <w:rFonts w:ascii="Open Sans" w:eastAsia="Open Sans" w:hAnsi="Open Sans" w:cs="Open Sans"/>
          <w:b/>
        </w:rPr>
        <w:t>hay bastante movimiento entre las personas hipotecadas a tipo variable para buscar soluciones al aumento de los costes que conlleva el actual escenario con el euríbor en niveles superiores al 4%.</w:t>
      </w:r>
      <w:r>
        <w:rPr>
          <w:rFonts w:ascii="Open Sans" w:eastAsia="Open Sans" w:hAnsi="Open Sans" w:cs="Open Sans"/>
        </w:rPr>
        <w:t xml:space="preserve"> De hecho, entre quienes siguen teniendo una hipoteca variable hay un 11% que ha intentado cambiarla, pero no lo ha conseguido y un 14% que tiene intención de hacerlo en el futuro. </w:t>
      </w:r>
    </w:p>
    <w:p w14:paraId="53B4208F" w14:textId="77777777" w:rsidR="00A054B7" w:rsidRDefault="00A054B7">
      <w:pPr>
        <w:spacing w:line="276" w:lineRule="auto"/>
        <w:ind w:right="4"/>
        <w:jc w:val="both"/>
        <w:rPr>
          <w:rFonts w:ascii="Open Sans" w:eastAsia="Open Sans" w:hAnsi="Open Sans" w:cs="Open Sans"/>
        </w:rPr>
      </w:pPr>
    </w:p>
    <w:p w14:paraId="405200F7" w14:textId="77777777" w:rsidR="00A054B7" w:rsidRDefault="00000000">
      <w:pPr>
        <w:spacing w:line="276" w:lineRule="auto"/>
        <w:ind w:right="4"/>
        <w:jc w:val="both"/>
        <w:rPr>
          <w:rFonts w:ascii="Open Sans Light" w:eastAsia="Open Sans Light" w:hAnsi="Open Sans Light" w:cs="Open Sans Light"/>
          <w:b/>
          <w:color w:val="303AB2"/>
        </w:rPr>
      </w:pPr>
      <w:r>
        <w:rPr>
          <w:rFonts w:ascii="Open Sans" w:eastAsia="Open Sans" w:hAnsi="Open Sans" w:cs="Open Sans"/>
          <w:b/>
        </w:rPr>
        <w:t>Entre quienes tienen una mixta, la intención de cambio es incluso mayor: un 17% de ellos lo ha intentado, pero no lo ha conseguido y otro 23% pretende cambiarla</w:t>
      </w:r>
      <w:r>
        <w:rPr>
          <w:rFonts w:ascii="Open Sans" w:eastAsia="Open Sans" w:hAnsi="Open Sans" w:cs="Open Sans"/>
        </w:rPr>
        <w:t xml:space="preserve">. Este proceso de cambio de tipo de hipoteca tiene como interlocutores necesarios a los bancos. Un 43% de quienes han modificado la tipología de su hipoteca en los últimos doce meses lo hicieron sin cambiar de entidad financiera. Otro 35 % sí que tuvo que cambiar de banco para poder llevarlo a cabo. Y el 22% </w:t>
      </w:r>
      <w:r>
        <w:rPr>
          <w:rFonts w:ascii="Open Sans" w:eastAsia="Open Sans" w:hAnsi="Open Sans" w:cs="Open Sans"/>
        </w:rPr>
        <w:lastRenderedPageBreak/>
        <w:t>restante cambió de banco, pese a que podía haberlo hecho con el suyo, porque le ofrecían mejores condiciones u otros motivos personales.</w:t>
      </w:r>
    </w:p>
    <w:p w14:paraId="24A80FC6" w14:textId="77777777" w:rsidR="00732A60" w:rsidRDefault="00732A60">
      <w:pPr>
        <w:spacing w:line="276" w:lineRule="auto"/>
        <w:ind w:right="4"/>
        <w:jc w:val="both"/>
        <w:rPr>
          <w:rFonts w:ascii="Open Sans Light" w:eastAsia="Open Sans Light" w:hAnsi="Open Sans Light" w:cs="Open Sans Light"/>
          <w:b/>
          <w:color w:val="303AB2"/>
        </w:rPr>
      </w:pPr>
    </w:p>
    <w:p w14:paraId="24FBD69A" w14:textId="19211179" w:rsidR="00A054B7" w:rsidRPr="00732A60" w:rsidRDefault="00000000">
      <w:pPr>
        <w:spacing w:line="276" w:lineRule="auto"/>
        <w:ind w:right="4"/>
        <w:jc w:val="both"/>
        <w:rPr>
          <w:rFonts w:ascii="Open Sans Light" w:eastAsia="Open Sans Light" w:hAnsi="Open Sans Light" w:cs="Open Sans Light"/>
          <w:b/>
          <w:color w:val="303AB2"/>
          <w:sz w:val="28"/>
          <w:szCs w:val="28"/>
        </w:rPr>
      </w:pPr>
      <w:r w:rsidRPr="00732A60">
        <w:rPr>
          <w:rFonts w:ascii="Open Sans Light" w:eastAsia="Open Sans Light" w:hAnsi="Open Sans Light" w:cs="Open Sans Light"/>
          <w:b/>
          <w:color w:val="303AB2"/>
          <w:sz w:val="28"/>
          <w:szCs w:val="28"/>
        </w:rPr>
        <w:t>Aumenta el desconocimiento de las moratorias</w:t>
      </w:r>
    </w:p>
    <w:p w14:paraId="6C64A7BC" w14:textId="77777777" w:rsidR="00A054B7" w:rsidRDefault="00A054B7">
      <w:pPr>
        <w:spacing w:line="276" w:lineRule="auto"/>
        <w:ind w:right="4"/>
        <w:jc w:val="both"/>
        <w:rPr>
          <w:rFonts w:ascii="Open Sans" w:eastAsia="Open Sans" w:hAnsi="Open Sans" w:cs="Open Sans"/>
        </w:rPr>
      </w:pPr>
    </w:p>
    <w:p w14:paraId="6C83D6AC"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 xml:space="preserve">Al margen del cambio de tipología hipotecaria, </w:t>
      </w:r>
      <w:r>
        <w:rPr>
          <w:rFonts w:ascii="Open Sans" w:eastAsia="Open Sans" w:hAnsi="Open Sans" w:cs="Open Sans"/>
          <w:b/>
        </w:rPr>
        <w:t>el incremento de las cuotas crediticias tiene otra respuesta mediante la moratoria hipotecaria, una solución impulsada desde el Gobierno en noviembre de 2022</w:t>
      </w:r>
      <w:r>
        <w:rPr>
          <w:rFonts w:ascii="Open Sans" w:eastAsia="Open Sans" w:hAnsi="Open Sans" w:cs="Open Sans"/>
        </w:rPr>
        <w:t xml:space="preserve"> y suscrita por las entidades financieras que, sin embargo, apenas es conocida por los potenciales beneficiarios. Así, solo el 43% de los particulares mayores de 18 años ha oído hablar de ella, una cifra sensiblemente inferior al 48 % registrado apenas seis meses antes. </w:t>
      </w:r>
    </w:p>
    <w:p w14:paraId="18CF7C99" w14:textId="77777777" w:rsidR="00A054B7" w:rsidRDefault="00A054B7">
      <w:pPr>
        <w:spacing w:line="276" w:lineRule="auto"/>
        <w:ind w:right="4"/>
        <w:jc w:val="both"/>
        <w:rPr>
          <w:rFonts w:ascii="Open Sans" w:eastAsia="Open Sans" w:hAnsi="Open Sans" w:cs="Open Sans"/>
        </w:rPr>
      </w:pPr>
    </w:p>
    <w:p w14:paraId="6AEBB3A6"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b/>
        </w:rPr>
        <w:t>Esta reducción del conocimiento es entre los mayores de 45 años, y para los ciudadanos de Madrid y Comunidad Valenciana</w:t>
      </w:r>
      <w:r>
        <w:rPr>
          <w:rFonts w:ascii="Open Sans" w:eastAsia="Open Sans" w:hAnsi="Open Sans" w:cs="Open Sans"/>
        </w:rPr>
        <w:t xml:space="preserve">, donde la moratoria es especialmente poco conocida (en este territorio únicamente son conscientes de la medida el 39 % de los consultados). </w:t>
      </w:r>
    </w:p>
    <w:p w14:paraId="6F57DEBD" w14:textId="77777777" w:rsidR="00A054B7" w:rsidRDefault="00A054B7">
      <w:pPr>
        <w:spacing w:line="276" w:lineRule="auto"/>
        <w:ind w:right="4"/>
        <w:jc w:val="both"/>
        <w:rPr>
          <w:rFonts w:ascii="Open Sans" w:eastAsia="Open Sans" w:hAnsi="Open Sans" w:cs="Open Sans"/>
        </w:rPr>
      </w:pPr>
    </w:p>
    <w:p w14:paraId="1908E72F"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Coincidiendo con su menor participación en el mercado hipotecario, los jóvenes de 18 a 34 años son los que más desconocen la medida (entre el 70% y el 72%).</w:t>
      </w:r>
    </w:p>
    <w:p w14:paraId="0599A68F" w14:textId="77777777" w:rsidR="00A054B7" w:rsidRDefault="00A054B7">
      <w:pPr>
        <w:spacing w:line="276" w:lineRule="auto"/>
        <w:ind w:right="4"/>
        <w:jc w:val="both"/>
        <w:rPr>
          <w:rFonts w:ascii="Open Sans" w:eastAsia="Open Sans" w:hAnsi="Open Sans" w:cs="Open Sans"/>
        </w:rPr>
      </w:pPr>
    </w:p>
    <w:p w14:paraId="72975D11" w14:textId="77777777" w:rsidR="00A054B7" w:rsidRDefault="00000000">
      <w:pPr>
        <w:spacing w:line="276" w:lineRule="auto"/>
        <w:ind w:right="4"/>
        <w:jc w:val="both"/>
        <w:rPr>
          <w:rFonts w:ascii="Open Sans" w:eastAsia="Open Sans" w:hAnsi="Open Sans" w:cs="Open Sans"/>
        </w:rPr>
      </w:pPr>
      <w:r>
        <w:rPr>
          <w:noProof/>
        </w:rPr>
        <w:drawing>
          <wp:inline distT="0" distB="0" distL="0" distR="0" wp14:anchorId="53E23FDC" wp14:editId="29B8AFD1">
            <wp:extent cx="5781675" cy="3519490"/>
            <wp:effectExtent l="0" t="0" r="0" b="0"/>
            <wp:docPr id="2052677332"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14"/>
                    <a:srcRect l="5553" t="4274"/>
                    <a:stretch>
                      <a:fillRect/>
                    </a:stretch>
                  </pic:blipFill>
                  <pic:spPr>
                    <a:xfrm>
                      <a:off x="0" y="0"/>
                      <a:ext cx="5781675" cy="3519490"/>
                    </a:xfrm>
                    <a:prstGeom prst="rect">
                      <a:avLst/>
                    </a:prstGeom>
                    <a:ln/>
                  </pic:spPr>
                </pic:pic>
              </a:graphicData>
            </a:graphic>
          </wp:inline>
        </w:drawing>
      </w:r>
    </w:p>
    <w:p w14:paraId="33DA39F5" w14:textId="77777777" w:rsidR="00A054B7" w:rsidRDefault="00A054B7">
      <w:pPr>
        <w:spacing w:line="276" w:lineRule="auto"/>
        <w:ind w:right="4"/>
        <w:jc w:val="both"/>
        <w:rPr>
          <w:rFonts w:ascii="Open Sans" w:eastAsia="Open Sans" w:hAnsi="Open Sans" w:cs="Open Sans"/>
        </w:rPr>
      </w:pPr>
    </w:p>
    <w:p w14:paraId="4BE6710A"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b/>
        </w:rPr>
        <w:lastRenderedPageBreak/>
        <w:t>En cuanto a la intención de acogerse a la moratoria, más de 7 de cada 10 personas con hipoteca fija o variable y conocedoras del acuerdo de moratoria, no se han acogido a ella ni planean hacerlo en el futuro</w:t>
      </w:r>
      <w:r>
        <w:rPr>
          <w:rFonts w:ascii="Open Sans" w:eastAsia="Open Sans" w:hAnsi="Open Sans" w:cs="Open Sans"/>
        </w:rPr>
        <w:t>. Porcentualmente, este colectivo supone el 76%, cuatro puntos más que en febrero, cuando eran el 72%.</w:t>
      </w:r>
    </w:p>
    <w:p w14:paraId="628B6B6A" w14:textId="77777777" w:rsidR="00A054B7" w:rsidRDefault="00A054B7">
      <w:pPr>
        <w:spacing w:line="276" w:lineRule="auto"/>
        <w:ind w:right="4"/>
        <w:jc w:val="both"/>
        <w:rPr>
          <w:rFonts w:ascii="Open Sans" w:eastAsia="Open Sans" w:hAnsi="Open Sans" w:cs="Open Sans"/>
        </w:rPr>
      </w:pPr>
    </w:p>
    <w:p w14:paraId="19A4B919"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rPr>
        <w:t>hay un 11% de personas dentro de este colectivo (tiene hipoteca variable o mixta y conoce el acuerdo) que sí que ha solicitado acogerse a la moratoria.</w:t>
      </w:r>
      <w:r>
        <w:rPr>
          <w:rFonts w:ascii="Open Sans" w:eastAsia="Open Sans" w:hAnsi="Open Sans" w:cs="Open Sans"/>
        </w:rPr>
        <w:t xml:space="preserve"> Este porcentaje es el resultante de sumar a quienes ya están acogidos a la medida (1%), a quienes se lo han concedido, pero todavía no están disfrutando los beneficios (6%) y a quienes lo han solicitado, pero todavía están esperando respuesta (4%).</w:t>
      </w:r>
    </w:p>
    <w:p w14:paraId="5F5DA3A9" w14:textId="77777777" w:rsidR="00A054B7" w:rsidRDefault="00A054B7">
      <w:pPr>
        <w:spacing w:line="276" w:lineRule="auto"/>
        <w:ind w:right="4"/>
        <w:jc w:val="both"/>
        <w:rPr>
          <w:rFonts w:ascii="Open Sans" w:eastAsia="Open Sans" w:hAnsi="Open Sans" w:cs="Open Sans"/>
        </w:rPr>
      </w:pPr>
    </w:p>
    <w:p w14:paraId="265C7159" w14:textId="77777777" w:rsidR="00A054B7" w:rsidRDefault="00000000">
      <w:pPr>
        <w:spacing w:line="276" w:lineRule="auto"/>
        <w:ind w:right="4"/>
        <w:jc w:val="both"/>
        <w:rPr>
          <w:rFonts w:ascii="Open Sans" w:eastAsia="Open Sans" w:hAnsi="Open Sans" w:cs="Open Sans"/>
        </w:rPr>
      </w:pPr>
      <w:r>
        <w:rPr>
          <w:rFonts w:ascii="Open Sans" w:eastAsia="Open Sans" w:hAnsi="Open Sans" w:cs="Open Sans"/>
        </w:rPr>
        <w:t>Además de estos dos grandes grupos hay un 13% que está considerando la opción de acogerse a la moratoria hipotecaria en el futuro.</w:t>
      </w:r>
    </w:p>
    <w:p w14:paraId="50510990" w14:textId="77777777" w:rsidR="00732A60" w:rsidRDefault="00732A60">
      <w:pPr>
        <w:spacing w:line="276" w:lineRule="auto"/>
        <w:ind w:right="4"/>
        <w:jc w:val="both"/>
        <w:rPr>
          <w:rFonts w:ascii="Open Sans" w:eastAsia="Open Sans" w:hAnsi="Open Sans" w:cs="Open Sans"/>
        </w:rPr>
      </w:pPr>
    </w:p>
    <w:p w14:paraId="43752CD6" w14:textId="77777777" w:rsidR="00A054B7" w:rsidRDefault="00000000">
      <w:pPr>
        <w:spacing w:line="276" w:lineRule="auto"/>
        <w:ind w:right="4"/>
        <w:jc w:val="both"/>
        <w:rPr>
          <w:rFonts w:ascii="Open Sans" w:eastAsia="Open Sans" w:hAnsi="Open Sans" w:cs="Open Sans"/>
        </w:rPr>
      </w:pPr>
      <w:r>
        <w:rPr>
          <w:noProof/>
        </w:rPr>
        <w:drawing>
          <wp:inline distT="0" distB="0" distL="0" distR="0" wp14:anchorId="2D3DB70C" wp14:editId="33A42432">
            <wp:extent cx="5935690" cy="3649713"/>
            <wp:effectExtent l="0" t="0" r="0" b="0"/>
            <wp:docPr id="2052677334" name="image7.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Escala de tiempo&#10;&#10;Descripción generada automáticamente"/>
                    <pic:cNvPicPr preferRelativeResize="0"/>
                  </pic:nvPicPr>
                  <pic:blipFill>
                    <a:blip r:embed="rId15"/>
                    <a:srcRect t="5694" r="8165"/>
                    <a:stretch>
                      <a:fillRect/>
                    </a:stretch>
                  </pic:blipFill>
                  <pic:spPr>
                    <a:xfrm>
                      <a:off x="0" y="0"/>
                      <a:ext cx="5935690" cy="3649713"/>
                    </a:xfrm>
                    <a:prstGeom prst="rect">
                      <a:avLst/>
                    </a:prstGeom>
                    <a:ln/>
                  </pic:spPr>
                </pic:pic>
              </a:graphicData>
            </a:graphic>
          </wp:inline>
        </w:drawing>
      </w:r>
    </w:p>
    <w:p w14:paraId="0145EEDA" w14:textId="77777777" w:rsidR="00A054B7" w:rsidRDefault="00A054B7">
      <w:pPr>
        <w:spacing w:line="276" w:lineRule="auto"/>
        <w:ind w:right="4"/>
        <w:jc w:val="both"/>
        <w:rPr>
          <w:rFonts w:ascii="Open Sans" w:eastAsia="Open Sans" w:hAnsi="Open Sans" w:cs="Open Sans"/>
        </w:rPr>
      </w:pPr>
    </w:p>
    <w:p w14:paraId="72E8E441" w14:textId="77777777" w:rsidR="00A054B7" w:rsidRDefault="00A054B7">
      <w:pPr>
        <w:spacing w:line="276" w:lineRule="auto"/>
        <w:ind w:right="4"/>
        <w:jc w:val="both"/>
        <w:rPr>
          <w:rFonts w:ascii="Open Sans" w:eastAsia="Open Sans" w:hAnsi="Open Sans" w:cs="Open Sans"/>
        </w:rPr>
      </w:pPr>
    </w:p>
    <w:p w14:paraId="6B898141" w14:textId="77777777" w:rsidR="00A054B7" w:rsidRDefault="00A054B7">
      <w:pPr>
        <w:spacing w:line="276" w:lineRule="auto"/>
        <w:ind w:right="4"/>
        <w:jc w:val="both"/>
        <w:rPr>
          <w:rFonts w:ascii="Open Sans" w:eastAsia="Open Sans" w:hAnsi="Open Sans" w:cs="Open Sans"/>
        </w:rPr>
      </w:pPr>
    </w:p>
    <w:p w14:paraId="2FAEB400" w14:textId="77777777" w:rsidR="00732A60" w:rsidRDefault="00732A60">
      <w:pPr>
        <w:spacing w:line="276" w:lineRule="auto"/>
        <w:ind w:right="4"/>
        <w:jc w:val="both"/>
        <w:rPr>
          <w:rFonts w:ascii="Open Sans" w:eastAsia="Open Sans" w:hAnsi="Open Sans" w:cs="Open Sans"/>
        </w:rPr>
      </w:pPr>
    </w:p>
    <w:p w14:paraId="153098B8" w14:textId="77777777" w:rsidR="00A054B7" w:rsidRDefault="00A054B7">
      <w:pPr>
        <w:spacing w:line="276" w:lineRule="auto"/>
        <w:ind w:right="4"/>
        <w:jc w:val="both"/>
        <w:rPr>
          <w:rFonts w:ascii="Open Sans" w:eastAsia="Open Sans" w:hAnsi="Open Sans" w:cs="Open Sans"/>
        </w:rPr>
      </w:pPr>
    </w:p>
    <w:p w14:paraId="045F994C" w14:textId="77777777" w:rsidR="00A054B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6288B2E7" w14:textId="77777777" w:rsidR="00A054B7" w:rsidRDefault="00000000">
      <w:pPr>
        <w:shd w:val="clear" w:color="auto" w:fill="FFFFFF"/>
        <w:spacing w:before="280" w:after="280"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31442DE6" w14:textId="77777777" w:rsidR="00A054B7" w:rsidRDefault="00000000">
      <w:pPr>
        <w:shd w:val="clear" w:color="auto" w:fill="FFFFFF"/>
        <w:spacing w:before="280" w:after="280" w:line="276" w:lineRule="auto"/>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1FA18C33" w14:textId="77777777" w:rsidR="00A054B7" w:rsidRDefault="00000000">
      <w:pPr>
        <w:shd w:val="clear" w:color="auto" w:fill="FFFFFF"/>
        <w:spacing w:before="280" w:after="280" w:line="276" w:lineRule="auto"/>
        <w:jc w:val="both"/>
        <w:rPr>
          <w:rFonts w:ascii="Open Sans" w:eastAsia="Open Sans" w:hAnsi="Open Sans" w:cs="Open Sans"/>
          <w:color w:val="000000"/>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138C4A7C" w14:textId="77777777" w:rsidR="00A054B7" w:rsidRDefault="00A054B7">
      <w:pPr>
        <w:spacing w:line="276" w:lineRule="auto"/>
        <w:jc w:val="right"/>
        <w:rPr>
          <w:rFonts w:ascii="Open Sans Light" w:eastAsia="Open Sans Light" w:hAnsi="Open Sans Light" w:cs="Open Sans Light"/>
          <w:b/>
          <w:color w:val="303AB2"/>
        </w:rPr>
      </w:pPr>
    </w:p>
    <w:p w14:paraId="0812353E" w14:textId="77777777" w:rsidR="00A054B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3D9135DC" w14:textId="77777777" w:rsidR="00A054B7"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6CC0474" w14:textId="77777777" w:rsidR="00A054B7" w:rsidRDefault="00000000">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BD38D36" w14:textId="77777777" w:rsidR="00A054B7" w:rsidRDefault="00000000">
      <w:pPr>
        <w:spacing w:before="143" w:after="200"/>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5DDD3DDC" w14:textId="77777777" w:rsidR="00A054B7" w:rsidRDefault="00000000">
      <w:pPr>
        <w:spacing w:after="160"/>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0B9B1AAF" w14:textId="77777777" w:rsidR="00A054B7" w:rsidRDefault="00A054B7">
      <w:pPr>
        <w:spacing w:after="160"/>
        <w:jc w:val="both"/>
        <w:rPr>
          <w:rFonts w:ascii="Open Sans" w:eastAsia="Open Sans" w:hAnsi="Open Sans" w:cs="Open Sans"/>
        </w:rPr>
      </w:pPr>
    </w:p>
    <w:p w14:paraId="585B656B" w14:textId="77777777" w:rsidR="00A054B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54E9C67" w14:textId="77777777" w:rsidR="00A054B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3D2EFC9" w14:textId="77777777" w:rsidR="00A054B7"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7E45E016" w14:textId="77777777" w:rsidR="00A054B7"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9B2A5C0" w14:textId="77777777" w:rsidR="00A054B7" w:rsidRDefault="00A054B7">
      <w:pPr>
        <w:spacing w:line="276" w:lineRule="auto"/>
        <w:rPr>
          <w:rFonts w:ascii="Open Sans Light" w:eastAsia="Open Sans Light" w:hAnsi="Open Sans Light" w:cs="Open Sans Light"/>
          <w:b/>
          <w:color w:val="303AB2"/>
          <w:sz w:val="22"/>
          <w:szCs w:val="22"/>
        </w:rPr>
      </w:pPr>
    </w:p>
    <w:p w14:paraId="358D9709" w14:textId="77777777" w:rsidR="00A054B7" w:rsidRDefault="00A054B7">
      <w:pPr>
        <w:spacing w:line="276" w:lineRule="auto"/>
        <w:rPr>
          <w:rFonts w:ascii="Open Sans Light" w:eastAsia="Open Sans Light" w:hAnsi="Open Sans Light" w:cs="Open Sans Light"/>
          <w:b/>
          <w:color w:val="303AB2"/>
          <w:sz w:val="22"/>
          <w:szCs w:val="22"/>
        </w:rPr>
      </w:pPr>
    </w:p>
    <w:p w14:paraId="13E7F769" w14:textId="77777777" w:rsidR="00A054B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450B2108" w14:textId="77777777" w:rsidR="00A054B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56FEF7FC" w14:textId="77777777" w:rsidR="00A054B7" w:rsidRPr="00732A60" w:rsidRDefault="00000000">
      <w:pPr>
        <w:shd w:val="clear" w:color="auto" w:fill="FFFFFF"/>
        <w:spacing w:line="276" w:lineRule="auto"/>
        <w:rPr>
          <w:rFonts w:ascii="Open Sans" w:eastAsia="Open Sans" w:hAnsi="Open Sans" w:cs="Open Sans"/>
          <w:color w:val="0000FF"/>
          <w:sz w:val="22"/>
          <w:szCs w:val="22"/>
          <w:u w:val="single"/>
          <w:lang w:val="en-US"/>
        </w:rPr>
      </w:pPr>
      <w:hyperlink r:id="rId26">
        <w:r w:rsidRPr="00732A60">
          <w:rPr>
            <w:rFonts w:ascii="Open Sans" w:eastAsia="Open Sans" w:hAnsi="Open Sans" w:cs="Open Sans"/>
            <w:color w:val="0000FF"/>
            <w:sz w:val="22"/>
            <w:szCs w:val="22"/>
            <w:u w:val="single"/>
            <w:lang w:val="en-US"/>
          </w:rPr>
          <w:t>rtorne@llorenteycuenca.com</w:t>
        </w:r>
      </w:hyperlink>
      <w:r w:rsidRPr="00732A60">
        <w:rPr>
          <w:rFonts w:ascii="Open Sans" w:eastAsia="Open Sans" w:hAnsi="Open Sans" w:cs="Open Sans"/>
          <w:color w:val="0000FF"/>
          <w:sz w:val="22"/>
          <w:szCs w:val="22"/>
          <w:lang w:val="en-US"/>
        </w:rPr>
        <w:tab/>
      </w:r>
      <w:r w:rsidRPr="00732A60">
        <w:rPr>
          <w:rFonts w:ascii="Open Sans" w:eastAsia="Open Sans" w:hAnsi="Open Sans" w:cs="Open Sans"/>
          <w:color w:val="0000FF"/>
          <w:sz w:val="22"/>
          <w:szCs w:val="22"/>
          <w:lang w:val="en-US"/>
        </w:rPr>
        <w:tab/>
      </w:r>
      <w:r w:rsidRPr="00732A60">
        <w:rPr>
          <w:rFonts w:ascii="Open Sans" w:eastAsia="Open Sans" w:hAnsi="Open Sans" w:cs="Open Sans"/>
          <w:color w:val="0000FF"/>
          <w:sz w:val="22"/>
          <w:szCs w:val="22"/>
          <w:lang w:val="en-US"/>
        </w:rPr>
        <w:tab/>
      </w:r>
    </w:p>
    <w:p w14:paraId="0E7C74B6" w14:textId="77777777" w:rsidR="00A054B7" w:rsidRPr="00732A60" w:rsidRDefault="00000000">
      <w:pPr>
        <w:shd w:val="clear" w:color="auto" w:fill="FFFFFF"/>
        <w:spacing w:line="276" w:lineRule="auto"/>
        <w:rPr>
          <w:rFonts w:ascii="Open Sans" w:eastAsia="Open Sans" w:hAnsi="Open Sans" w:cs="Open Sans"/>
          <w:color w:val="000000"/>
          <w:sz w:val="22"/>
          <w:szCs w:val="22"/>
          <w:lang w:val="en-US"/>
        </w:rPr>
      </w:pPr>
      <w:r w:rsidRPr="00732A60">
        <w:rPr>
          <w:rFonts w:ascii="Open Sans" w:eastAsia="Open Sans" w:hAnsi="Open Sans" w:cs="Open Sans"/>
          <w:color w:val="000000"/>
          <w:sz w:val="22"/>
          <w:szCs w:val="22"/>
          <w:lang w:val="en-US"/>
        </w:rPr>
        <w:lastRenderedPageBreak/>
        <w:t xml:space="preserve">638 68 19 85      </w:t>
      </w:r>
      <w:r w:rsidRPr="00732A60">
        <w:rPr>
          <w:rFonts w:ascii="Open Sans" w:eastAsia="Open Sans" w:hAnsi="Open Sans" w:cs="Open Sans"/>
          <w:color w:val="000000"/>
          <w:sz w:val="22"/>
          <w:szCs w:val="22"/>
          <w:lang w:val="en-US"/>
        </w:rPr>
        <w:tab/>
      </w:r>
      <w:r w:rsidRPr="00732A60">
        <w:rPr>
          <w:rFonts w:ascii="Open Sans" w:eastAsia="Open Sans" w:hAnsi="Open Sans" w:cs="Open Sans"/>
          <w:color w:val="000000"/>
          <w:sz w:val="22"/>
          <w:szCs w:val="22"/>
          <w:lang w:val="en-US"/>
        </w:rPr>
        <w:tab/>
      </w:r>
      <w:r w:rsidRPr="00732A60">
        <w:rPr>
          <w:rFonts w:ascii="Open Sans" w:eastAsia="Open Sans" w:hAnsi="Open Sans" w:cs="Open Sans"/>
          <w:color w:val="000000"/>
          <w:sz w:val="22"/>
          <w:szCs w:val="22"/>
          <w:lang w:val="en-US"/>
        </w:rPr>
        <w:tab/>
      </w:r>
      <w:r w:rsidRPr="00732A60">
        <w:rPr>
          <w:rFonts w:ascii="Open Sans" w:eastAsia="Open Sans" w:hAnsi="Open Sans" w:cs="Open Sans"/>
          <w:color w:val="000000"/>
          <w:sz w:val="22"/>
          <w:szCs w:val="22"/>
          <w:lang w:val="en-US"/>
        </w:rPr>
        <w:tab/>
      </w:r>
      <w:r w:rsidRPr="00732A60">
        <w:rPr>
          <w:rFonts w:ascii="Open Sans" w:eastAsia="Open Sans" w:hAnsi="Open Sans" w:cs="Open Sans"/>
          <w:color w:val="000000"/>
          <w:sz w:val="22"/>
          <w:szCs w:val="22"/>
          <w:lang w:val="en-US"/>
        </w:rPr>
        <w:tab/>
      </w:r>
      <w:r w:rsidRPr="00732A60">
        <w:rPr>
          <w:rFonts w:ascii="Open Sans" w:eastAsia="Open Sans" w:hAnsi="Open Sans" w:cs="Open Sans"/>
          <w:color w:val="000000"/>
          <w:sz w:val="22"/>
          <w:szCs w:val="22"/>
          <w:lang w:val="en-US"/>
        </w:rPr>
        <w:tab/>
      </w:r>
      <w:r w:rsidRPr="00732A60">
        <w:rPr>
          <w:rFonts w:ascii="Open Sans" w:eastAsia="Open Sans" w:hAnsi="Open Sans" w:cs="Open Sans"/>
          <w:color w:val="000000"/>
          <w:sz w:val="22"/>
          <w:szCs w:val="22"/>
          <w:lang w:val="en-US"/>
        </w:rPr>
        <w:tab/>
      </w:r>
      <w:r w:rsidRPr="00732A60">
        <w:rPr>
          <w:rFonts w:ascii="Open Sans" w:eastAsia="Open Sans" w:hAnsi="Open Sans" w:cs="Open Sans"/>
          <w:color w:val="000000"/>
          <w:sz w:val="22"/>
          <w:szCs w:val="22"/>
          <w:lang w:val="en-US"/>
        </w:rPr>
        <w:tab/>
      </w:r>
    </w:p>
    <w:p w14:paraId="57962EC0" w14:textId="77777777" w:rsidR="00A054B7" w:rsidRPr="00732A60" w:rsidRDefault="00000000">
      <w:pPr>
        <w:shd w:val="clear" w:color="auto" w:fill="FFFFFF"/>
        <w:rPr>
          <w:rFonts w:ascii="Arial" w:eastAsia="Arial" w:hAnsi="Arial" w:cs="Arial"/>
          <w:color w:val="222222"/>
          <w:sz w:val="22"/>
          <w:szCs w:val="22"/>
          <w:lang w:val="en-US"/>
        </w:rPr>
      </w:pPr>
      <w:r w:rsidRPr="00732A60">
        <w:rPr>
          <w:rFonts w:ascii="Arial" w:eastAsia="Arial" w:hAnsi="Arial" w:cs="Arial"/>
          <w:color w:val="222222"/>
          <w:sz w:val="22"/>
          <w:szCs w:val="22"/>
          <w:lang w:val="en-US"/>
        </w:rPr>
        <w:tab/>
      </w:r>
    </w:p>
    <w:p w14:paraId="378C6447" w14:textId="77777777" w:rsidR="00A054B7" w:rsidRPr="00732A60" w:rsidRDefault="00000000">
      <w:pPr>
        <w:shd w:val="clear" w:color="auto" w:fill="FFFFFF"/>
        <w:rPr>
          <w:rFonts w:ascii="Arial" w:eastAsia="Arial" w:hAnsi="Arial" w:cs="Arial"/>
          <w:color w:val="222222"/>
          <w:sz w:val="22"/>
          <w:szCs w:val="22"/>
          <w:lang w:val="en-US"/>
        </w:rPr>
      </w:pPr>
      <w:r w:rsidRPr="00732A60">
        <w:rPr>
          <w:rFonts w:ascii="Arial" w:eastAsia="Arial" w:hAnsi="Arial" w:cs="Arial"/>
          <w:color w:val="222222"/>
          <w:sz w:val="22"/>
          <w:szCs w:val="22"/>
          <w:lang w:val="en-US"/>
        </w:rPr>
        <w:tab/>
      </w:r>
      <w:r w:rsidRPr="00732A60">
        <w:rPr>
          <w:rFonts w:ascii="Arial" w:eastAsia="Arial" w:hAnsi="Arial" w:cs="Arial"/>
          <w:color w:val="222222"/>
          <w:sz w:val="22"/>
          <w:szCs w:val="22"/>
          <w:lang w:val="en-US"/>
        </w:rPr>
        <w:tab/>
      </w:r>
      <w:r w:rsidRPr="00732A60">
        <w:rPr>
          <w:rFonts w:ascii="Arial" w:eastAsia="Arial" w:hAnsi="Arial" w:cs="Arial"/>
          <w:color w:val="222222"/>
          <w:sz w:val="22"/>
          <w:szCs w:val="22"/>
          <w:lang w:val="en-US"/>
        </w:rPr>
        <w:tab/>
      </w:r>
      <w:r w:rsidRPr="00732A60">
        <w:rPr>
          <w:rFonts w:ascii="Arial" w:eastAsia="Arial" w:hAnsi="Arial" w:cs="Arial"/>
          <w:color w:val="222222"/>
          <w:sz w:val="22"/>
          <w:szCs w:val="22"/>
          <w:lang w:val="en-US"/>
        </w:rPr>
        <w:tab/>
      </w:r>
      <w:r w:rsidRPr="00732A60">
        <w:rPr>
          <w:rFonts w:ascii="Arial" w:eastAsia="Arial" w:hAnsi="Arial" w:cs="Arial"/>
          <w:color w:val="222222"/>
          <w:sz w:val="22"/>
          <w:szCs w:val="22"/>
          <w:lang w:val="en-US"/>
        </w:rPr>
        <w:tab/>
      </w:r>
      <w:r w:rsidRPr="00732A60">
        <w:rPr>
          <w:rFonts w:ascii="Arial" w:eastAsia="Arial" w:hAnsi="Arial" w:cs="Arial"/>
          <w:color w:val="222222"/>
          <w:sz w:val="22"/>
          <w:szCs w:val="22"/>
          <w:lang w:val="en-US"/>
        </w:rPr>
        <w:tab/>
        <w:t xml:space="preserve">     </w:t>
      </w:r>
    </w:p>
    <w:p w14:paraId="1FEFBA2F" w14:textId="77777777" w:rsidR="00A054B7" w:rsidRPr="00732A60" w:rsidRDefault="00000000">
      <w:pPr>
        <w:shd w:val="clear" w:color="auto" w:fill="FFFFFF"/>
        <w:rPr>
          <w:rFonts w:ascii="Open Sans" w:eastAsia="Open Sans" w:hAnsi="Open Sans" w:cs="Open Sans"/>
          <w:b/>
          <w:color w:val="000000"/>
          <w:sz w:val="22"/>
          <w:szCs w:val="22"/>
          <w:lang w:val="en-US"/>
        </w:rPr>
      </w:pPr>
      <w:r w:rsidRPr="00732A60">
        <w:rPr>
          <w:rFonts w:ascii="Open Sans" w:eastAsia="Open Sans" w:hAnsi="Open Sans" w:cs="Open Sans"/>
          <w:b/>
          <w:color w:val="000000"/>
          <w:sz w:val="22"/>
          <w:szCs w:val="22"/>
          <w:lang w:val="en-US"/>
        </w:rPr>
        <w:t>Fanny Merino</w:t>
      </w:r>
    </w:p>
    <w:p w14:paraId="4AC64E01" w14:textId="77777777" w:rsidR="00A054B7" w:rsidRPr="00732A60" w:rsidRDefault="00000000">
      <w:pPr>
        <w:shd w:val="clear" w:color="auto" w:fill="FFFFFF"/>
        <w:rPr>
          <w:rFonts w:ascii="Open Sans" w:eastAsia="Open Sans" w:hAnsi="Open Sans" w:cs="Open Sans"/>
          <w:b/>
          <w:color w:val="000000"/>
          <w:sz w:val="22"/>
          <w:szCs w:val="22"/>
          <w:lang w:val="en-US"/>
        </w:rPr>
      </w:pPr>
      <w:hyperlink r:id="rId27">
        <w:r w:rsidRPr="00732A60">
          <w:rPr>
            <w:rFonts w:ascii="Open Sans" w:eastAsia="Open Sans" w:hAnsi="Open Sans" w:cs="Open Sans"/>
            <w:color w:val="0000FF"/>
            <w:sz w:val="22"/>
            <w:szCs w:val="22"/>
            <w:u w:val="single"/>
            <w:lang w:val="en-US"/>
          </w:rPr>
          <w:t>emerino@llorenteycuenca.com</w:t>
        </w:r>
      </w:hyperlink>
      <w:r w:rsidRPr="00732A60">
        <w:rPr>
          <w:rFonts w:ascii="Open Sans" w:eastAsia="Open Sans" w:hAnsi="Open Sans" w:cs="Open Sans"/>
          <w:color w:val="0000FF"/>
          <w:sz w:val="22"/>
          <w:szCs w:val="22"/>
          <w:lang w:val="en-US"/>
        </w:rPr>
        <w:tab/>
      </w:r>
      <w:r w:rsidRPr="00732A60">
        <w:rPr>
          <w:rFonts w:ascii="Open Sans" w:eastAsia="Open Sans" w:hAnsi="Open Sans" w:cs="Open Sans"/>
          <w:color w:val="0000FF"/>
          <w:sz w:val="22"/>
          <w:szCs w:val="22"/>
          <w:lang w:val="en-US"/>
        </w:rPr>
        <w:tab/>
      </w:r>
    </w:p>
    <w:p w14:paraId="34AB474B" w14:textId="77777777" w:rsidR="00A054B7" w:rsidRDefault="00000000">
      <w:pPr>
        <w:shd w:val="clear" w:color="auto" w:fill="FFFFFF"/>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29DAD44D" w14:textId="77777777" w:rsidR="00A054B7" w:rsidRDefault="00A054B7">
      <w:pPr>
        <w:shd w:val="clear" w:color="auto" w:fill="FFFFFF"/>
        <w:rPr>
          <w:rFonts w:ascii="Open Sans" w:eastAsia="Open Sans" w:hAnsi="Open Sans" w:cs="Open Sans"/>
          <w:color w:val="000000"/>
          <w:sz w:val="22"/>
          <w:szCs w:val="22"/>
        </w:rPr>
      </w:pPr>
    </w:p>
    <w:p w14:paraId="4B0F4F76" w14:textId="77777777" w:rsidR="00A054B7" w:rsidRDefault="00A054B7">
      <w:pPr>
        <w:shd w:val="clear" w:color="auto" w:fill="FFFFFF"/>
        <w:rPr>
          <w:rFonts w:ascii="Open Sans" w:eastAsia="Open Sans" w:hAnsi="Open Sans" w:cs="Open Sans"/>
          <w:color w:val="000000"/>
          <w:sz w:val="22"/>
          <w:szCs w:val="22"/>
        </w:rPr>
      </w:pPr>
    </w:p>
    <w:p w14:paraId="25683244" w14:textId="77777777" w:rsidR="00A054B7" w:rsidRDefault="00A054B7">
      <w:pPr>
        <w:spacing w:line="276" w:lineRule="auto"/>
        <w:jc w:val="right"/>
        <w:rPr>
          <w:rFonts w:ascii="Open Sans" w:eastAsia="Open Sans" w:hAnsi="Open Sans" w:cs="Open Sans"/>
          <w:color w:val="000000"/>
          <w:sz w:val="21"/>
          <w:szCs w:val="21"/>
        </w:rPr>
      </w:pPr>
    </w:p>
    <w:sectPr w:rsidR="00A054B7">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2A59F" w14:textId="77777777" w:rsidR="00075880" w:rsidRDefault="00075880">
      <w:r>
        <w:separator/>
      </w:r>
    </w:p>
  </w:endnote>
  <w:endnote w:type="continuationSeparator" w:id="0">
    <w:p w14:paraId="1D51B992" w14:textId="77777777" w:rsidR="00075880" w:rsidRDefault="00075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3A01" w14:textId="77777777" w:rsidR="00A054B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A1E2363" wp14:editId="61406335">
          <wp:simplePos x="0" y="0"/>
          <wp:positionH relativeFrom="column">
            <wp:posOffset>-1068061</wp:posOffset>
          </wp:positionH>
          <wp:positionV relativeFrom="paragraph">
            <wp:posOffset>174608</wp:posOffset>
          </wp:positionV>
          <wp:extent cx="7670550" cy="451315"/>
          <wp:effectExtent l="0" t="0" r="0" b="0"/>
          <wp:wrapNone/>
          <wp:docPr id="2052677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B12F1" w14:textId="77777777" w:rsidR="00075880" w:rsidRDefault="00075880">
      <w:r>
        <w:separator/>
      </w:r>
    </w:p>
  </w:footnote>
  <w:footnote w:type="continuationSeparator" w:id="0">
    <w:p w14:paraId="69B5469A" w14:textId="77777777" w:rsidR="00075880" w:rsidRDefault="00075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B53467"/>
    <w:multiLevelType w:val="multilevel"/>
    <w:tmpl w:val="086C8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5292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4B7"/>
    <w:rsid w:val="00075880"/>
    <w:rsid w:val="00732A60"/>
    <w:rsid w:val="00A054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97FDD"/>
  <w15:docId w15:val="{360E45E6-2E43-4DAA-9AEE-F4C4E49E3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58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otocasa.es/es/quienes-somos/"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otos.coches.net/"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image" Target="media/image5.png"/><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7yA7eRvINskuwk+/MVXYDRNxIw==">CgMxLjAyCWguMnM4ZXlvMTgAciExdDV5UUlGRDlsR1Z5TVpqWWZZcXd4UjhudFhNd2hPSXI=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1526</Words>
  <Characters>8393</Characters>
  <Application>Microsoft Office Word</Application>
  <DocSecurity>0</DocSecurity>
  <Lines>69</Lines>
  <Paragraphs>19</Paragraphs>
  <ScaleCrop>false</ScaleCrop>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2023-11-21T22:55:00Z</dcterms:created>
  <dcterms:modified xsi:type="dcterms:W3CDTF">2023-11-28T14:03:00Z</dcterms:modified>
</cp:coreProperties>
</file>