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3161" w14:textId="77777777" w:rsidR="00BE2A7C" w:rsidRDefault="00000000">
      <w:pPr>
        <w:ind w:right="-574"/>
      </w:pPr>
      <w:bookmarkStart w:id="0" w:name="_heading=h.gjdgxs" w:colFirst="0" w:colLast="0"/>
      <w:bookmarkEnd w:id="0"/>
      <w:r>
        <w:rPr>
          <w:noProof/>
        </w:rPr>
        <w:drawing>
          <wp:anchor distT="0" distB="0" distL="114300" distR="114300" simplePos="0" relativeHeight="251658240" behindDoc="0" locked="0" layoutInCell="1" hidden="0" allowOverlap="1" wp14:anchorId="3A65D6DA" wp14:editId="6FF0376B">
            <wp:simplePos x="0" y="0"/>
            <wp:positionH relativeFrom="column">
              <wp:posOffset>-1078864</wp:posOffset>
            </wp:positionH>
            <wp:positionV relativeFrom="paragraph">
              <wp:posOffset>-350452</wp:posOffset>
            </wp:positionV>
            <wp:extent cx="7581265" cy="1019175"/>
            <wp:effectExtent l="0" t="0" r="0" b="0"/>
            <wp:wrapNone/>
            <wp:docPr id="15462286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81265" cy="1019175"/>
                    </a:xfrm>
                    <a:prstGeom prst="rect">
                      <a:avLst/>
                    </a:prstGeom>
                    <a:ln/>
                  </pic:spPr>
                </pic:pic>
              </a:graphicData>
            </a:graphic>
          </wp:anchor>
        </w:drawing>
      </w:r>
    </w:p>
    <w:p w14:paraId="679B31CC" w14:textId="77777777" w:rsidR="00BE2A7C" w:rsidRDefault="00BE2A7C">
      <w:pPr>
        <w:ind w:right="-574"/>
        <w:jc w:val="right"/>
        <w:rPr>
          <w:rFonts w:ascii="National" w:eastAsia="National" w:hAnsi="National" w:cs="National"/>
          <w:color w:val="303AB2"/>
          <w:sz w:val="36"/>
          <w:szCs w:val="36"/>
        </w:rPr>
      </w:pPr>
    </w:p>
    <w:p w14:paraId="47D25DF6" w14:textId="77777777" w:rsidR="00BE2A7C" w:rsidRDefault="00BE2A7C">
      <w:pPr>
        <w:ind w:right="-574"/>
        <w:jc w:val="right"/>
        <w:rPr>
          <w:rFonts w:ascii="National" w:eastAsia="National" w:hAnsi="National" w:cs="National"/>
          <w:color w:val="303AB2"/>
          <w:sz w:val="36"/>
          <w:szCs w:val="36"/>
        </w:rPr>
      </w:pPr>
    </w:p>
    <w:p w14:paraId="6C6B940F" w14:textId="77777777" w:rsidR="00BE2A7C" w:rsidRDefault="00BE2A7C">
      <w:pPr>
        <w:ind w:right="-574"/>
        <w:rPr>
          <w:rFonts w:ascii="National" w:eastAsia="National" w:hAnsi="National" w:cs="National"/>
          <w:color w:val="303AB2"/>
          <w:sz w:val="16"/>
          <w:szCs w:val="16"/>
        </w:rPr>
      </w:pPr>
    </w:p>
    <w:p w14:paraId="761C00A7" w14:textId="77777777" w:rsidR="00BE2A7C" w:rsidRDefault="00000000">
      <w:pPr>
        <w:spacing w:line="276" w:lineRule="auto"/>
        <w:ind w:right="-574"/>
        <w:jc w:val="center"/>
        <w:rPr>
          <w:rFonts w:ascii="National" w:eastAsia="National" w:hAnsi="National" w:cs="National"/>
          <w:b/>
          <w:color w:val="1DBDC5"/>
          <w:sz w:val="38"/>
          <w:szCs w:val="38"/>
        </w:rPr>
      </w:pPr>
      <w:bookmarkStart w:id="1" w:name="_heading=h.30j0zll" w:colFirst="0" w:colLast="0"/>
      <w:bookmarkEnd w:id="1"/>
      <w:r>
        <w:rPr>
          <w:rFonts w:ascii="National" w:eastAsia="National" w:hAnsi="National" w:cs="National"/>
          <w:b/>
          <w:color w:val="1DBDC5"/>
          <w:sz w:val="38"/>
          <w:szCs w:val="38"/>
        </w:rPr>
        <w:t xml:space="preserve">2023: ANÁLISIS RENTABILIDAD VIVIENDA </w:t>
      </w:r>
    </w:p>
    <w:p w14:paraId="2B51F497" w14:textId="77777777" w:rsidR="00BE2A7C" w:rsidRDefault="00000000">
      <w:pPr>
        <w:ind w:right="-574"/>
        <w:jc w:val="center"/>
        <w:rPr>
          <w:rFonts w:ascii="National" w:eastAsia="National" w:hAnsi="National" w:cs="National"/>
          <w:b/>
          <w:color w:val="303AB2"/>
          <w:sz w:val="40"/>
          <w:szCs w:val="40"/>
        </w:rPr>
      </w:pPr>
      <w:r>
        <w:rPr>
          <w:rFonts w:ascii="National" w:eastAsia="National" w:hAnsi="National" w:cs="National"/>
          <w:b/>
          <w:color w:val="303AB2"/>
          <w:sz w:val="40"/>
          <w:szCs w:val="40"/>
        </w:rPr>
        <w:t>La rentabilidad de la vivienda en España cierra 2023 con un 6,4</w:t>
      </w:r>
      <w:r w:rsidR="002534FD">
        <w:rPr>
          <w:rFonts w:ascii="National" w:eastAsia="National" w:hAnsi="National" w:cs="National"/>
          <w:b/>
          <w:color w:val="303AB2"/>
          <w:sz w:val="40"/>
          <w:szCs w:val="40"/>
        </w:rPr>
        <w:t>%, una décima menos que</w:t>
      </w:r>
      <w:r>
        <w:rPr>
          <w:rFonts w:ascii="National" w:eastAsia="National" w:hAnsi="National" w:cs="National"/>
          <w:b/>
          <w:color w:val="303AB2"/>
          <w:sz w:val="40"/>
          <w:szCs w:val="40"/>
        </w:rPr>
        <w:t xml:space="preserve"> hace un año</w:t>
      </w:r>
    </w:p>
    <w:p w14:paraId="02210A51" w14:textId="77777777" w:rsidR="002534FD" w:rsidRDefault="002534FD">
      <w:pPr>
        <w:ind w:right="-574"/>
        <w:jc w:val="center"/>
        <w:rPr>
          <w:rFonts w:ascii="National" w:eastAsia="National" w:hAnsi="National" w:cs="National"/>
          <w:b/>
          <w:color w:val="303AB2"/>
          <w:sz w:val="16"/>
          <w:szCs w:val="16"/>
        </w:rPr>
      </w:pPr>
    </w:p>
    <w:p w14:paraId="48958783" w14:textId="77777777" w:rsidR="00BE2A7C"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 xml:space="preserve">La </w:t>
      </w:r>
      <w:proofErr w:type="spellStart"/>
      <w:r>
        <w:rPr>
          <w:rFonts w:ascii="Open Sans" w:eastAsia="Open Sans" w:hAnsi="Open Sans" w:cs="Open Sans"/>
          <w:color w:val="000000"/>
        </w:rPr>
        <w:t>Comunitat</w:t>
      </w:r>
      <w:proofErr w:type="spellEnd"/>
      <w:r>
        <w:rPr>
          <w:rFonts w:ascii="Open Sans" w:eastAsia="Open Sans" w:hAnsi="Open Sans" w:cs="Open Sans"/>
          <w:color w:val="000000"/>
        </w:rPr>
        <w:t xml:space="preserve"> Valenciana es la más rentable con un 7,9% en 2023, 1,7 punto más rentable que hace 5 años (6,2% en 2018) </w:t>
      </w:r>
    </w:p>
    <w:p w14:paraId="2B7C8E60" w14:textId="77777777" w:rsidR="00BE2A7C"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 xml:space="preserve">Invertir en vivienda en las capitales de Tarragona, Huelva, Toledo, y Lleida da una rentabilidad superior al 7%  </w:t>
      </w:r>
    </w:p>
    <w:p w14:paraId="646EC4ED" w14:textId="77777777" w:rsidR="00BE2A7C"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 xml:space="preserve">Los barrios más rentables de Barcelona son El Poble </w:t>
      </w:r>
      <w:proofErr w:type="spellStart"/>
      <w:r>
        <w:rPr>
          <w:rFonts w:ascii="Open Sans" w:eastAsia="Open Sans" w:hAnsi="Open Sans" w:cs="Open Sans"/>
          <w:color w:val="000000"/>
        </w:rPr>
        <w:t>Sec</w:t>
      </w:r>
      <w:proofErr w:type="spellEnd"/>
      <w:r>
        <w:rPr>
          <w:rFonts w:ascii="Open Sans" w:eastAsia="Open Sans" w:hAnsi="Open Sans" w:cs="Open Sans"/>
          <w:color w:val="000000"/>
        </w:rPr>
        <w:t xml:space="preserve"> - </w:t>
      </w:r>
      <w:proofErr w:type="spellStart"/>
      <w:r>
        <w:rPr>
          <w:rFonts w:ascii="Open Sans" w:eastAsia="Open Sans" w:hAnsi="Open Sans" w:cs="Open Sans"/>
          <w:color w:val="000000"/>
        </w:rPr>
        <w:t>Parc</w:t>
      </w:r>
      <w:proofErr w:type="spellEnd"/>
      <w:r>
        <w:rPr>
          <w:rFonts w:ascii="Open Sans" w:eastAsia="Open Sans" w:hAnsi="Open Sans" w:cs="Open Sans"/>
          <w:color w:val="000000"/>
        </w:rPr>
        <w:t xml:space="preserve"> de Montjuïc y El Raval (6,9%), frente a Embajadores – Lavapiés, el más rentable de Madrid (5,3%)</w:t>
      </w:r>
    </w:p>
    <w:p w14:paraId="08859FF4" w14:textId="77777777" w:rsidR="00BE2A7C" w:rsidRDefault="00BE2A7C">
      <w:pPr>
        <w:spacing w:line="276" w:lineRule="auto"/>
        <w:ind w:right="-574"/>
        <w:rPr>
          <w:rFonts w:ascii="Open Sans Light" w:eastAsia="Open Sans Light" w:hAnsi="Open Sans Light" w:cs="Open Sans Light"/>
          <w:b/>
          <w:color w:val="303AB2"/>
        </w:rPr>
      </w:pPr>
    </w:p>
    <w:p w14:paraId="0955FDAE" w14:textId="77777777" w:rsidR="00BE2A7C" w:rsidRDefault="00000000">
      <w:pPr>
        <w:spacing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t>Madrid, 29 de enero de 2024</w:t>
      </w:r>
    </w:p>
    <w:p w14:paraId="42F1ABDE" w14:textId="77777777" w:rsidR="00BE2A7C" w:rsidRDefault="00BE2A7C">
      <w:pPr>
        <w:spacing w:line="276" w:lineRule="auto"/>
        <w:ind w:right="-574"/>
        <w:rPr>
          <w:rFonts w:ascii="Open Sans" w:eastAsia="Open Sans" w:hAnsi="Open Sans" w:cs="Open Sans"/>
          <w:color w:val="000000"/>
          <w:sz w:val="22"/>
          <w:szCs w:val="22"/>
        </w:rPr>
      </w:pPr>
    </w:p>
    <w:p w14:paraId="4C5B2B34" w14:textId="77777777" w:rsidR="00BE2A7C"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La rentabilidad anual de la vivienda en España en 2023 se sitúa en un 6,4%, un 0,1 punto menos que hace un año (un 6,5% en 2022), pero 2,2 puntos más que hace 15 años (un 4,1% en 2008), según el estudio de </w:t>
      </w:r>
      <w:r>
        <w:rPr>
          <w:rFonts w:ascii="Open Sans" w:eastAsia="Open Sans" w:hAnsi="Open Sans" w:cs="Open Sans"/>
          <w:b/>
          <w:color w:val="000000"/>
          <w:sz w:val="22"/>
          <w:szCs w:val="22"/>
        </w:rPr>
        <w:t>“</w:t>
      </w:r>
      <w:r>
        <w:rPr>
          <w:rFonts w:ascii="Open Sans" w:eastAsia="Open Sans" w:hAnsi="Open Sans" w:cs="Open Sans"/>
          <w:b/>
          <w:i/>
          <w:color w:val="000000"/>
          <w:sz w:val="22"/>
          <w:szCs w:val="22"/>
        </w:rPr>
        <w:t>La rentabilidad de la vivienda en España en 2023”,</w:t>
      </w:r>
      <w:r>
        <w:rPr>
          <w:rFonts w:ascii="Open Sans" w:eastAsia="Open Sans" w:hAnsi="Open Sans" w:cs="Open Sans"/>
          <w:color w:val="000000"/>
          <w:sz w:val="22"/>
          <w:szCs w:val="22"/>
        </w:rPr>
        <w:t xml:space="preserve"> basado en el análisis de los precios de la vivienda en venta y alquiler de diciembre de 2023 por el portal inmobiliario </w:t>
      </w:r>
      <w:hyperlink r:id="rId9">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Los datos también indican que adquirir una propiedad para ponerla en alquiler en diciembre es la cuarta rentabilidad más alta desde 2006.</w:t>
      </w:r>
    </w:p>
    <w:p w14:paraId="609555A3" w14:textId="77777777" w:rsidR="00BE2A7C" w:rsidRDefault="00BE2A7C">
      <w:pPr>
        <w:spacing w:line="276" w:lineRule="auto"/>
        <w:ind w:right="-574"/>
        <w:rPr>
          <w:rFonts w:ascii="Open Sans" w:eastAsia="Open Sans" w:hAnsi="Open Sans" w:cs="Open Sans"/>
          <w:color w:val="000000"/>
          <w:sz w:val="22"/>
          <w:szCs w:val="22"/>
        </w:rPr>
      </w:pPr>
    </w:p>
    <w:p w14:paraId="5C032FB2" w14:textId="77777777" w:rsidR="00BE2A7C" w:rsidRDefault="00000000">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30"/>
          <w:szCs w:val="30"/>
        </w:rPr>
      </w:pPr>
      <w:r>
        <w:rPr>
          <w:rFonts w:ascii="Open Sans Light" w:eastAsia="Open Sans Light" w:hAnsi="Open Sans Light" w:cs="Open Sans Light"/>
          <w:b/>
          <w:color w:val="303AB2"/>
          <w:sz w:val="30"/>
          <w:szCs w:val="30"/>
        </w:rPr>
        <w:t>Rentabilidad de la vivienda en España en los últimos años</w:t>
      </w:r>
      <w:r>
        <w:rPr>
          <w:rFonts w:ascii="Times New Roman" w:eastAsia="Times New Roman" w:hAnsi="Times New Roman" w:cs="Times New Roman"/>
          <w:noProof/>
          <w:color w:val="000000"/>
        </w:rPr>
        <w:drawing>
          <wp:inline distT="0" distB="0" distL="0" distR="0" wp14:anchorId="6D8AF5FC" wp14:editId="070BB6F7">
            <wp:extent cx="5821680" cy="1981200"/>
            <wp:effectExtent l="0" t="0" r="0" b="0"/>
            <wp:docPr id="1546228677" name="Gráfico 15462286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DB7F45" w14:textId="23D1213A" w:rsidR="00BE2A7C" w:rsidRDefault="00000000">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r>
        <w:rPr>
          <w:rFonts w:ascii="Open Sans" w:eastAsia="Open Sans" w:hAnsi="Open Sans" w:cs="Open Sans"/>
          <w:sz w:val="22"/>
          <w:szCs w:val="22"/>
        </w:rPr>
        <w:lastRenderedPageBreak/>
        <w:t>“El leve descenso registrado en este año se debe a que el precio de la vivienda en compra se ha acelerado de manera más abultada incluso que en el mercado del alquiler. Si ambos mercados presentan tendencia alcista, el rendimiento de comprar una vivienda para ponerla en alquiler se equilibra. Por su parte el precio del arrendamiento también se ha encarecido, hasta alcanzar nuevos máximos, lo que ha permitido que el rendimiento de comprar una vivienda y ponerla en alquiler se mantenga en niveles positivos. Igualmente, el ladrillo continúa siendo el activo más seguro que existe en el mercado y el producto financiero con mayor rentabilidad por lo que se mantiene como el foco de inversión principal para los ahorradores en momentos de incertidumbre económica. Muchos pequeños particulares que apuestan por la vivienda como un valor refugio y que se han lanzado a invertir al percibir este mercado como fiable tras la evolución de la escalada de tipos de interés. De hecho, el volumen de compradores de vivienda como inversión se ha duplicado en el último año”</w:t>
      </w:r>
      <w:r>
        <w:rPr>
          <w:rFonts w:ascii="Open Sans" w:eastAsia="Open Sans" w:hAnsi="Open Sans" w:cs="Open Sans"/>
          <w:color w:val="000000"/>
          <w:sz w:val="22"/>
          <w:szCs w:val="22"/>
        </w:rPr>
        <w:t xml:space="preserve">, según la directora de Estudios de </w:t>
      </w:r>
      <w:hyperlink r:id="rId11">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w:t>
      </w:r>
    </w:p>
    <w:p w14:paraId="089ED4FB" w14:textId="77777777" w:rsidR="00BE2A7C" w:rsidRDefault="00000000">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Comunidad Autónoma</w:t>
      </w:r>
    </w:p>
    <w:p w14:paraId="505D6584" w14:textId="77777777" w:rsidR="00BE2A7C"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La rentabilidad de la vivienda ha aumentado en doce comunidades en 2023 y en siete de ellas el valor es igual o está por encima de la rentabilidad de España (6,4%) y son: </w:t>
      </w:r>
      <w:proofErr w:type="spellStart"/>
      <w:r>
        <w:rPr>
          <w:rFonts w:ascii="Open Sans" w:eastAsia="Open Sans" w:hAnsi="Open Sans" w:cs="Open Sans"/>
          <w:color w:val="000000"/>
          <w:sz w:val="22"/>
          <w:szCs w:val="22"/>
        </w:rPr>
        <w:t>Comunitat</w:t>
      </w:r>
      <w:proofErr w:type="spellEnd"/>
      <w:r>
        <w:rPr>
          <w:rFonts w:ascii="Open Sans" w:eastAsia="Open Sans" w:hAnsi="Open Sans" w:cs="Open Sans"/>
          <w:color w:val="000000"/>
          <w:sz w:val="22"/>
          <w:szCs w:val="22"/>
        </w:rPr>
        <w:t xml:space="preserve"> Valenciana (7,9%), Región de Murcia (7,4%), Cantabria (7,3%), Castilla y León (7,0%), Cataluña (6,9%), Asturias (6,8%) y Navarra (6,4%). Por debajo de la rentabilidad media se encuentran las comunidades de Aragón (6,3%), Extremadura (6,3%), Canarias (6,3%), Castilla-La Mancha (6,3%), Andalucía (6,1%), Galicia (6,0%), País Vasco (6,0%), La Rioja (5,9%), Madrid (5,5%) y Baleares (5,3%).</w:t>
      </w:r>
    </w:p>
    <w:p w14:paraId="2A0C6BF8" w14:textId="39C72B3F" w:rsidR="00BE2A7C" w:rsidRDefault="00D46F7C">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30"/>
          <w:szCs w:val="30"/>
        </w:rPr>
      </w:pPr>
      <w:r>
        <w:rPr>
          <w:rFonts w:ascii="Times New Roman" w:eastAsia="Times New Roman" w:hAnsi="Times New Roman" w:cs="Times New Roman"/>
          <w:noProof/>
          <w:color w:val="000000"/>
        </w:rPr>
        <w:drawing>
          <wp:anchor distT="0" distB="0" distL="114300" distR="114300" simplePos="0" relativeHeight="251660288" behindDoc="0" locked="0" layoutInCell="1" allowOverlap="1" wp14:anchorId="6776E34A" wp14:editId="28D2D892">
            <wp:simplePos x="0" y="0"/>
            <wp:positionH relativeFrom="margin">
              <wp:align>center</wp:align>
            </wp:positionH>
            <wp:positionV relativeFrom="paragraph">
              <wp:posOffset>297815</wp:posOffset>
            </wp:positionV>
            <wp:extent cx="5970270" cy="2818130"/>
            <wp:effectExtent l="0" t="0" r="0" b="1270"/>
            <wp:wrapSquare wrapText="bothSides"/>
            <wp:docPr id="1546228676" name="Gráfico 15462286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000000">
        <w:rPr>
          <w:rFonts w:ascii="Open Sans Light" w:eastAsia="Open Sans Light" w:hAnsi="Open Sans Light" w:cs="Open Sans Light"/>
          <w:b/>
          <w:color w:val="303AB2"/>
          <w:sz w:val="30"/>
          <w:szCs w:val="30"/>
        </w:rPr>
        <w:t>Rentabilidad de 2023 por comunidades autónomas</w:t>
      </w:r>
    </w:p>
    <w:p w14:paraId="3996DBF7" w14:textId="77777777" w:rsidR="00BE2A7C" w:rsidRDefault="00BE2A7C">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30"/>
          <w:szCs w:val="30"/>
        </w:rPr>
      </w:pPr>
    </w:p>
    <w:p w14:paraId="6B816885" w14:textId="77777777" w:rsidR="00BE2A7C"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Open Sans Light" w:eastAsia="Open Sans Light" w:hAnsi="Open Sans Light" w:cs="Open Sans Light"/>
          <w:b/>
          <w:color w:val="303AB2"/>
          <w:sz w:val="30"/>
          <w:szCs w:val="30"/>
        </w:rPr>
        <w:lastRenderedPageBreak/>
        <w:t>Mapa - Rentabilidad por CCAA en 2023</w:t>
      </w:r>
    </w:p>
    <w:p w14:paraId="5E93B5B1" w14:textId="77777777" w:rsidR="00BE2A7C"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Open Sans" w:eastAsia="Open Sans" w:hAnsi="Open Sans" w:cs="Open Sans"/>
          <w:noProof/>
          <w:color w:val="000000"/>
          <w:sz w:val="22"/>
          <w:szCs w:val="22"/>
        </w:rPr>
        <w:drawing>
          <wp:inline distT="0" distB="0" distL="0" distR="0" wp14:anchorId="64CAD7EE" wp14:editId="54CAB3C1">
            <wp:extent cx="5396230" cy="3424555"/>
            <wp:effectExtent l="0" t="0" r="0" b="0"/>
            <wp:docPr id="1546228680" name="image8.png" descr="Imagen que contiene 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Imagen que contiene Mapa&#10;&#10;Descripción generada automáticamente"/>
                    <pic:cNvPicPr preferRelativeResize="0"/>
                  </pic:nvPicPr>
                  <pic:blipFill>
                    <a:blip r:embed="rId13"/>
                    <a:srcRect/>
                    <a:stretch>
                      <a:fillRect/>
                    </a:stretch>
                  </pic:blipFill>
                  <pic:spPr>
                    <a:xfrm>
                      <a:off x="0" y="0"/>
                      <a:ext cx="5396230" cy="3424555"/>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7F5EDB56" wp14:editId="7511657B">
            <wp:extent cx="4469022" cy="182571"/>
            <wp:effectExtent l="0" t="0" r="0" b="0"/>
            <wp:docPr id="15462286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469022" cy="182571"/>
                    </a:xfrm>
                    <a:prstGeom prst="rect">
                      <a:avLst/>
                    </a:prstGeom>
                    <a:ln/>
                  </pic:spPr>
                </pic:pic>
              </a:graphicData>
            </a:graphic>
          </wp:inline>
        </w:drawing>
      </w:r>
    </w:p>
    <w:p w14:paraId="63AE3F69"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Times New Roman" w:eastAsia="Times New Roman" w:hAnsi="Times New Roman" w:cs="Times New Roman"/>
          <w:color w:val="000000"/>
        </w:rPr>
      </w:pPr>
      <w:bookmarkStart w:id="2" w:name="_heading=h.1fob9te" w:colFirst="0" w:colLast="0"/>
      <w:bookmarkEnd w:id="2"/>
      <w:r>
        <w:rPr>
          <w:rFonts w:ascii="Open Sans Light" w:eastAsia="Open Sans Light" w:hAnsi="Open Sans Light" w:cs="Open Sans Light"/>
          <w:b/>
          <w:color w:val="303AB2"/>
          <w:sz w:val="28"/>
          <w:szCs w:val="28"/>
        </w:rPr>
        <w:t>Mapa comparativo de la rentabilidad por CCAA en 2013, 2018 y 2022</w:t>
      </w:r>
      <w:r>
        <w:rPr>
          <w:noProof/>
        </w:rPr>
        <w:drawing>
          <wp:anchor distT="0" distB="0" distL="114300" distR="114300" simplePos="0" relativeHeight="251659264" behindDoc="0" locked="0" layoutInCell="1" hidden="0" allowOverlap="1" wp14:anchorId="376F079C" wp14:editId="3983C31D">
            <wp:simplePos x="0" y="0"/>
            <wp:positionH relativeFrom="column">
              <wp:posOffset>-402589</wp:posOffset>
            </wp:positionH>
            <wp:positionV relativeFrom="paragraph">
              <wp:posOffset>340995</wp:posOffset>
            </wp:positionV>
            <wp:extent cx="6311900" cy="1623060"/>
            <wp:effectExtent l="0" t="0" r="0" b="0"/>
            <wp:wrapSquare wrapText="bothSides" distT="0" distB="0" distL="114300" distR="114300"/>
            <wp:docPr id="1546228691" name="image10.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0.png" descr="Mapa&#10;&#10;Descripción generada automáticamente"/>
                    <pic:cNvPicPr preferRelativeResize="0"/>
                  </pic:nvPicPr>
                  <pic:blipFill>
                    <a:blip r:embed="rId15"/>
                    <a:srcRect/>
                    <a:stretch>
                      <a:fillRect/>
                    </a:stretch>
                  </pic:blipFill>
                  <pic:spPr>
                    <a:xfrm>
                      <a:off x="0" y="0"/>
                      <a:ext cx="6311900" cy="1623060"/>
                    </a:xfrm>
                    <a:prstGeom prst="rect">
                      <a:avLst/>
                    </a:prstGeom>
                    <a:ln/>
                  </pic:spPr>
                </pic:pic>
              </a:graphicData>
            </a:graphic>
          </wp:anchor>
        </w:drawing>
      </w:r>
    </w:p>
    <w:p w14:paraId="2EC37F81" w14:textId="77777777" w:rsidR="00BE2A7C" w:rsidRDefault="00000000">
      <w:pPr>
        <w:pBdr>
          <w:top w:val="nil"/>
          <w:left w:val="nil"/>
          <w:bottom w:val="nil"/>
          <w:right w:val="nil"/>
          <w:between w:val="nil"/>
        </w:pBdr>
        <w:shd w:val="clear" w:color="auto" w:fill="FFFFFF"/>
        <w:spacing w:before="280" w:after="280" w:line="276" w:lineRule="auto"/>
        <w:ind w:right="-574"/>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0EE10867" wp14:editId="6A0C1B3A">
            <wp:extent cx="5362575" cy="219075"/>
            <wp:effectExtent l="0" t="0" r="0" b="0"/>
            <wp:docPr id="15462286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362575" cy="219075"/>
                    </a:xfrm>
                    <a:prstGeom prst="rect">
                      <a:avLst/>
                    </a:prstGeom>
                    <a:ln/>
                  </pic:spPr>
                </pic:pic>
              </a:graphicData>
            </a:graphic>
          </wp:inline>
        </w:drawing>
      </w:r>
    </w:p>
    <w:p w14:paraId="78C5A8F3" w14:textId="77777777" w:rsidR="00D46F7C" w:rsidRDefault="00D46F7C">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0792933A" w14:textId="3BCB13DC"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municipios</w:t>
      </w:r>
    </w:p>
    <w:p w14:paraId="1D26BA2A"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análisis de </w:t>
      </w:r>
      <w:hyperlink r:id="rId16">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también ofrece datos de rentabilidad por municipios. Así, del análisis se desprende que el 48% de los municipios estudiados (132 municipios en total) tienen una rentabilidad igual o por encima de la media de España (6,4%). </w:t>
      </w:r>
    </w:p>
    <w:p w14:paraId="66EE4E1F" w14:textId="77777777" w:rsidR="00D46F7C" w:rsidRDefault="00D46F7C">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0734C32A"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La ciudad costera de Gandía es la única que tiene una rentabilidad por encima del 10%, ha pasado en 10 años del 4,8% al 10,7% de rentabilidad, convirtiéndose un año más en la ciudad más rentable de España en 2023. Le siguen muy de cerca como las ciudades más rentables como Laredo con 9,7%, La Manga del Mar Menor con 9,7%, Lucena con 8,9%, L'Hospitalet de Llobregat con 8,7%, La Línea de la Concepción con 8,3%, Talavera de la Reina con 8,3%, El Ejido con 8,2%, Algeciras con 8,1% y Molina de Segura con 8,0%; todas ellas por encima del 8% de rentabilidad.</w:t>
      </w:r>
    </w:p>
    <w:p w14:paraId="0E2FE65F"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Por otro lado, el 18% de las ciudades analizadas tienen una rentabilidad inferior al 5% y las primeras diez son: Eivissa con 3,7%, Getxo con 3,9%, Donostia - San Sebastián con 4,0%, Sitges con 4,0%, </w:t>
      </w:r>
      <w:proofErr w:type="spellStart"/>
      <w:r>
        <w:rPr>
          <w:rFonts w:ascii="Open Sans" w:eastAsia="Open Sans" w:hAnsi="Open Sans" w:cs="Open Sans"/>
          <w:color w:val="000000"/>
          <w:sz w:val="22"/>
          <w:szCs w:val="22"/>
        </w:rPr>
        <w:t>Benahavís</w:t>
      </w:r>
      <w:proofErr w:type="spellEnd"/>
      <w:r>
        <w:rPr>
          <w:rFonts w:ascii="Open Sans" w:eastAsia="Open Sans" w:hAnsi="Open Sans" w:cs="Open Sans"/>
          <w:color w:val="000000"/>
          <w:sz w:val="22"/>
          <w:szCs w:val="22"/>
        </w:rPr>
        <w:t xml:space="preserve"> con 4,1%, Sant Cugat del Vallès con 4,3%, Calvià con 4,4%, Marbella con 4,5%, Orihuela con 4,5%, Santiago de Compostela con 4,5%, Pamplona / Iruña con 4,5%, A Coruña capital con 4,6%, Almuñécar con 4,6%, Estepona con 4,6%, Fuengirola con 4,7%, Altea con 4,7%, Madrid capital con 4,7%, Vic con 4,8%, </w:t>
      </w:r>
      <w:proofErr w:type="spellStart"/>
      <w:r>
        <w:rPr>
          <w:rFonts w:ascii="Open Sans" w:eastAsia="Open Sans" w:hAnsi="Open Sans" w:cs="Open Sans"/>
          <w:color w:val="000000"/>
          <w:sz w:val="22"/>
          <w:szCs w:val="22"/>
        </w:rPr>
        <w:t>Dénia</w:t>
      </w:r>
      <w:proofErr w:type="spellEnd"/>
      <w:r>
        <w:rPr>
          <w:rFonts w:ascii="Open Sans" w:eastAsia="Open Sans" w:hAnsi="Open Sans" w:cs="Open Sans"/>
          <w:color w:val="000000"/>
          <w:sz w:val="22"/>
          <w:szCs w:val="22"/>
        </w:rPr>
        <w:t xml:space="preserve"> con 4,8%, Cádiz capital con 4,8%, Pozuelo de Alarcón con 4,8%, Rincón de la Victoria con 4,9%, Vigo con 4,9% y Castro-Urdiales con 4,9%.</w:t>
      </w:r>
    </w:p>
    <w:p w14:paraId="00AB81EF" w14:textId="77777777" w:rsidR="00D46F7C" w:rsidRDefault="00D46F7C">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5EA58242" w14:textId="77777777" w:rsidR="00BE2A7C" w:rsidRDefault="00000000">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30"/>
          <w:szCs w:val="30"/>
        </w:rPr>
      </w:pPr>
      <w:r>
        <w:rPr>
          <w:rFonts w:ascii="Open Sans Light" w:eastAsia="Open Sans Light" w:hAnsi="Open Sans Light" w:cs="Open Sans Light"/>
          <w:b/>
          <w:color w:val="303AB2"/>
          <w:sz w:val="30"/>
          <w:szCs w:val="30"/>
        </w:rPr>
        <w:t>Mapa - Rentabilidad por capitales de provincia en 2023</w:t>
      </w:r>
    </w:p>
    <w:p w14:paraId="0E82FD37" w14:textId="77777777" w:rsidR="00BE2A7C"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Open Sans" w:eastAsia="Open Sans" w:hAnsi="Open Sans" w:cs="Open Sans"/>
          <w:noProof/>
          <w:color w:val="000000"/>
          <w:sz w:val="22"/>
          <w:szCs w:val="22"/>
        </w:rPr>
        <w:drawing>
          <wp:inline distT="0" distB="0" distL="0" distR="0" wp14:anchorId="6D7D68AB" wp14:editId="7F2557D6">
            <wp:extent cx="5364511" cy="3528786"/>
            <wp:effectExtent l="0" t="0" r="0" b="0"/>
            <wp:docPr id="1546228683" name="image6.png" descr="Gráfico, Gráfico de burbuj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Gráfico, Gráfico de burbujas&#10;&#10;Descripción generada automáticamente"/>
                    <pic:cNvPicPr preferRelativeResize="0"/>
                  </pic:nvPicPr>
                  <pic:blipFill>
                    <a:blip r:embed="rId17"/>
                    <a:srcRect/>
                    <a:stretch>
                      <a:fillRect/>
                    </a:stretch>
                  </pic:blipFill>
                  <pic:spPr>
                    <a:xfrm>
                      <a:off x="0" y="0"/>
                      <a:ext cx="5364511" cy="3528786"/>
                    </a:xfrm>
                    <a:prstGeom prst="rect">
                      <a:avLst/>
                    </a:prstGeom>
                    <a:ln/>
                  </pic:spPr>
                </pic:pic>
              </a:graphicData>
            </a:graphic>
          </wp:inline>
        </w:drawing>
      </w:r>
    </w:p>
    <w:p w14:paraId="5238D549"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6B10E947"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lastRenderedPageBreak/>
        <w:t>Mapas comparativos de la rentabilidad por capitales de provincia de 2013, 2018 y 2022</w:t>
      </w:r>
    </w:p>
    <w:p w14:paraId="02D249E6" w14:textId="77777777" w:rsidR="00BE2A7C" w:rsidRDefault="00000000">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b/>
          <w:color w:val="303AB2"/>
          <w:sz w:val="28"/>
          <w:szCs w:val="28"/>
        </w:rPr>
      </w:pPr>
      <w:r>
        <w:rPr>
          <w:rFonts w:ascii="Open Sans Light" w:eastAsia="Open Sans Light" w:hAnsi="Open Sans Light" w:cs="Open Sans Light"/>
          <w:b/>
          <w:noProof/>
          <w:color w:val="303AB2"/>
          <w:sz w:val="28"/>
          <w:szCs w:val="28"/>
        </w:rPr>
        <w:drawing>
          <wp:inline distT="0" distB="0" distL="0" distR="0" wp14:anchorId="56A7A65A" wp14:editId="78A59D0A">
            <wp:extent cx="5866481" cy="1675509"/>
            <wp:effectExtent l="0" t="0" r="0" b="0"/>
            <wp:docPr id="1546228682" name="image2.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Mapa&#10;&#10;Descripción generada automáticamente"/>
                    <pic:cNvPicPr preferRelativeResize="0"/>
                  </pic:nvPicPr>
                  <pic:blipFill>
                    <a:blip r:embed="rId18"/>
                    <a:srcRect/>
                    <a:stretch>
                      <a:fillRect/>
                    </a:stretch>
                  </pic:blipFill>
                  <pic:spPr>
                    <a:xfrm>
                      <a:off x="0" y="0"/>
                      <a:ext cx="5866481" cy="1675509"/>
                    </a:xfrm>
                    <a:prstGeom prst="rect">
                      <a:avLst/>
                    </a:prstGeom>
                    <a:ln/>
                  </pic:spPr>
                </pic:pic>
              </a:graphicData>
            </a:graphic>
          </wp:inline>
        </w:drawing>
      </w:r>
    </w:p>
    <w:p w14:paraId="5869AED5" w14:textId="77777777" w:rsidR="00BE2A7C" w:rsidRDefault="00000000">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b/>
          <w:color w:val="303AB2"/>
          <w:sz w:val="28"/>
          <w:szCs w:val="28"/>
        </w:rPr>
      </w:pPr>
      <w:r>
        <w:rPr>
          <w:rFonts w:ascii="Times New Roman" w:eastAsia="Times New Roman" w:hAnsi="Times New Roman" w:cs="Times New Roman"/>
          <w:noProof/>
          <w:color w:val="000000"/>
        </w:rPr>
        <w:drawing>
          <wp:inline distT="0" distB="0" distL="0" distR="0" wp14:anchorId="04867A61" wp14:editId="36118486">
            <wp:extent cx="5362575" cy="219075"/>
            <wp:effectExtent l="0" t="0" r="0" b="0"/>
            <wp:docPr id="15462286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362575" cy="219075"/>
                    </a:xfrm>
                    <a:prstGeom prst="rect">
                      <a:avLst/>
                    </a:prstGeom>
                    <a:ln/>
                  </pic:spPr>
                </pic:pic>
              </a:graphicData>
            </a:graphic>
          </wp:inline>
        </w:drawing>
      </w:r>
    </w:p>
    <w:p w14:paraId="6964F6A6"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615723E8"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distritos</w:t>
      </w:r>
    </w:p>
    <w:p w14:paraId="670960CF"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análisis de </w:t>
      </w:r>
      <w:hyperlink r:id="rId19">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también ofrece datos de los distritos más rentables para comprar una vivienda y ponerla en alquiler en Madrid y Barcelona.</w:t>
      </w:r>
    </w:p>
    <w:p w14:paraId="6DD3C3C2"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cuanto a</w:t>
      </w:r>
      <w:r>
        <w:rPr>
          <w:rFonts w:ascii="Open Sans" w:eastAsia="Open Sans" w:hAnsi="Open Sans" w:cs="Open Sans"/>
          <w:b/>
          <w:color w:val="000000"/>
          <w:sz w:val="22"/>
          <w:szCs w:val="22"/>
        </w:rPr>
        <w:t xml:space="preserve"> Madrid capital</w:t>
      </w:r>
      <w:r>
        <w:rPr>
          <w:rFonts w:ascii="Open Sans" w:eastAsia="Open Sans" w:hAnsi="Open Sans" w:cs="Open Sans"/>
          <w:color w:val="000000"/>
          <w:sz w:val="22"/>
          <w:szCs w:val="22"/>
        </w:rPr>
        <w:t xml:space="preserve">, el distrito de Villaverde ha pasado en 10 años del 5,8% al 8,9% de rentabilidad, convirtiéndose en el distrito en donde más ha aumentado la rentabilidad en la última década. </w:t>
      </w:r>
    </w:p>
    <w:p w14:paraId="7009CC28"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Del análisis también se desprende que los tres distritos más rentables de Madrid en 2023 son:</w:t>
      </w:r>
      <w:r>
        <w:rPr>
          <w:rFonts w:ascii="Times New Roman" w:eastAsia="Times New Roman" w:hAnsi="Times New Roman" w:cs="Times New Roman"/>
          <w:color w:val="000000"/>
        </w:rPr>
        <w:t xml:space="preserve"> </w:t>
      </w:r>
      <w:r>
        <w:rPr>
          <w:rFonts w:ascii="Open Sans" w:eastAsia="Open Sans" w:hAnsi="Open Sans" w:cs="Open Sans"/>
          <w:color w:val="000000"/>
          <w:sz w:val="22"/>
          <w:szCs w:val="22"/>
        </w:rPr>
        <w:t>Villaverde con 8,9%, Puente de Vallecas con 7,7% y Latina con 7,4%. Le siguen los distritos de Vicálvaro con 5,7%, San Blas con 5,6%, Ciudad Lineal con 5,6%, Arganzuela con 5,1%, Tetuán con 4,8%, Hortaleza con 4,6%, Moncloa - Aravaca con 4,5%, Fuencarral - El Pardo con 4,3%, Retiro con 4,2%, Chamartín con 4,0%, Chamberí con 4,0% y Centro con 3,9% y Barrio de Salamanca con 3,2%.</w:t>
      </w:r>
    </w:p>
    <w:p w14:paraId="42E9FCEA"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25986384"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622E95DE"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30385A77"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7CF34185"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1B2597A9" w14:textId="77777777" w:rsidR="00BE2A7C"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0"/>
          <w:szCs w:val="20"/>
        </w:rPr>
      </w:pPr>
      <w:r>
        <w:rPr>
          <w:rFonts w:ascii="Open Sans Light" w:eastAsia="Open Sans Light" w:hAnsi="Open Sans Light" w:cs="Open Sans Light"/>
          <w:b/>
          <w:color w:val="303AB2"/>
          <w:sz w:val="28"/>
          <w:szCs w:val="28"/>
        </w:rPr>
        <w:lastRenderedPageBreak/>
        <w:t>Mapa - Rentabilidad por distritos en 2023</w:t>
      </w:r>
    </w:p>
    <w:p w14:paraId="0C37EA1E"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581D2B75" w14:textId="77777777" w:rsidR="00BE2A7C" w:rsidRDefault="00000000">
      <w:pPr>
        <w:pBdr>
          <w:top w:val="nil"/>
          <w:left w:val="nil"/>
          <w:bottom w:val="nil"/>
          <w:right w:val="nil"/>
          <w:between w:val="nil"/>
        </w:pBdr>
        <w:shd w:val="clear" w:color="auto" w:fill="FFFFFF"/>
        <w:spacing w:before="280" w:after="280" w:line="276" w:lineRule="auto"/>
        <w:ind w:left="-142" w:right="-574"/>
        <w:jc w:val="center"/>
        <w:rPr>
          <w:rFonts w:ascii="Open Sans" w:eastAsia="Open Sans" w:hAnsi="Open Sans" w:cs="Open Sans"/>
          <w:color w:val="000000"/>
          <w:sz w:val="22"/>
          <w:szCs w:val="22"/>
        </w:rPr>
      </w:pPr>
      <w:r>
        <w:rPr>
          <w:rFonts w:ascii="Open Sans" w:eastAsia="Open Sans" w:hAnsi="Open Sans" w:cs="Open Sans"/>
          <w:noProof/>
          <w:color w:val="000000"/>
          <w:sz w:val="22"/>
          <w:szCs w:val="22"/>
        </w:rPr>
        <w:drawing>
          <wp:inline distT="0" distB="0" distL="0" distR="0" wp14:anchorId="5915E5BD" wp14:editId="381B746E">
            <wp:extent cx="3044071" cy="4110268"/>
            <wp:effectExtent l="0" t="0" r="0" b="0"/>
            <wp:docPr id="1546228684" name="image5.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Mapa&#10;&#10;Descripción generada automáticamente"/>
                    <pic:cNvPicPr preferRelativeResize="0"/>
                  </pic:nvPicPr>
                  <pic:blipFill>
                    <a:blip r:embed="rId20"/>
                    <a:srcRect/>
                    <a:stretch>
                      <a:fillRect/>
                    </a:stretch>
                  </pic:blipFill>
                  <pic:spPr>
                    <a:xfrm>
                      <a:off x="0" y="0"/>
                      <a:ext cx="3044071" cy="4110268"/>
                    </a:xfrm>
                    <a:prstGeom prst="rect">
                      <a:avLst/>
                    </a:prstGeom>
                    <a:ln/>
                  </pic:spPr>
                </pic:pic>
              </a:graphicData>
            </a:graphic>
          </wp:inline>
        </w:drawing>
      </w:r>
    </w:p>
    <w:p w14:paraId="721907EF"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Mapas comparativos de la rentabilidad de los distritos de Madrid de 2013, 2018 y 2022</w:t>
      </w:r>
    </w:p>
    <w:p w14:paraId="45525343" w14:textId="77777777" w:rsidR="00BE2A7C" w:rsidRDefault="00000000">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color w:val="404040"/>
        </w:rPr>
      </w:pPr>
      <w:r>
        <w:rPr>
          <w:rFonts w:ascii="Open Sans Light" w:eastAsia="Open Sans Light" w:hAnsi="Open Sans Light" w:cs="Open Sans Light"/>
          <w:noProof/>
          <w:color w:val="404040"/>
        </w:rPr>
        <w:drawing>
          <wp:inline distT="0" distB="0" distL="0" distR="0" wp14:anchorId="104E619A" wp14:editId="2A0308EB">
            <wp:extent cx="5494689" cy="2695864"/>
            <wp:effectExtent l="0" t="0" r="0" b="0"/>
            <wp:docPr id="1546228685" name="image4.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Mapa&#10;&#10;Descripción generada automáticamente"/>
                    <pic:cNvPicPr preferRelativeResize="0"/>
                  </pic:nvPicPr>
                  <pic:blipFill>
                    <a:blip r:embed="rId21"/>
                    <a:srcRect/>
                    <a:stretch>
                      <a:fillRect/>
                    </a:stretch>
                  </pic:blipFill>
                  <pic:spPr>
                    <a:xfrm>
                      <a:off x="0" y="0"/>
                      <a:ext cx="5494689" cy="2695864"/>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5179ED25" wp14:editId="4D8B931C">
            <wp:extent cx="5362575" cy="219075"/>
            <wp:effectExtent l="0" t="0" r="0" b="0"/>
            <wp:docPr id="15462286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362575" cy="219075"/>
                    </a:xfrm>
                    <a:prstGeom prst="rect">
                      <a:avLst/>
                    </a:prstGeom>
                    <a:ln/>
                  </pic:spPr>
                </pic:pic>
              </a:graphicData>
            </a:graphic>
          </wp:inline>
        </w:drawing>
      </w:r>
    </w:p>
    <w:p w14:paraId="0250F980"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En cuanto a</w:t>
      </w:r>
      <w:r>
        <w:rPr>
          <w:rFonts w:ascii="Open Sans" w:eastAsia="Open Sans" w:hAnsi="Open Sans" w:cs="Open Sans"/>
          <w:b/>
          <w:color w:val="000000"/>
          <w:sz w:val="22"/>
          <w:szCs w:val="22"/>
        </w:rPr>
        <w:t xml:space="preserve"> Barcelona capital</w:t>
      </w:r>
      <w:r>
        <w:rPr>
          <w:rFonts w:ascii="Open Sans" w:eastAsia="Open Sans" w:hAnsi="Open Sans" w:cs="Open Sans"/>
          <w:color w:val="000000"/>
          <w:sz w:val="22"/>
          <w:szCs w:val="22"/>
        </w:rPr>
        <w:t xml:space="preserve">, el distrito de Nou </w:t>
      </w:r>
      <w:proofErr w:type="spellStart"/>
      <w:r>
        <w:rPr>
          <w:rFonts w:ascii="Open Sans" w:eastAsia="Open Sans" w:hAnsi="Open Sans" w:cs="Open Sans"/>
          <w:color w:val="000000"/>
          <w:sz w:val="22"/>
          <w:szCs w:val="22"/>
        </w:rPr>
        <w:t>Barris</w:t>
      </w:r>
      <w:proofErr w:type="spellEnd"/>
      <w:r>
        <w:rPr>
          <w:rFonts w:ascii="Open Sans" w:eastAsia="Open Sans" w:hAnsi="Open Sans" w:cs="Open Sans"/>
          <w:color w:val="000000"/>
          <w:sz w:val="22"/>
          <w:szCs w:val="22"/>
        </w:rPr>
        <w:t xml:space="preserve"> ha pasado en 10 años del 5,2% al 7,7% de rentabilidad, convirtiéndose en el más rentable de la capital catalana. Le siguen, Sants - Montjuïc con 6,8%, Sant Martí con 6,4%, Sant Andreu con 6,2%, Horta - Guinardó con 5,9%, </w:t>
      </w:r>
      <w:proofErr w:type="spellStart"/>
      <w:r>
        <w:rPr>
          <w:rFonts w:ascii="Open Sans" w:eastAsia="Open Sans" w:hAnsi="Open Sans" w:cs="Open Sans"/>
          <w:color w:val="000000"/>
          <w:sz w:val="22"/>
          <w:szCs w:val="22"/>
        </w:rPr>
        <w:t>Ciutat</w:t>
      </w:r>
      <w:proofErr w:type="spellEnd"/>
      <w:r>
        <w:rPr>
          <w:rFonts w:ascii="Open Sans" w:eastAsia="Open Sans" w:hAnsi="Open Sans" w:cs="Open Sans"/>
          <w:color w:val="000000"/>
          <w:sz w:val="22"/>
          <w:szCs w:val="22"/>
        </w:rPr>
        <w:t xml:space="preserve"> Vella con 5,6%, Gràcia con 4,9%, Les Corts con 4,8%, Eixample con 4,6% y Sarrià - Sant Gervasi con 4,2%.</w:t>
      </w:r>
    </w:p>
    <w:p w14:paraId="778053E7" w14:textId="77777777" w:rsidR="00BE2A7C"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0"/>
          <w:szCs w:val="20"/>
        </w:rPr>
      </w:pPr>
      <w:r>
        <w:rPr>
          <w:rFonts w:ascii="Open Sans Light" w:eastAsia="Open Sans Light" w:hAnsi="Open Sans Light" w:cs="Open Sans Light"/>
          <w:b/>
          <w:color w:val="303AB2"/>
          <w:sz w:val="28"/>
          <w:szCs w:val="28"/>
        </w:rPr>
        <w:t>Mapa - Rentabilidad por distritos de Barcelona en 2023</w:t>
      </w:r>
    </w:p>
    <w:p w14:paraId="111FABCD" w14:textId="77777777" w:rsidR="00BE2A7C" w:rsidRDefault="00000000">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b/>
          <w:color w:val="303AB2"/>
          <w:sz w:val="28"/>
          <w:szCs w:val="28"/>
        </w:rPr>
      </w:pPr>
      <w:r>
        <w:rPr>
          <w:rFonts w:ascii="Open Sans Light" w:eastAsia="Open Sans Light" w:hAnsi="Open Sans Light" w:cs="Open Sans Light"/>
          <w:b/>
          <w:noProof/>
          <w:color w:val="303AB2"/>
          <w:sz w:val="28"/>
          <w:szCs w:val="28"/>
        </w:rPr>
        <w:drawing>
          <wp:inline distT="0" distB="0" distL="0" distR="0" wp14:anchorId="7E977DDF" wp14:editId="14C4D903">
            <wp:extent cx="4079383" cy="3880569"/>
            <wp:effectExtent l="0" t="0" r="0" b="0"/>
            <wp:docPr id="1546228688" name="image9.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Mapa&#10;&#10;Descripción generada automáticamente"/>
                    <pic:cNvPicPr preferRelativeResize="0"/>
                  </pic:nvPicPr>
                  <pic:blipFill>
                    <a:blip r:embed="rId22"/>
                    <a:srcRect/>
                    <a:stretch>
                      <a:fillRect/>
                    </a:stretch>
                  </pic:blipFill>
                  <pic:spPr>
                    <a:xfrm>
                      <a:off x="0" y="0"/>
                      <a:ext cx="4079383" cy="3880569"/>
                    </a:xfrm>
                    <a:prstGeom prst="rect">
                      <a:avLst/>
                    </a:prstGeom>
                    <a:ln/>
                  </pic:spPr>
                </pic:pic>
              </a:graphicData>
            </a:graphic>
          </wp:inline>
        </w:drawing>
      </w:r>
    </w:p>
    <w:p w14:paraId="070E8AA7"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Mapas comparativos de la rentabilidad de los distritos de Barcelona en junio</w:t>
      </w:r>
      <w:r>
        <w:rPr>
          <w:rFonts w:ascii="Open Sans Light" w:eastAsia="Open Sans Light" w:hAnsi="Open Sans Light" w:cs="Open Sans Light"/>
          <w:b/>
          <w:color w:val="303AB2"/>
          <w:sz w:val="28"/>
          <w:szCs w:val="28"/>
        </w:rPr>
        <w:t xml:space="preserve"> </w:t>
      </w:r>
      <w:r>
        <w:rPr>
          <w:rFonts w:ascii="Open Sans Light" w:eastAsia="Open Sans Light" w:hAnsi="Open Sans Light" w:cs="Open Sans Light"/>
          <w:b/>
          <w:color w:val="303AB2"/>
        </w:rPr>
        <w:t>de 2013, 2018 y 2022</w:t>
      </w:r>
    </w:p>
    <w:p w14:paraId="53E9DE77" w14:textId="77777777" w:rsidR="00BE2A7C" w:rsidRDefault="00000000">
      <w:pPr>
        <w:pBdr>
          <w:top w:val="nil"/>
          <w:left w:val="nil"/>
          <w:bottom w:val="nil"/>
          <w:right w:val="nil"/>
          <w:between w:val="nil"/>
        </w:pBdr>
        <w:shd w:val="clear" w:color="auto" w:fill="FFFFFF"/>
        <w:spacing w:before="280" w:after="280" w:line="276" w:lineRule="auto"/>
        <w:ind w:left="-142" w:right="-574"/>
        <w:rPr>
          <w:rFonts w:ascii="Open Sans Light" w:eastAsia="Open Sans Light" w:hAnsi="Open Sans Light" w:cs="Open Sans Light"/>
          <w:b/>
          <w:color w:val="303AB2"/>
          <w:sz w:val="28"/>
          <w:szCs w:val="28"/>
        </w:rPr>
      </w:pPr>
      <w:bookmarkStart w:id="3" w:name="_heading=h.3znysh7" w:colFirst="0" w:colLast="0"/>
      <w:bookmarkEnd w:id="3"/>
      <w:r>
        <w:rPr>
          <w:rFonts w:ascii="Open Sans Light" w:eastAsia="Open Sans Light" w:hAnsi="Open Sans Light" w:cs="Open Sans Light"/>
          <w:b/>
          <w:noProof/>
          <w:color w:val="303AB2"/>
          <w:sz w:val="28"/>
          <w:szCs w:val="28"/>
        </w:rPr>
        <w:drawing>
          <wp:inline distT="0" distB="0" distL="0" distR="0" wp14:anchorId="5EC60B73" wp14:editId="6EB21FEE">
            <wp:extent cx="6061662" cy="2044332"/>
            <wp:effectExtent l="0" t="0" r="0" b="0"/>
            <wp:docPr id="1546228689" name="image7.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Mapa&#10;&#10;Descripción generada automáticamente"/>
                    <pic:cNvPicPr preferRelativeResize="0"/>
                  </pic:nvPicPr>
                  <pic:blipFill>
                    <a:blip r:embed="rId23"/>
                    <a:srcRect/>
                    <a:stretch>
                      <a:fillRect/>
                    </a:stretch>
                  </pic:blipFill>
                  <pic:spPr>
                    <a:xfrm>
                      <a:off x="0" y="0"/>
                      <a:ext cx="6061662" cy="2044332"/>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427FCF8B" wp14:editId="3C49D87E">
            <wp:extent cx="5362575" cy="219075"/>
            <wp:effectExtent l="0" t="0" r="0" b="0"/>
            <wp:docPr id="15462286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362575" cy="219075"/>
                    </a:xfrm>
                    <a:prstGeom prst="rect">
                      <a:avLst/>
                    </a:prstGeom>
                    <a:ln/>
                  </pic:spPr>
                </pic:pic>
              </a:graphicData>
            </a:graphic>
          </wp:inline>
        </w:drawing>
      </w:r>
    </w:p>
    <w:p w14:paraId="4E08651B"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lastRenderedPageBreak/>
        <w:t>Por barrios</w:t>
      </w:r>
    </w:p>
    <w:p w14:paraId="331B8989"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análisis de </w:t>
      </w:r>
      <w:hyperlink r:id="rId24">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también ofrece datos de los barrios más rentables para comprar una vivienda y ponerla en alquiler en España. </w:t>
      </w:r>
    </w:p>
    <w:p w14:paraId="4278269C"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cuanto a</w:t>
      </w:r>
      <w:r>
        <w:rPr>
          <w:rFonts w:ascii="Open Sans" w:eastAsia="Open Sans" w:hAnsi="Open Sans" w:cs="Open Sans"/>
          <w:b/>
          <w:color w:val="000000"/>
          <w:sz w:val="22"/>
          <w:szCs w:val="22"/>
        </w:rPr>
        <w:t xml:space="preserve"> Madrid capital</w:t>
      </w:r>
      <w:r>
        <w:rPr>
          <w:rFonts w:ascii="Open Sans" w:eastAsia="Open Sans" w:hAnsi="Open Sans" w:cs="Open Sans"/>
          <w:color w:val="000000"/>
          <w:sz w:val="22"/>
          <w:szCs w:val="22"/>
        </w:rPr>
        <w:t>, el barrio más rentable es Embajadores – Lavapiés con un 5,3% de rentabilidad, seguido de</w:t>
      </w:r>
      <w:r>
        <w:rPr>
          <w:rFonts w:ascii="Times New Roman" w:eastAsia="Times New Roman" w:hAnsi="Times New Roman" w:cs="Times New Roman"/>
          <w:color w:val="000000"/>
        </w:rPr>
        <w:t xml:space="preserve"> </w:t>
      </w:r>
      <w:r>
        <w:rPr>
          <w:rFonts w:ascii="Open Sans" w:eastAsia="Open Sans" w:hAnsi="Open Sans" w:cs="Open Sans"/>
          <w:color w:val="000000"/>
          <w:sz w:val="22"/>
          <w:szCs w:val="22"/>
        </w:rPr>
        <w:t>Guindalera con 4,7%, Palacio con 4,6%, Argüelles con 4,4%, Ríos Rosas - Nuevos Ministerios con 3,8%, El Viso con 3,7%, Hispanoamérica - Bernabéu con 3,6%, Almagro con 3,6%, Universidad - Malasaña con 3,6%, Sol con 3,5%, Justicia - Chueca con 3,4%, Goya con 3,4%, Lista con 2,9%, Recoletos con 2,7% y Castellana con 2,7%.</w:t>
      </w:r>
    </w:p>
    <w:p w14:paraId="166E0059"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cuanto</w:t>
      </w:r>
      <w:r>
        <w:rPr>
          <w:rFonts w:ascii="Open Sans" w:eastAsia="Open Sans" w:hAnsi="Open Sans" w:cs="Open Sans"/>
          <w:b/>
          <w:color w:val="000000"/>
          <w:sz w:val="22"/>
          <w:szCs w:val="22"/>
        </w:rPr>
        <w:t xml:space="preserve"> </w:t>
      </w:r>
      <w:r>
        <w:rPr>
          <w:rFonts w:ascii="Open Sans" w:eastAsia="Open Sans" w:hAnsi="Open Sans" w:cs="Open Sans"/>
          <w:color w:val="000000"/>
          <w:sz w:val="22"/>
          <w:szCs w:val="22"/>
        </w:rPr>
        <w:t>a</w:t>
      </w:r>
      <w:r>
        <w:rPr>
          <w:rFonts w:ascii="Open Sans" w:eastAsia="Open Sans" w:hAnsi="Open Sans" w:cs="Open Sans"/>
          <w:b/>
          <w:color w:val="000000"/>
          <w:sz w:val="22"/>
          <w:szCs w:val="22"/>
        </w:rPr>
        <w:t xml:space="preserve"> Barcelona capital</w:t>
      </w:r>
      <w:r>
        <w:rPr>
          <w:rFonts w:ascii="Open Sans" w:eastAsia="Open Sans" w:hAnsi="Open Sans" w:cs="Open Sans"/>
          <w:color w:val="000000"/>
          <w:sz w:val="22"/>
          <w:szCs w:val="22"/>
        </w:rPr>
        <w:t>, los barrios más rentables son</w:t>
      </w:r>
      <w:r>
        <w:rPr>
          <w:rFonts w:ascii="Times New Roman" w:eastAsia="Times New Roman" w:hAnsi="Times New Roman" w:cs="Times New Roman"/>
          <w:color w:val="000000"/>
        </w:rPr>
        <w:t xml:space="preserve"> </w:t>
      </w:r>
      <w:r>
        <w:rPr>
          <w:rFonts w:ascii="Open Sans" w:eastAsia="Open Sans" w:hAnsi="Open Sans" w:cs="Open Sans"/>
          <w:color w:val="000000"/>
          <w:sz w:val="22"/>
          <w:szCs w:val="22"/>
        </w:rPr>
        <w:t xml:space="preserve">El Poble </w:t>
      </w:r>
      <w:proofErr w:type="spellStart"/>
      <w:r>
        <w:rPr>
          <w:rFonts w:ascii="Open Sans" w:eastAsia="Open Sans" w:hAnsi="Open Sans" w:cs="Open Sans"/>
          <w:color w:val="000000"/>
          <w:sz w:val="22"/>
          <w:szCs w:val="22"/>
        </w:rPr>
        <w:t>Sec</w:t>
      </w:r>
      <w:proofErr w:type="spellEnd"/>
      <w:r>
        <w:rPr>
          <w:rFonts w:ascii="Open Sans" w:eastAsia="Open Sans" w:hAnsi="Open Sans" w:cs="Open Sans"/>
          <w:color w:val="000000"/>
          <w:sz w:val="22"/>
          <w:szCs w:val="22"/>
        </w:rPr>
        <w:t xml:space="preserve"> - </w:t>
      </w:r>
      <w:proofErr w:type="spellStart"/>
      <w:r>
        <w:rPr>
          <w:rFonts w:ascii="Open Sans" w:eastAsia="Open Sans" w:hAnsi="Open Sans" w:cs="Open Sans"/>
          <w:color w:val="000000"/>
          <w:sz w:val="22"/>
          <w:szCs w:val="22"/>
        </w:rPr>
        <w:t>Parc</w:t>
      </w:r>
      <w:proofErr w:type="spellEnd"/>
      <w:r>
        <w:rPr>
          <w:rFonts w:ascii="Open Sans" w:eastAsia="Open Sans" w:hAnsi="Open Sans" w:cs="Open Sans"/>
          <w:color w:val="000000"/>
          <w:sz w:val="22"/>
          <w:szCs w:val="22"/>
        </w:rPr>
        <w:t xml:space="preserve"> de Montjuïc y El Raval con un 6,9%, cada uno. Le siguen El Camp de </w:t>
      </w:r>
      <w:proofErr w:type="spellStart"/>
      <w:r>
        <w:rPr>
          <w:rFonts w:ascii="Open Sans" w:eastAsia="Open Sans" w:hAnsi="Open Sans" w:cs="Open Sans"/>
          <w:color w:val="000000"/>
          <w:sz w:val="22"/>
          <w:szCs w:val="22"/>
        </w:rPr>
        <w:t>l'Arpa</w:t>
      </w:r>
      <w:proofErr w:type="spellEnd"/>
      <w:r>
        <w:rPr>
          <w:rFonts w:ascii="Open Sans" w:eastAsia="Open Sans" w:hAnsi="Open Sans" w:cs="Open Sans"/>
          <w:color w:val="000000"/>
          <w:sz w:val="22"/>
          <w:szCs w:val="22"/>
        </w:rPr>
        <w:t xml:space="preserve"> del Clot 6,8%, Sant Antoni con 5,7%, Sants con 5,7%, Sagrada </w:t>
      </w:r>
      <w:proofErr w:type="spellStart"/>
      <w:r>
        <w:rPr>
          <w:rFonts w:ascii="Open Sans" w:eastAsia="Open Sans" w:hAnsi="Open Sans" w:cs="Open Sans"/>
          <w:color w:val="000000"/>
          <w:sz w:val="22"/>
          <w:szCs w:val="22"/>
        </w:rPr>
        <w:t>Família</w:t>
      </w:r>
      <w:proofErr w:type="spellEnd"/>
      <w:r>
        <w:rPr>
          <w:rFonts w:ascii="Open Sans" w:eastAsia="Open Sans" w:hAnsi="Open Sans" w:cs="Open Sans"/>
          <w:color w:val="000000"/>
          <w:sz w:val="22"/>
          <w:szCs w:val="22"/>
        </w:rPr>
        <w:t xml:space="preserve"> con 5,5%, El Camp </w:t>
      </w:r>
      <w:proofErr w:type="spellStart"/>
      <w:r>
        <w:rPr>
          <w:rFonts w:ascii="Open Sans" w:eastAsia="Open Sans" w:hAnsi="Open Sans" w:cs="Open Sans"/>
          <w:color w:val="000000"/>
          <w:sz w:val="22"/>
          <w:szCs w:val="22"/>
        </w:rPr>
        <w:t>d'en</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Grassot</w:t>
      </w:r>
      <w:proofErr w:type="spellEnd"/>
      <w:r>
        <w:rPr>
          <w:rFonts w:ascii="Open Sans" w:eastAsia="Open Sans" w:hAnsi="Open Sans" w:cs="Open Sans"/>
          <w:color w:val="000000"/>
          <w:sz w:val="22"/>
          <w:szCs w:val="22"/>
        </w:rPr>
        <w:t xml:space="preserve"> i Gràcia Nova con 5,2%, </w:t>
      </w:r>
      <w:proofErr w:type="spellStart"/>
      <w:r>
        <w:rPr>
          <w:rFonts w:ascii="Open Sans" w:eastAsia="Open Sans" w:hAnsi="Open Sans" w:cs="Open Sans"/>
          <w:color w:val="000000"/>
          <w:sz w:val="22"/>
          <w:szCs w:val="22"/>
        </w:rPr>
        <w:t>Barri</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Gòtic</w:t>
      </w:r>
      <w:proofErr w:type="spellEnd"/>
      <w:r>
        <w:rPr>
          <w:rFonts w:ascii="Open Sans" w:eastAsia="Open Sans" w:hAnsi="Open Sans" w:cs="Open Sans"/>
          <w:color w:val="000000"/>
          <w:sz w:val="22"/>
          <w:szCs w:val="22"/>
        </w:rPr>
        <w:t xml:space="preserve"> con 5,1%, </w:t>
      </w:r>
      <w:proofErr w:type="spellStart"/>
      <w:r>
        <w:rPr>
          <w:rFonts w:ascii="Open Sans" w:eastAsia="Open Sans" w:hAnsi="Open Sans" w:cs="Open Sans"/>
          <w:color w:val="000000"/>
          <w:sz w:val="22"/>
          <w:szCs w:val="22"/>
        </w:rPr>
        <w:t>Barri</w:t>
      </w:r>
      <w:proofErr w:type="spellEnd"/>
      <w:r>
        <w:rPr>
          <w:rFonts w:ascii="Open Sans" w:eastAsia="Open Sans" w:hAnsi="Open Sans" w:cs="Open Sans"/>
          <w:color w:val="000000"/>
          <w:sz w:val="22"/>
          <w:szCs w:val="22"/>
        </w:rPr>
        <w:t xml:space="preserve"> de les Corts con 5,0%, El Poblenou con 4,9%, Vila de Gràcia con 4,9%, Sant Pere, Sta. Caterina i la Ribera con 4,8%, La Nova Esquerra de l'Eixample con 4,8%, El </w:t>
      </w:r>
      <w:proofErr w:type="spellStart"/>
      <w:r>
        <w:rPr>
          <w:rFonts w:ascii="Open Sans" w:eastAsia="Open Sans" w:hAnsi="Open Sans" w:cs="Open Sans"/>
          <w:color w:val="000000"/>
          <w:sz w:val="22"/>
          <w:szCs w:val="22"/>
        </w:rPr>
        <w:t>Putget</w:t>
      </w:r>
      <w:proofErr w:type="spellEnd"/>
      <w:r>
        <w:rPr>
          <w:rFonts w:ascii="Open Sans" w:eastAsia="Open Sans" w:hAnsi="Open Sans" w:cs="Open Sans"/>
          <w:color w:val="000000"/>
          <w:sz w:val="22"/>
          <w:szCs w:val="22"/>
        </w:rPr>
        <w:t xml:space="preserve"> i el </w:t>
      </w:r>
      <w:proofErr w:type="spellStart"/>
      <w:r>
        <w:rPr>
          <w:rFonts w:ascii="Open Sans" w:eastAsia="Open Sans" w:hAnsi="Open Sans" w:cs="Open Sans"/>
          <w:color w:val="000000"/>
          <w:sz w:val="22"/>
          <w:szCs w:val="22"/>
        </w:rPr>
        <w:t>Farró</w:t>
      </w:r>
      <w:proofErr w:type="spellEnd"/>
      <w:r>
        <w:rPr>
          <w:rFonts w:ascii="Open Sans" w:eastAsia="Open Sans" w:hAnsi="Open Sans" w:cs="Open Sans"/>
          <w:color w:val="000000"/>
          <w:sz w:val="22"/>
          <w:szCs w:val="22"/>
        </w:rPr>
        <w:t xml:space="preserve"> con 4,6%, </w:t>
      </w:r>
      <w:proofErr w:type="spellStart"/>
      <w:r>
        <w:rPr>
          <w:rFonts w:ascii="Open Sans" w:eastAsia="Open Sans" w:hAnsi="Open Sans" w:cs="Open Sans"/>
          <w:color w:val="000000"/>
          <w:sz w:val="22"/>
          <w:szCs w:val="22"/>
        </w:rPr>
        <w:t>L'Antiga</w:t>
      </w:r>
      <w:proofErr w:type="spellEnd"/>
      <w:r>
        <w:rPr>
          <w:rFonts w:ascii="Open Sans" w:eastAsia="Open Sans" w:hAnsi="Open Sans" w:cs="Open Sans"/>
          <w:color w:val="000000"/>
          <w:sz w:val="22"/>
          <w:szCs w:val="22"/>
        </w:rPr>
        <w:t xml:space="preserve"> Esquerra de l'Eixample con 4,6%, Sant Gervasi i la Bonanova con 4,6%, Sant Gervasi- </w:t>
      </w:r>
      <w:proofErr w:type="spellStart"/>
      <w:r>
        <w:rPr>
          <w:rFonts w:ascii="Open Sans" w:eastAsia="Open Sans" w:hAnsi="Open Sans" w:cs="Open Sans"/>
          <w:color w:val="000000"/>
          <w:sz w:val="22"/>
          <w:szCs w:val="22"/>
        </w:rPr>
        <w:t>Galvany</w:t>
      </w:r>
      <w:proofErr w:type="spellEnd"/>
      <w:r>
        <w:rPr>
          <w:rFonts w:ascii="Open Sans" w:eastAsia="Open Sans" w:hAnsi="Open Sans" w:cs="Open Sans"/>
          <w:color w:val="000000"/>
          <w:sz w:val="22"/>
          <w:szCs w:val="22"/>
        </w:rPr>
        <w:t xml:space="preserve"> con 4,1%, Sarrià con 4,0%, Diagonal Mar i el Front </w:t>
      </w:r>
      <w:proofErr w:type="spellStart"/>
      <w:r>
        <w:rPr>
          <w:rFonts w:ascii="Open Sans" w:eastAsia="Open Sans" w:hAnsi="Open Sans" w:cs="Open Sans"/>
          <w:color w:val="000000"/>
          <w:sz w:val="22"/>
          <w:szCs w:val="22"/>
        </w:rPr>
        <w:t>Marítim</w:t>
      </w:r>
      <w:proofErr w:type="spellEnd"/>
      <w:r>
        <w:rPr>
          <w:rFonts w:ascii="Open Sans" w:eastAsia="Open Sans" w:hAnsi="Open Sans" w:cs="Open Sans"/>
          <w:color w:val="000000"/>
          <w:sz w:val="22"/>
          <w:szCs w:val="22"/>
        </w:rPr>
        <w:t xml:space="preserve"> del Poblenou con 4,0% y </w:t>
      </w:r>
      <w:proofErr w:type="spellStart"/>
      <w:r>
        <w:rPr>
          <w:rFonts w:ascii="Open Sans" w:eastAsia="Open Sans" w:hAnsi="Open Sans" w:cs="Open Sans"/>
          <w:color w:val="000000"/>
          <w:sz w:val="22"/>
          <w:szCs w:val="22"/>
        </w:rPr>
        <w:t>Dreta</w:t>
      </w:r>
      <w:proofErr w:type="spellEnd"/>
      <w:r>
        <w:rPr>
          <w:rFonts w:ascii="Open Sans" w:eastAsia="Open Sans" w:hAnsi="Open Sans" w:cs="Open Sans"/>
          <w:color w:val="000000"/>
          <w:sz w:val="22"/>
          <w:szCs w:val="22"/>
        </w:rPr>
        <w:t xml:space="preserve"> de l'Eixample con 3,8%.</w:t>
      </w:r>
    </w:p>
    <w:p w14:paraId="1510095C"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rPr>
      </w:pPr>
    </w:p>
    <w:p w14:paraId="2343DCA6"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Light" w:eastAsia="Open Sans Light" w:hAnsi="Open Sans Light" w:cs="Open Sans Light"/>
          <w:b/>
          <w:color w:val="303AB2"/>
        </w:rPr>
        <w:t>Tablas (7)</w:t>
      </w:r>
    </w:p>
    <w:p w14:paraId="7D74980E"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1. Rentabilidad de la vivienda por CCAA en 2013, 2018, 2022 y 2023</w:t>
      </w:r>
    </w:p>
    <w:tbl>
      <w:tblPr>
        <w:tblStyle w:val="7"/>
        <w:tblW w:w="901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263"/>
        <w:gridCol w:w="1985"/>
        <w:gridCol w:w="1559"/>
        <w:gridCol w:w="1701"/>
        <w:gridCol w:w="1511"/>
      </w:tblGrid>
      <w:tr w:rsidR="00BE2A7C" w14:paraId="47486927" w14:textId="77777777">
        <w:trPr>
          <w:trHeight w:val="549"/>
        </w:trPr>
        <w:tc>
          <w:tcPr>
            <w:tcW w:w="2263" w:type="dxa"/>
            <w:tcBorders>
              <w:top w:val="single" w:sz="4" w:space="0" w:color="FFFFFF"/>
              <w:left w:val="single" w:sz="4" w:space="0" w:color="FFFFFF"/>
              <w:right w:val="nil"/>
            </w:tcBorders>
            <w:shd w:val="clear" w:color="auto" w:fill="4472C4"/>
            <w:vAlign w:val="center"/>
          </w:tcPr>
          <w:p w14:paraId="7CFA436C"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Comunidades Autónomas</w:t>
            </w:r>
          </w:p>
        </w:tc>
        <w:tc>
          <w:tcPr>
            <w:tcW w:w="1985" w:type="dxa"/>
            <w:tcBorders>
              <w:top w:val="single" w:sz="4" w:space="0" w:color="FFFFFF"/>
              <w:left w:val="nil"/>
              <w:right w:val="nil"/>
            </w:tcBorders>
            <w:shd w:val="clear" w:color="auto" w:fill="4472C4"/>
            <w:vAlign w:val="center"/>
          </w:tcPr>
          <w:p w14:paraId="27F98DA2"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2BBB3C05"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2013</w:t>
            </w:r>
          </w:p>
          <w:p w14:paraId="48FA602F"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(10 años)</w:t>
            </w:r>
          </w:p>
        </w:tc>
        <w:tc>
          <w:tcPr>
            <w:tcW w:w="1559" w:type="dxa"/>
            <w:tcBorders>
              <w:top w:val="single" w:sz="4" w:space="0" w:color="FFFFFF"/>
              <w:left w:val="nil"/>
              <w:right w:val="nil"/>
            </w:tcBorders>
            <w:shd w:val="clear" w:color="auto" w:fill="4472C4"/>
            <w:vAlign w:val="center"/>
          </w:tcPr>
          <w:p w14:paraId="4848D925"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2DBF33C3"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2018</w:t>
            </w:r>
          </w:p>
          <w:p w14:paraId="1B319915"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(5 años)</w:t>
            </w:r>
          </w:p>
        </w:tc>
        <w:tc>
          <w:tcPr>
            <w:tcW w:w="1701" w:type="dxa"/>
            <w:tcBorders>
              <w:top w:val="single" w:sz="4" w:space="0" w:color="FFFFFF"/>
              <w:left w:val="nil"/>
              <w:right w:val="nil"/>
            </w:tcBorders>
            <w:shd w:val="clear" w:color="auto" w:fill="4472C4"/>
            <w:vAlign w:val="center"/>
          </w:tcPr>
          <w:p w14:paraId="58CA7AEB"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6ADA5D5D"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2022</w:t>
            </w:r>
          </w:p>
          <w:p w14:paraId="563CAA60" w14:textId="77777777" w:rsidR="00BE2A7C" w:rsidRDefault="00000000">
            <w:pPr>
              <w:pBdr>
                <w:top w:val="nil"/>
                <w:left w:val="nil"/>
                <w:bottom w:val="nil"/>
                <w:right w:val="nil"/>
                <w:between w:val="nil"/>
              </w:pBdr>
              <w:jc w:val="center"/>
              <w:rPr>
                <w:rFonts w:ascii="Open Sans" w:eastAsia="Open Sans" w:hAnsi="Open Sans" w:cs="Open Sans"/>
                <w:i/>
                <w:color w:val="FFFFFF"/>
                <w:sz w:val="22"/>
                <w:szCs w:val="22"/>
              </w:rPr>
            </w:pPr>
            <w:r>
              <w:rPr>
                <w:rFonts w:ascii="Open Sans" w:eastAsia="Open Sans" w:hAnsi="Open Sans" w:cs="Open Sans"/>
                <w:color w:val="FFFFFF"/>
                <w:sz w:val="22"/>
                <w:szCs w:val="22"/>
              </w:rPr>
              <w:t>(1 año)</w:t>
            </w:r>
          </w:p>
        </w:tc>
        <w:tc>
          <w:tcPr>
            <w:tcW w:w="1511" w:type="dxa"/>
            <w:tcBorders>
              <w:top w:val="single" w:sz="4" w:space="0" w:color="FFFFFF"/>
              <w:left w:val="nil"/>
              <w:right w:val="nil"/>
            </w:tcBorders>
            <w:shd w:val="clear" w:color="auto" w:fill="4472C4"/>
            <w:vAlign w:val="center"/>
          </w:tcPr>
          <w:p w14:paraId="70610CCC"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5634EBD7"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2023</w:t>
            </w:r>
          </w:p>
        </w:tc>
      </w:tr>
      <w:tr w:rsidR="00BE2A7C" w14:paraId="02F97FB1" w14:textId="77777777">
        <w:trPr>
          <w:trHeight w:val="273"/>
        </w:trPr>
        <w:tc>
          <w:tcPr>
            <w:tcW w:w="2263" w:type="dxa"/>
            <w:tcBorders>
              <w:left w:val="single" w:sz="4" w:space="0" w:color="FFFFFF"/>
            </w:tcBorders>
            <w:shd w:val="clear" w:color="auto" w:fill="4472C4"/>
            <w:vAlign w:val="bottom"/>
          </w:tcPr>
          <w:p w14:paraId="3FF6D309" w14:textId="77777777" w:rsidR="00BE2A7C" w:rsidRDefault="00000000">
            <w:pPr>
              <w:rPr>
                <w:rFonts w:ascii="Open Sans" w:eastAsia="Open Sans" w:hAnsi="Open Sans" w:cs="Open Sans"/>
                <w:color w:val="FFFFFF"/>
                <w:sz w:val="22"/>
                <w:szCs w:val="22"/>
              </w:rPr>
            </w:pPr>
            <w:proofErr w:type="spellStart"/>
            <w:r>
              <w:rPr>
                <w:rFonts w:ascii="Open Sans" w:eastAsia="Open Sans" w:hAnsi="Open Sans" w:cs="Open Sans"/>
                <w:color w:val="FFFFFF"/>
                <w:sz w:val="22"/>
                <w:szCs w:val="22"/>
              </w:rPr>
              <w:t>Comunitat</w:t>
            </w:r>
            <w:proofErr w:type="spellEnd"/>
            <w:r>
              <w:rPr>
                <w:rFonts w:ascii="Open Sans" w:eastAsia="Open Sans" w:hAnsi="Open Sans" w:cs="Open Sans"/>
                <w:color w:val="FFFFFF"/>
                <w:sz w:val="22"/>
                <w:szCs w:val="22"/>
              </w:rPr>
              <w:t xml:space="preserve"> Valenciana</w:t>
            </w:r>
          </w:p>
        </w:tc>
        <w:tc>
          <w:tcPr>
            <w:tcW w:w="1985" w:type="dxa"/>
            <w:shd w:val="clear" w:color="auto" w:fill="B4C6E7"/>
            <w:vAlign w:val="bottom"/>
          </w:tcPr>
          <w:p w14:paraId="7B0AE040"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559" w:type="dxa"/>
            <w:shd w:val="clear" w:color="auto" w:fill="B4C6E7"/>
            <w:vAlign w:val="bottom"/>
          </w:tcPr>
          <w:p w14:paraId="6B49EB3D"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6,2%</w:t>
            </w:r>
          </w:p>
        </w:tc>
        <w:tc>
          <w:tcPr>
            <w:tcW w:w="1701" w:type="dxa"/>
            <w:shd w:val="clear" w:color="auto" w:fill="B4C6E7"/>
            <w:vAlign w:val="bottom"/>
          </w:tcPr>
          <w:p w14:paraId="0DD263E5"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7,7%</w:t>
            </w:r>
          </w:p>
        </w:tc>
        <w:tc>
          <w:tcPr>
            <w:tcW w:w="1511" w:type="dxa"/>
            <w:shd w:val="clear" w:color="auto" w:fill="B4C6E7"/>
            <w:vAlign w:val="bottom"/>
          </w:tcPr>
          <w:p w14:paraId="5B4F0ED9"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b/>
                <w:color w:val="000000"/>
                <w:sz w:val="22"/>
                <w:szCs w:val="22"/>
              </w:rPr>
              <w:t>7,9%</w:t>
            </w:r>
          </w:p>
        </w:tc>
      </w:tr>
      <w:tr w:rsidR="00BE2A7C" w14:paraId="73C5B1FE" w14:textId="77777777">
        <w:trPr>
          <w:trHeight w:val="273"/>
        </w:trPr>
        <w:tc>
          <w:tcPr>
            <w:tcW w:w="2263" w:type="dxa"/>
            <w:tcBorders>
              <w:left w:val="single" w:sz="4" w:space="0" w:color="FFFFFF"/>
            </w:tcBorders>
            <w:shd w:val="clear" w:color="auto" w:fill="4472C4"/>
            <w:vAlign w:val="bottom"/>
          </w:tcPr>
          <w:p w14:paraId="38A44925"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Región de Murcia</w:t>
            </w:r>
          </w:p>
        </w:tc>
        <w:tc>
          <w:tcPr>
            <w:tcW w:w="1985" w:type="dxa"/>
            <w:shd w:val="clear" w:color="auto" w:fill="D9E2F3"/>
            <w:vAlign w:val="bottom"/>
          </w:tcPr>
          <w:p w14:paraId="1196F1DB"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4,7%</w:t>
            </w:r>
          </w:p>
        </w:tc>
        <w:tc>
          <w:tcPr>
            <w:tcW w:w="1559" w:type="dxa"/>
            <w:shd w:val="clear" w:color="auto" w:fill="D9E2F3"/>
            <w:vAlign w:val="bottom"/>
          </w:tcPr>
          <w:p w14:paraId="66C907C4"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701" w:type="dxa"/>
            <w:shd w:val="clear" w:color="auto" w:fill="D9E2F3"/>
            <w:vAlign w:val="bottom"/>
          </w:tcPr>
          <w:p w14:paraId="493BE6A9"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7,7%</w:t>
            </w:r>
          </w:p>
        </w:tc>
        <w:tc>
          <w:tcPr>
            <w:tcW w:w="1511" w:type="dxa"/>
            <w:shd w:val="clear" w:color="auto" w:fill="D9E2F3"/>
            <w:vAlign w:val="bottom"/>
          </w:tcPr>
          <w:p w14:paraId="1A0CAFEC"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b/>
                <w:color w:val="000000"/>
                <w:sz w:val="22"/>
                <w:szCs w:val="22"/>
              </w:rPr>
              <w:t>7,4%</w:t>
            </w:r>
          </w:p>
        </w:tc>
      </w:tr>
      <w:tr w:rsidR="00BE2A7C" w14:paraId="187D2301" w14:textId="77777777">
        <w:trPr>
          <w:trHeight w:val="288"/>
        </w:trPr>
        <w:tc>
          <w:tcPr>
            <w:tcW w:w="2263" w:type="dxa"/>
            <w:tcBorders>
              <w:left w:val="single" w:sz="4" w:space="0" w:color="FFFFFF"/>
            </w:tcBorders>
            <w:shd w:val="clear" w:color="auto" w:fill="4472C4"/>
            <w:vAlign w:val="bottom"/>
          </w:tcPr>
          <w:p w14:paraId="024A657F"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Cantabria</w:t>
            </w:r>
          </w:p>
        </w:tc>
        <w:tc>
          <w:tcPr>
            <w:tcW w:w="1985" w:type="dxa"/>
            <w:shd w:val="clear" w:color="auto" w:fill="B4C6E7"/>
            <w:vAlign w:val="bottom"/>
          </w:tcPr>
          <w:p w14:paraId="7B24754D"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559" w:type="dxa"/>
            <w:shd w:val="clear" w:color="auto" w:fill="B4C6E7"/>
            <w:vAlign w:val="bottom"/>
          </w:tcPr>
          <w:p w14:paraId="40B505B5"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701" w:type="dxa"/>
            <w:shd w:val="clear" w:color="auto" w:fill="B4C6E7"/>
            <w:vAlign w:val="bottom"/>
          </w:tcPr>
          <w:p w14:paraId="7BA8CF89"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6,9%</w:t>
            </w:r>
          </w:p>
        </w:tc>
        <w:tc>
          <w:tcPr>
            <w:tcW w:w="1511" w:type="dxa"/>
            <w:shd w:val="clear" w:color="auto" w:fill="B4C6E7"/>
            <w:vAlign w:val="bottom"/>
          </w:tcPr>
          <w:p w14:paraId="162EB25C"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7,3%</w:t>
            </w:r>
          </w:p>
        </w:tc>
      </w:tr>
      <w:tr w:rsidR="00BE2A7C" w14:paraId="3CEDACAD" w14:textId="77777777">
        <w:trPr>
          <w:trHeight w:val="273"/>
        </w:trPr>
        <w:tc>
          <w:tcPr>
            <w:tcW w:w="2263" w:type="dxa"/>
            <w:tcBorders>
              <w:left w:val="single" w:sz="4" w:space="0" w:color="FFFFFF"/>
            </w:tcBorders>
            <w:shd w:val="clear" w:color="auto" w:fill="4472C4"/>
            <w:vAlign w:val="bottom"/>
          </w:tcPr>
          <w:p w14:paraId="13B49DF4"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Castilla y León</w:t>
            </w:r>
          </w:p>
        </w:tc>
        <w:tc>
          <w:tcPr>
            <w:tcW w:w="1985" w:type="dxa"/>
            <w:shd w:val="clear" w:color="auto" w:fill="D9E2F3"/>
            <w:vAlign w:val="bottom"/>
          </w:tcPr>
          <w:p w14:paraId="131C6326"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559" w:type="dxa"/>
            <w:shd w:val="clear" w:color="auto" w:fill="D9E2F3"/>
            <w:vAlign w:val="bottom"/>
          </w:tcPr>
          <w:p w14:paraId="4314638C"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701" w:type="dxa"/>
            <w:shd w:val="clear" w:color="auto" w:fill="D9E2F3"/>
            <w:vAlign w:val="bottom"/>
          </w:tcPr>
          <w:p w14:paraId="003BDB4A"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6,5%</w:t>
            </w:r>
          </w:p>
        </w:tc>
        <w:tc>
          <w:tcPr>
            <w:tcW w:w="1511" w:type="dxa"/>
            <w:shd w:val="clear" w:color="auto" w:fill="D9E2F3"/>
            <w:vAlign w:val="bottom"/>
          </w:tcPr>
          <w:p w14:paraId="135848CD"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b/>
                <w:color w:val="000000"/>
                <w:sz w:val="22"/>
                <w:szCs w:val="22"/>
              </w:rPr>
              <w:t>7,0%</w:t>
            </w:r>
          </w:p>
        </w:tc>
      </w:tr>
      <w:tr w:rsidR="00BE2A7C" w14:paraId="0D7B711A" w14:textId="77777777">
        <w:trPr>
          <w:trHeight w:val="273"/>
        </w:trPr>
        <w:tc>
          <w:tcPr>
            <w:tcW w:w="2263" w:type="dxa"/>
            <w:tcBorders>
              <w:left w:val="single" w:sz="4" w:space="0" w:color="FFFFFF"/>
            </w:tcBorders>
            <w:shd w:val="clear" w:color="auto" w:fill="4472C4"/>
            <w:vAlign w:val="bottom"/>
          </w:tcPr>
          <w:p w14:paraId="050646A5"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Cataluña</w:t>
            </w:r>
          </w:p>
        </w:tc>
        <w:tc>
          <w:tcPr>
            <w:tcW w:w="1985" w:type="dxa"/>
            <w:shd w:val="clear" w:color="auto" w:fill="B4C6E7"/>
            <w:vAlign w:val="bottom"/>
          </w:tcPr>
          <w:p w14:paraId="5CD0CCCE"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4,6%</w:t>
            </w:r>
          </w:p>
        </w:tc>
        <w:tc>
          <w:tcPr>
            <w:tcW w:w="1559" w:type="dxa"/>
            <w:shd w:val="clear" w:color="auto" w:fill="B4C6E7"/>
            <w:vAlign w:val="bottom"/>
          </w:tcPr>
          <w:p w14:paraId="514DE2C3"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6,5%</w:t>
            </w:r>
          </w:p>
        </w:tc>
        <w:tc>
          <w:tcPr>
            <w:tcW w:w="1701" w:type="dxa"/>
            <w:shd w:val="clear" w:color="auto" w:fill="B4C6E7"/>
            <w:vAlign w:val="bottom"/>
          </w:tcPr>
          <w:p w14:paraId="34012A35"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6,8%</w:t>
            </w:r>
          </w:p>
        </w:tc>
        <w:tc>
          <w:tcPr>
            <w:tcW w:w="1511" w:type="dxa"/>
            <w:shd w:val="clear" w:color="auto" w:fill="B4C6E7"/>
            <w:vAlign w:val="bottom"/>
          </w:tcPr>
          <w:p w14:paraId="2BBD0527"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6,9%</w:t>
            </w:r>
          </w:p>
        </w:tc>
      </w:tr>
      <w:tr w:rsidR="00BE2A7C" w14:paraId="0545786C" w14:textId="77777777">
        <w:trPr>
          <w:trHeight w:val="273"/>
        </w:trPr>
        <w:tc>
          <w:tcPr>
            <w:tcW w:w="2263" w:type="dxa"/>
            <w:tcBorders>
              <w:left w:val="single" w:sz="4" w:space="0" w:color="FFFFFF"/>
            </w:tcBorders>
            <w:shd w:val="clear" w:color="auto" w:fill="4472C4"/>
            <w:vAlign w:val="bottom"/>
          </w:tcPr>
          <w:p w14:paraId="53AEB44E"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Asturias</w:t>
            </w:r>
          </w:p>
        </w:tc>
        <w:tc>
          <w:tcPr>
            <w:tcW w:w="1985" w:type="dxa"/>
            <w:shd w:val="clear" w:color="auto" w:fill="D9E2F3"/>
            <w:vAlign w:val="bottom"/>
          </w:tcPr>
          <w:p w14:paraId="70480793"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4,2%</w:t>
            </w:r>
          </w:p>
        </w:tc>
        <w:tc>
          <w:tcPr>
            <w:tcW w:w="1559" w:type="dxa"/>
            <w:shd w:val="clear" w:color="auto" w:fill="D9E2F3"/>
            <w:vAlign w:val="bottom"/>
          </w:tcPr>
          <w:p w14:paraId="16577A2E"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701" w:type="dxa"/>
            <w:shd w:val="clear" w:color="auto" w:fill="D9E2F3"/>
            <w:vAlign w:val="bottom"/>
          </w:tcPr>
          <w:p w14:paraId="34F70037"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6,3%</w:t>
            </w:r>
          </w:p>
        </w:tc>
        <w:tc>
          <w:tcPr>
            <w:tcW w:w="1511" w:type="dxa"/>
            <w:shd w:val="clear" w:color="auto" w:fill="D9E2F3"/>
            <w:vAlign w:val="bottom"/>
          </w:tcPr>
          <w:p w14:paraId="02D01F17"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6,8%</w:t>
            </w:r>
          </w:p>
        </w:tc>
      </w:tr>
      <w:tr w:rsidR="00BE2A7C" w14:paraId="691E0288" w14:textId="77777777">
        <w:trPr>
          <w:trHeight w:val="273"/>
        </w:trPr>
        <w:tc>
          <w:tcPr>
            <w:tcW w:w="2263" w:type="dxa"/>
            <w:tcBorders>
              <w:left w:val="single" w:sz="4" w:space="0" w:color="FFFFFF"/>
            </w:tcBorders>
            <w:shd w:val="clear" w:color="auto" w:fill="4472C4"/>
            <w:vAlign w:val="bottom"/>
          </w:tcPr>
          <w:p w14:paraId="55296A27"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Navarra</w:t>
            </w:r>
          </w:p>
        </w:tc>
        <w:tc>
          <w:tcPr>
            <w:tcW w:w="1985" w:type="dxa"/>
            <w:shd w:val="clear" w:color="auto" w:fill="B4C6E7"/>
            <w:vAlign w:val="bottom"/>
          </w:tcPr>
          <w:p w14:paraId="30DA3D5D"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559" w:type="dxa"/>
            <w:shd w:val="clear" w:color="auto" w:fill="B4C6E7"/>
            <w:vAlign w:val="bottom"/>
          </w:tcPr>
          <w:p w14:paraId="3F70F639"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6,0%</w:t>
            </w:r>
          </w:p>
        </w:tc>
        <w:tc>
          <w:tcPr>
            <w:tcW w:w="1701" w:type="dxa"/>
            <w:shd w:val="clear" w:color="auto" w:fill="B4C6E7"/>
            <w:vAlign w:val="bottom"/>
          </w:tcPr>
          <w:p w14:paraId="6BA2AF96"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6,6%</w:t>
            </w:r>
          </w:p>
        </w:tc>
        <w:tc>
          <w:tcPr>
            <w:tcW w:w="1511" w:type="dxa"/>
            <w:shd w:val="clear" w:color="auto" w:fill="B4C6E7"/>
            <w:vAlign w:val="bottom"/>
          </w:tcPr>
          <w:p w14:paraId="5B370740"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6,4%</w:t>
            </w:r>
          </w:p>
        </w:tc>
      </w:tr>
      <w:tr w:rsidR="00BE2A7C" w14:paraId="717EE3C6" w14:textId="77777777">
        <w:trPr>
          <w:trHeight w:val="273"/>
        </w:trPr>
        <w:tc>
          <w:tcPr>
            <w:tcW w:w="2263" w:type="dxa"/>
            <w:tcBorders>
              <w:left w:val="single" w:sz="4" w:space="0" w:color="FFFFFF"/>
            </w:tcBorders>
            <w:shd w:val="clear" w:color="auto" w:fill="FFC000"/>
            <w:vAlign w:val="bottom"/>
          </w:tcPr>
          <w:p w14:paraId="3F5404E8" w14:textId="77777777" w:rsidR="00BE2A7C" w:rsidRDefault="00000000">
            <w:pPr>
              <w:rPr>
                <w:rFonts w:ascii="Open Sans" w:eastAsia="Open Sans" w:hAnsi="Open Sans" w:cs="Open Sans"/>
                <w:color w:val="FFFFFF"/>
                <w:sz w:val="22"/>
                <w:szCs w:val="22"/>
              </w:rPr>
            </w:pPr>
            <w:r>
              <w:rPr>
                <w:rFonts w:ascii="Open Sans" w:eastAsia="Open Sans" w:hAnsi="Open Sans" w:cs="Open Sans"/>
                <w:b/>
                <w:sz w:val="22"/>
                <w:szCs w:val="22"/>
              </w:rPr>
              <w:t>España</w:t>
            </w:r>
          </w:p>
        </w:tc>
        <w:tc>
          <w:tcPr>
            <w:tcW w:w="1985" w:type="dxa"/>
            <w:shd w:val="clear" w:color="auto" w:fill="FFC000"/>
            <w:vAlign w:val="bottom"/>
          </w:tcPr>
          <w:p w14:paraId="154D0888" w14:textId="77777777" w:rsidR="00BE2A7C" w:rsidRDefault="00000000">
            <w:pPr>
              <w:jc w:val="center"/>
              <w:rPr>
                <w:rFonts w:ascii="Open Sans" w:eastAsia="Open Sans" w:hAnsi="Open Sans" w:cs="Open Sans"/>
                <w:sz w:val="22"/>
                <w:szCs w:val="22"/>
              </w:rPr>
            </w:pPr>
            <w:r>
              <w:rPr>
                <w:rFonts w:ascii="Open Sans" w:eastAsia="Open Sans" w:hAnsi="Open Sans" w:cs="Open Sans"/>
                <w:b/>
                <w:color w:val="000000"/>
                <w:sz w:val="22"/>
                <w:szCs w:val="22"/>
              </w:rPr>
              <w:t>4,8%</w:t>
            </w:r>
          </w:p>
        </w:tc>
        <w:tc>
          <w:tcPr>
            <w:tcW w:w="1559" w:type="dxa"/>
            <w:shd w:val="clear" w:color="auto" w:fill="FFC000"/>
            <w:vAlign w:val="bottom"/>
          </w:tcPr>
          <w:p w14:paraId="474D117D" w14:textId="77777777" w:rsidR="00BE2A7C" w:rsidRDefault="00000000">
            <w:pPr>
              <w:jc w:val="center"/>
              <w:rPr>
                <w:rFonts w:ascii="Open Sans" w:eastAsia="Open Sans" w:hAnsi="Open Sans" w:cs="Open Sans"/>
                <w:sz w:val="22"/>
                <w:szCs w:val="22"/>
              </w:rPr>
            </w:pPr>
            <w:r>
              <w:rPr>
                <w:rFonts w:ascii="Open Sans" w:eastAsia="Open Sans" w:hAnsi="Open Sans" w:cs="Open Sans"/>
                <w:b/>
                <w:color w:val="000000"/>
                <w:sz w:val="22"/>
                <w:szCs w:val="22"/>
              </w:rPr>
              <w:t>6,2%</w:t>
            </w:r>
          </w:p>
        </w:tc>
        <w:tc>
          <w:tcPr>
            <w:tcW w:w="1701" w:type="dxa"/>
            <w:shd w:val="clear" w:color="auto" w:fill="FFC000"/>
            <w:vAlign w:val="bottom"/>
          </w:tcPr>
          <w:p w14:paraId="72A4B835" w14:textId="77777777" w:rsidR="00BE2A7C" w:rsidRDefault="00000000">
            <w:pPr>
              <w:jc w:val="center"/>
              <w:rPr>
                <w:rFonts w:ascii="Open Sans" w:eastAsia="Open Sans" w:hAnsi="Open Sans" w:cs="Open Sans"/>
                <w:b/>
                <w:sz w:val="22"/>
                <w:szCs w:val="22"/>
              </w:rPr>
            </w:pPr>
            <w:r>
              <w:rPr>
                <w:rFonts w:ascii="Open Sans" w:eastAsia="Open Sans" w:hAnsi="Open Sans" w:cs="Open Sans"/>
                <w:b/>
                <w:color w:val="000000"/>
                <w:sz w:val="22"/>
                <w:szCs w:val="22"/>
              </w:rPr>
              <w:t>6,5%</w:t>
            </w:r>
          </w:p>
        </w:tc>
        <w:tc>
          <w:tcPr>
            <w:tcW w:w="1511" w:type="dxa"/>
            <w:shd w:val="clear" w:color="auto" w:fill="FFC000"/>
            <w:vAlign w:val="bottom"/>
          </w:tcPr>
          <w:p w14:paraId="343BB441" w14:textId="77777777" w:rsidR="00BE2A7C" w:rsidRDefault="00000000">
            <w:pPr>
              <w:jc w:val="center"/>
              <w:rPr>
                <w:rFonts w:ascii="Open Sans" w:eastAsia="Open Sans" w:hAnsi="Open Sans" w:cs="Open Sans"/>
                <w:sz w:val="22"/>
                <w:szCs w:val="22"/>
              </w:rPr>
            </w:pPr>
            <w:r>
              <w:rPr>
                <w:rFonts w:ascii="Open Sans" w:eastAsia="Open Sans" w:hAnsi="Open Sans" w:cs="Open Sans"/>
                <w:b/>
                <w:color w:val="000000"/>
                <w:sz w:val="22"/>
                <w:szCs w:val="22"/>
              </w:rPr>
              <w:t>6,4%</w:t>
            </w:r>
          </w:p>
        </w:tc>
      </w:tr>
      <w:tr w:rsidR="00BE2A7C" w14:paraId="7CFD2848" w14:textId="77777777">
        <w:trPr>
          <w:trHeight w:val="288"/>
        </w:trPr>
        <w:tc>
          <w:tcPr>
            <w:tcW w:w="2263" w:type="dxa"/>
            <w:tcBorders>
              <w:left w:val="single" w:sz="4" w:space="0" w:color="FFFFFF"/>
            </w:tcBorders>
            <w:shd w:val="clear" w:color="auto" w:fill="4472C4"/>
            <w:vAlign w:val="bottom"/>
          </w:tcPr>
          <w:p w14:paraId="2BF50BAE"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Aragón</w:t>
            </w:r>
          </w:p>
        </w:tc>
        <w:tc>
          <w:tcPr>
            <w:tcW w:w="1985" w:type="dxa"/>
            <w:shd w:val="clear" w:color="auto" w:fill="B4C6E7"/>
            <w:vAlign w:val="bottom"/>
          </w:tcPr>
          <w:p w14:paraId="72CDE9A6"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559" w:type="dxa"/>
            <w:shd w:val="clear" w:color="auto" w:fill="B4C6E7"/>
            <w:vAlign w:val="bottom"/>
          </w:tcPr>
          <w:p w14:paraId="60898488"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5,9%</w:t>
            </w:r>
          </w:p>
        </w:tc>
        <w:tc>
          <w:tcPr>
            <w:tcW w:w="1701" w:type="dxa"/>
            <w:shd w:val="clear" w:color="auto" w:fill="B4C6E7"/>
            <w:vAlign w:val="bottom"/>
          </w:tcPr>
          <w:p w14:paraId="16AE3FBB"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6,4%</w:t>
            </w:r>
          </w:p>
        </w:tc>
        <w:tc>
          <w:tcPr>
            <w:tcW w:w="1511" w:type="dxa"/>
            <w:shd w:val="clear" w:color="auto" w:fill="B4C6E7"/>
            <w:vAlign w:val="bottom"/>
          </w:tcPr>
          <w:p w14:paraId="35CFB91C"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b/>
                <w:color w:val="000000"/>
                <w:sz w:val="22"/>
                <w:szCs w:val="22"/>
              </w:rPr>
              <w:t>6,3%</w:t>
            </w:r>
          </w:p>
        </w:tc>
      </w:tr>
      <w:tr w:rsidR="00BE2A7C" w14:paraId="27301E92" w14:textId="77777777">
        <w:trPr>
          <w:trHeight w:val="273"/>
        </w:trPr>
        <w:tc>
          <w:tcPr>
            <w:tcW w:w="2263" w:type="dxa"/>
            <w:tcBorders>
              <w:left w:val="single" w:sz="4" w:space="0" w:color="FFFFFF"/>
            </w:tcBorders>
            <w:shd w:val="clear" w:color="auto" w:fill="4472C4"/>
            <w:vAlign w:val="bottom"/>
          </w:tcPr>
          <w:p w14:paraId="16FF4C71"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Extremadura</w:t>
            </w:r>
          </w:p>
        </w:tc>
        <w:tc>
          <w:tcPr>
            <w:tcW w:w="1985" w:type="dxa"/>
            <w:shd w:val="clear" w:color="auto" w:fill="D9E2F3"/>
            <w:vAlign w:val="bottom"/>
          </w:tcPr>
          <w:p w14:paraId="5B244F4F"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559" w:type="dxa"/>
            <w:shd w:val="clear" w:color="auto" w:fill="D9E2F3"/>
            <w:vAlign w:val="bottom"/>
          </w:tcPr>
          <w:p w14:paraId="1B0375C0"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701" w:type="dxa"/>
            <w:shd w:val="clear" w:color="auto" w:fill="D9E2F3"/>
            <w:vAlign w:val="bottom"/>
          </w:tcPr>
          <w:p w14:paraId="6EC8F760"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6,0%</w:t>
            </w:r>
          </w:p>
        </w:tc>
        <w:tc>
          <w:tcPr>
            <w:tcW w:w="1511" w:type="dxa"/>
            <w:shd w:val="clear" w:color="auto" w:fill="D9E2F3"/>
            <w:vAlign w:val="bottom"/>
          </w:tcPr>
          <w:p w14:paraId="2EC719A8"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6,3%</w:t>
            </w:r>
          </w:p>
        </w:tc>
      </w:tr>
      <w:tr w:rsidR="00BE2A7C" w14:paraId="173D46CA" w14:textId="77777777">
        <w:trPr>
          <w:trHeight w:val="273"/>
        </w:trPr>
        <w:tc>
          <w:tcPr>
            <w:tcW w:w="2263" w:type="dxa"/>
            <w:tcBorders>
              <w:left w:val="single" w:sz="4" w:space="0" w:color="FFFFFF"/>
            </w:tcBorders>
            <w:shd w:val="clear" w:color="auto" w:fill="4472C4"/>
            <w:vAlign w:val="bottom"/>
          </w:tcPr>
          <w:p w14:paraId="7C118706"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Canarias</w:t>
            </w:r>
          </w:p>
        </w:tc>
        <w:tc>
          <w:tcPr>
            <w:tcW w:w="1985" w:type="dxa"/>
            <w:shd w:val="clear" w:color="auto" w:fill="B4C6E7"/>
            <w:vAlign w:val="bottom"/>
          </w:tcPr>
          <w:p w14:paraId="4775F607"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1559" w:type="dxa"/>
            <w:shd w:val="clear" w:color="auto" w:fill="B4C6E7"/>
            <w:vAlign w:val="bottom"/>
          </w:tcPr>
          <w:p w14:paraId="136C4655"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6,7%</w:t>
            </w:r>
          </w:p>
        </w:tc>
        <w:tc>
          <w:tcPr>
            <w:tcW w:w="1701" w:type="dxa"/>
            <w:shd w:val="clear" w:color="auto" w:fill="B4C6E7"/>
            <w:vAlign w:val="bottom"/>
          </w:tcPr>
          <w:p w14:paraId="3BD2F1E9"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6,8%</w:t>
            </w:r>
          </w:p>
        </w:tc>
        <w:tc>
          <w:tcPr>
            <w:tcW w:w="1511" w:type="dxa"/>
            <w:shd w:val="clear" w:color="auto" w:fill="B4C6E7"/>
            <w:vAlign w:val="bottom"/>
          </w:tcPr>
          <w:p w14:paraId="269758FA"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b/>
                <w:color w:val="000000"/>
                <w:sz w:val="22"/>
                <w:szCs w:val="22"/>
              </w:rPr>
              <w:t>6,3%</w:t>
            </w:r>
          </w:p>
        </w:tc>
      </w:tr>
      <w:tr w:rsidR="00BE2A7C" w14:paraId="229EACE4" w14:textId="77777777">
        <w:trPr>
          <w:trHeight w:val="273"/>
        </w:trPr>
        <w:tc>
          <w:tcPr>
            <w:tcW w:w="2263" w:type="dxa"/>
            <w:tcBorders>
              <w:left w:val="single" w:sz="4" w:space="0" w:color="FFFFFF"/>
            </w:tcBorders>
            <w:shd w:val="clear" w:color="auto" w:fill="4472C4"/>
            <w:vAlign w:val="bottom"/>
          </w:tcPr>
          <w:p w14:paraId="24D1704D"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Castilla-La Mancha</w:t>
            </w:r>
          </w:p>
        </w:tc>
        <w:tc>
          <w:tcPr>
            <w:tcW w:w="1985" w:type="dxa"/>
            <w:shd w:val="clear" w:color="auto" w:fill="D9E2F3"/>
            <w:vAlign w:val="bottom"/>
          </w:tcPr>
          <w:p w14:paraId="11CE074D"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559" w:type="dxa"/>
            <w:shd w:val="clear" w:color="auto" w:fill="D9E2F3"/>
            <w:vAlign w:val="bottom"/>
          </w:tcPr>
          <w:p w14:paraId="27FAD9D5"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5,7%</w:t>
            </w:r>
          </w:p>
        </w:tc>
        <w:tc>
          <w:tcPr>
            <w:tcW w:w="1701" w:type="dxa"/>
            <w:shd w:val="clear" w:color="auto" w:fill="D9E2F3"/>
            <w:vAlign w:val="bottom"/>
          </w:tcPr>
          <w:p w14:paraId="5D839772"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6,1%</w:t>
            </w:r>
          </w:p>
        </w:tc>
        <w:tc>
          <w:tcPr>
            <w:tcW w:w="1511" w:type="dxa"/>
            <w:shd w:val="clear" w:color="auto" w:fill="D9E2F3"/>
            <w:vAlign w:val="bottom"/>
          </w:tcPr>
          <w:p w14:paraId="1C55CCCE"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6,3%</w:t>
            </w:r>
          </w:p>
        </w:tc>
      </w:tr>
      <w:tr w:rsidR="00BE2A7C" w14:paraId="27F8CB20" w14:textId="77777777">
        <w:trPr>
          <w:trHeight w:val="273"/>
        </w:trPr>
        <w:tc>
          <w:tcPr>
            <w:tcW w:w="2263" w:type="dxa"/>
            <w:tcBorders>
              <w:left w:val="single" w:sz="4" w:space="0" w:color="FFFFFF"/>
            </w:tcBorders>
            <w:shd w:val="clear" w:color="auto" w:fill="4472C4"/>
            <w:vAlign w:val="bottom"/>
          </w:tcPr>
          <w:p w14:paraId="3C5B6731"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Andalucía</w:t>
            </w:r>
          </w:p>
        </w:tc>
        <w:tc>
          <w:tcPr>
            <w:tcW w:w="1985" w:type="dxa"/>
            <w:shd w:val="clear" w:color="auto" w:fill="B4C6E7"/>
            <w:vAlign w:val="bottom"/>
          </w:tcPr>
          <w:p w14:paraId="19929DC4"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1559" w:type="dxa"/>
            <w:shd w:val="clear" w:color="auto" w:fill="B4C6E7"/>
            <w:vAlign w:val="bottom"/>
          </w:tcPr>
          <w:p w14:paraId="28BB2F50"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5,7%</w:t>
            </w:r>
          </w:p>
        </w:tc>
        <w:tc>
          <w:tcPr>
            <w:tcW w:w="1701" w:type="dxa"/>
            <w:shd w:val="clear" w:color="auto" w:fill="B4C6E7"/>
            <w:vAlign w:val="bottom"/>
          </w:tcPr>
          <w:p w14:paraId="3012D200"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6,0%</w:t>
            </w:r>
          </w:p>
        </w:tc>
        <w:tc>
          <w:tcPr>
            <w:tcW w:w="1511" w:type="dxa"/>
            <w:shd w:val="clear" w:color="auto" w:fill="B4C6E7"/>
            <w:vAlign w:val="bottom"/>
          </w:tcPr>
          <w:p w14:paraId="5D0F1DD8"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6,1%</w:t>
            </w:r>
          </w:p>
        </w:tc>
      </w:tr>
      <w:tr w:rsidR="00BE2A7C" w14:paraId="0DD76D46" w14:textId="77777777">
        <w:trPr>
          <w:trHeight w:val="273"/>
        </w:trPr>
        <w:tc>
          <w:tcPr>
            <w:tcW w:w="2263" w:type="dxa"/>
            <w:tcBorders>
              <w:left w:val="single" w:sz="4" w:space="0" w:color="FFFFFF"/>
            </w:tcBorders>
            <w:shd w:val="clear" w:color="auto" w:fill="4472C4"/>
            <w:vAlign w:val="bottom"/>
          </w:tcPr>
          <w:p w14:paraId="0E95546F"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lastRenderedPageBreak/>
              <w:t>Galicia</w:t>
            </w:r>
          </w:p>
        </w:tc>
        <w:tc>
          <w:tcPr>
            <w:tcW w:w="1985" w:type="dxa"/>
            <w:shd w:val="clear" w:color="auto" w:fill="D9E2F3"/>
            <w:vAlign w:val="bottom"/>
          </w:tcPr>
          <w:p w14:paraId="11D4D695"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3,9%</w:t>
            </w:r>
          </w:p>
        </w:tc>
        <w:tc>
          <w:tcPr>
            <w:tcW w:w="1559" w:type="dxa"/>
            <w:shd w:val="clear" w:color="auto" w:fill="D9E2F3"/>
            <w:vAlign w:val="bottom"/>
          </w:tcPr>
          <w:p w14:paraId="2D38C4B5"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4,6%</w:t>
            </w:r>
          </w:p>
        </w:tc>
        <w:tc>
          <w:tcPr>
            <w:tcW w:w="1701" w:type="dxa"/>
            <w:shd w:val="clear" w:color="auto" w:fill="D9E2F3"/>
            <w:vAlign w:val="bottom"/>
          </w:tcPr>
          <w:p w14:paraId="75DF1E88"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5,7%</w:t>
            </w:r>
          </w:p>
        </w:tc>
        <w:tc>
          <w:tcPr>
            <w:tcW w:w="1511" w:type="dxa"/>
            <w:shd w:val="clear" w:color="auto" w:fill="D9E2F3"/>
            <w:vAlign w:val="bottom"/>
          </w:tcPr>
          <w:p w14:paraId="0BA32BE3"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b/>
                <w:color w:val="000000"/>
                <w:sz w:val="22"/>
                <w:szCs w:val="22"/>
              </w:rPr>
              <w:t>6,0%</w:t>
            </w:r>
          </w:p>
        </w:tc>
      </w:tr>
      <w:tr w:rsidR="00BE2A7C" w14:paraId="79DB03CE" w14:textId="77777777">
        <w:trPr>
          <w:trHeight w:val="288"/>
        </w:trPr>
        <w:tc>
          <w:tcPr>
            <w:tcW w:w="2263" w:type="dxa"/>
            <w:tcBorders>
              <w:left w:val="single" w:sz="4" w:space="0" w:color="FFFFFF"/>
            </w:tcBorders>
            <w:shd w:val="clear" w:color="auto" w:fill="4472C4"/>
            <w:vAlign w:val="bottom"/>
          </w:tcPr>
          <w:p w14:paraId="1C87C6B0"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País Vasco</w:t>
            </w:r>
          </w:p>
        </w:tc>
        <w:tc>
          <w:tcPr>
            <w:tcW w:w="1985" w:type="dxa"/>
            <w:shd w:val="clear" w:color="auto" w:fill="B4C6E7"/>
            <w:vAlign w:val="bottom"/>
          </w:tcPr>
          <w:p w14:paraId="1FDE0084"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1559" w:type="dxa"/>
            <w:shd w:val="clear" w:color="auto" w:fill="B4C6E7"/>
            <w:vAlign w:val="bottom"/>
          </w:tcPr>
          <w:p w14:paraId="22C692BC"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1701" w:type="dxa"/>
            <w:shd w:val="clear" w:color="auto" w:fill="B4C6E7"/>
            <w:vAlign w:val="bottom"/>
          </w:tcPr>
          <w:p w14:paraId="36F7F46A"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5,7%</w:t>
            </w:r>
          </w:p>
        </w:tc>
        <w:tc>
          <w:tcPr>
            <w:tcW w:w="1511" w:type="dxa"/>
            <w:shd w:val="clear" w:color="auto" w:fill="B4C6E7"/>
            <w:vAlign w:val="bottom"/>
          </w:tcPr>
          <w:p w14:paraId="6168503C"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6,0%</w:t>
            </w:r>
          </w:p>
        </w:tc>
      </w:tr>
      <w:tr w:rsidR="00BE2A7C" w14:paraId="7DD2FFF9" w14:textId="77777777">
        <w:trPr>
          <w:trHeight w:val="273"/>
        </w:trPr>
        <w:tc>
          <w:tcPr>
            <w:tcW w:w="2263" w:type="dxa"/>
            <w:tcBorders>
              <w:left w:val="single" w:sz="4" w:space="0" w:color="FFFFFF"/>
            </w:tcBorders>
            <w:shd w:val="clear" w:color="auto" w:fill="4472C4"/>
            <w:vAlign w:val="bottom"/>
          </w:tcPr>
          <w:p w14:paraId="622DF942"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La Rioja</w:t>
            </w:r>
          </w:p>
        </w:tc>
        <w:tc>
          <w:tcPr>
            <w:tcW w:w="1985" w:type="dxa"/>
            <w:shd w:val="clear" w:color="auto" w:fill="D9E2F3"/>
            <w:vAlign w:val="bottom"/>
          </w:tcPr>
          <w:p w14:paraId="18C049E5"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559" w:type="dxa"/>
            <w:shd w:val="clear" w:color="auto" w:fill="D9E2F3"/>
            <w:vAlign w:val="bottom"/>
          </w:tcPr>
          <w:p w14:paraId="23DFA5C4"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701" w:type="dxa"/>
            <w:shd w:val="clear" w:color="auto" w:fill="D9E2F3"/>
            <w:vAlign w:val="bottom"/>
          </w:tcPr>
          <w:p w14:paraId="55E7264B"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6,1%</w:t>
            </w:r>
          </w:p>
        </w:tc>
        <w:tc>
          <w:tcPr>
            <w:tcW w:w="1511" w:type="dxa"/>
            <w:shd w:val="clear" w:color="auto" w:fill="D9E2F3"/>
            <w:vAlign w:val="bottom"/>
          </w:tcPr>
          <w:p w14:paraId="1FB50023"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5,9%</w:t>
            </w:r>
          </w:p>
        </w:tc>
      </w:tr>
      <w:tr w:rsidR="00BE2A7C" w14:paraId="3DD54A30" w14:textId="77777777">
        <w:trPr>
          <w:trHeight w:val="273"/>
        </w:trPr>
        <w:tc>
          <w:tcPr>
            <w:tcW w:w="2263" w:type="dxa"/>
            <w:tcBorders>
              <w:left w:val="single" w:sz="4" w:space="0" w:color="FFFFFF"/>
            </w:tcBorders>
            <w:shd w:val="clear" w:color="auto" w:fill="4472C4"/>
            <w:vAlign w:val="bottom"/>
          </w:tcPr>
          <w:p w14:paraId="22B2FBAE"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Madrid</w:t>
            </w:r>
          </w:p>
        </w:tc>
        <w:tc>
          <w:tcPr>
            <w:tcW w:w="1985" w:type="dxa"/>
            <w:shd w:val="clear" w:color="auto" w:fill="B4C6E7"/>
            <w:vAlign w:val="bottom"/>
          </w:tcPr>
          <w:p w14:paraId="476DFE61"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4,6%</w:t>
            </w:r>
          </w:p>
        </w:tc>
        <w:tc>
          <w:tcPr>
            <w:tcW w:w="1559" w:type="dxa"/>
            <w:shd w:val="clear" w:color="auto" w:fill="B4C6E7"/>
            <w:vAlign w:val="bottom"/>
          </w:tcPr>
          <w:p w14:paraId="61C4A39B"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6,0%</w:t>
            </w:r>
          </w:p>
        </w:tc>
        <w:tc>
          <w:tcPr>
            <w:tcW w:w="1701" w:type="dxa"/>
            <w:shd w:val="clear" w:color="auto" w:fill="B4C6E7"/>
            <w:vAlign w:val="bottom"/>
          </w:tcPr>
          <w:p w14:paraId="4FC55F61"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5,5%</w:t>
            </w:r>
          </w:p>
        </w:tc>
        <w:tc>
          <w:tcPr>
            <w:tcW w:w="1511" w:type="dxa"/>
            <w:shd w:val="clear" w:color="auto" w:fill="B4C6E7"/>
            <w:vAlign w:val="bottom"/>
          </w:tcPr>
          <w:p w14:paraId="61E8DF8F"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5,5%</w:t>
            </w:r>
          </w:p>
        </w:tc>
      </w:tr>
      <w:tr w:rsidR="00BE2A7C" w14:paraId="7CB774BC" w14:textId="77777777">
        <w:trPr>
          <w:trHeight w:val="273"/>
        </w:trPr>
        <w:tc>
          <w:tcPr>
            <w:tcW w:w="2263" w:type="dxa"/>
            <w:tcBorders>
              <w:left w:val="single" w:sz="4" w:space="0" w:color="FFFFFF"/>
              <w:bottom w:val="single" w:sz="4" w:space="0" w:color="FFFFFF"/>
            </w:tcBorders>
            <w:shd w:val="clear" w:color="auto" w:fill="4472C4"/>
            <w:vAlign w:val="bottom"/>
          </w:tcPr>
          <w:p w14:paraId="3A8BFA17"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Baleares</w:t>
            </w:r>
          </w:p>
        </w:tc>
        <w:tc>
          <w:tcPr>
            <w:tcW w:w="1985" w:type="dxa"/>
            <w:shd w:val="clear" w:color="auto" w:fill="D9E2F3"/>
            <w:vAlign w:val="bottom"/>
          </w:tcPr>
          <w:p w14:paraId="2706185A"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4,5%</w:t>
            </w:r>
          </w:p>
        </w:tc>
        <w:tc>
          <w:tcPr>
            <w:tcW w:w="1559" w:type="dxa"/>
            <w:shd w:val="clear" w:color="auto" w:fill="D9E2F3"/>
            <w:vAlign w:val="bottom"/>
          </w:tcPr>
          <w:p w14:paraId="2FE0FFED"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5,8%</w:t>
            </w:r>
          </w:p>
        </w:tc>
        <w:tc>
          <w:tcPr>
            <w:tcW w:w="1701" w:type="dxa"/>
            <w:shd w:val="clear" w:color="auto" w:fill="D9E2F3"/>
            <w:vAlign w:val="bottom"/>
          </w:tcPr>
          <w:p w14:paraId="65C6E8A8" w14:textId="77777777" w:rsidR="00BE2A7C"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5,2%</w:t>
            </w:r>
          </w:p>
        </w:tc>
        <w:tc>
          <w:tcPr>
            <w:tcW w:w="1511" w:type="dxa"/>
            <w:shd w:val="clear" w:color="auto" w:fill="D9E2F3"/>
            <w:vAlign w:val="bottom"/>
          </w:tcPr>
          <w:p w14:paraId="1AD872C3" w14:textId="77777777" w:rsidR="00BE2A7C"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5,3%</w:t>
            </w:r>
          </w:p>
        </w:tc>
      </w:tr>
    </w:tbl>
    <w:p w14:paraId="25063E98"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2. Rentabilidad de la vivienda por provincias en 2013, 2018, 2022 y 2023</w:t>
      </w:r>
    </w:p>
    <w:tbl>
      <w:tblPr>
        <w:tblStyle w:val="6"/>
        <w:tblW w:w="9123"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3"/>
        <w:gridCol w:w="1701"/>
        <w:gridCol w:w="1701"/>
        <w:gridCol w:w="1843"/>
        <w:gridCol w:w="1615"/>
      </w:tblGrid>
      <w:tr w:rsidR="00BE2A7C" w14:paraId="664544D1" w14:textId="77777777" w:rsidTr="00BE2A7C">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B9C0F1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Provincia</w:t>
            </w:r>
          </w:p>
        </w:tc>
        <w:tc>
          <w:tcPr>
            <w:tcW w:w="1701" w:type="dxa"/>
            <w:vAlign w:val="center"/>
          </w:tcPr>
          <w:p w14:paraId="2CFB6582"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4371EDCA"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2013</w:t>
            </w:r>
          </w:p>
          <w:p w14:paraId="04BC35C1"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(10 años)</w:t>
            </w:r>
          </w:p>
        </w:tc>
        <w:tc>
          <w:tcPr>
            <w:tcW w:w="1701" w:type="dxa"/>
            <w:vAlign w:val="center"/>
          </w:tcPr>
          <w:p w14:paraId="4366D8A6"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5B92203C"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2018</w:t>
            </w:r>
          </w:p>
          <w:p w14:paraId="0FEB8606"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(5 años)</w:t>
            </w:r>
          </w:p>
        </w:tc>
        <w:tc>
          <w:tcPr>
            <w:tcW w:w="1843" w:type="dxa"/>
            <w:vAlign w:val="center"/>
          </w:tcPr>
          <w:p w14:paraId="5981610E"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53753DDC"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2022</w:t>
            </w:r>
          </w:p>
          <w:p w14:paraId="53D310B7"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color w:val="000000"/>
                <w:sz w:val="22"/>
                <w:szCs w:val="22"/>
              </w:rPr>
            </w:pPr>
            <w:r>
              <w:rPr>
                <w:rFonts w:ascii="Open Sans" w:eastAsia="Open Sans" w:hAnsi="Open Sans" w:cs="Open Sans"/>
                <w:b w:val="0"/>
                <w:color w:val="000000"/>
                <w:sz w:val="22"/>
                <w:szCs w:val="22"/>
              </w:rPr>
              <w:t>(1 año)</w:t>
            </w:r>
          </w:p>
        </w:tc>
        <w:tc>
          <w:tcPr>
            <w:tcW w:w="1615" w:type="dxa"/>
            <w:vAlign w:val="center"/>
          </w:tcPr>
          <w:p w14:paraId="6335169E"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06B198F3"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2023</w:t>
            </w:r>
          </w:p>
        </w:tc>
      </w:tr>
      <w:tr w:rsidR="00BE2A7C" w14:paraId="2F389530"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A6DFC0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1701" w:type="dxa"/>
            <w:vAlign w:val="bottom"/>
          </w:tcPr>
          <w:p w14:paraId="3869E31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4,5%</w:t>
            </w:r>
          </w:p>
        </w:tc>
        <w:tc>
          <w:tcPr>
            <w:tcW w:w="1701" w:type="dxa"/>
            <w:vAlign w:val="bottom"/>
          </w:tcPr>
          <w:p w14:paraId="513AE28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6,7%</w:t>
            </w:r>
          </w:p>
        </w:tc>
        <w:tc>
          <w:tcPr>
            <w:tcW w:w="1843" w:type="dxa"/>
            <w:vAlign w:val="bottom"/>
          </w:tcPr>
          <w:p w14:paraId="5B11D6D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8,8%</w:t>
            </w:r>
          </w:p>
        </w:tc>
        <w:tc>
          <w:tcPr>
            <w:tcW w:w="1615" w:type="dxa"/>
            <w:vAlign w:val="bottom"/>
          </w:tcPr>
          <w:p w14:paraId="566D03D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9,5%</w:t>
            </w:r>
          </w:p>
        </w:tc>
      </w:tr>
      <w:tr w:rsidR="00BE2A7C" w14:paraId="3B8E774A"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8C01C9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Toledo</w:t>
            </w:r>
          </w:p>
        </w:tc>
        <w:tc>
          <w:tcPr>
            <w:tcW w:w="1701" w:type="dxa"/>
            <w:vAlign w:val="bottom"/>
          </w:tcPr>
          <w:p w14:paraId="6D16AC7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5,1%</w:t>
            </w:r>
          </w:p>
        </w:tc>
        <w:tc>
          <w:tcPr>
            <w:tcW w:w="1701" w:type="dxa"/>
            <w:vAlign w:val="bottom"/>
          </w:tcPr>
          <w:p w14:paraId="19E4487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6,8%</w:t>
            </w:r>
          </w:p>
        </w:tc>
        <w:tc>
          <w:tcPr>
            <w:tcW w:w="1843" w:type="dxa"/>
            <w:vAlign w:val="bottom"/>
          </w:tcPr>
          <w:p w14:paraId="65BD169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7,6%</w:t>
            </w:r>
          </w:p>
        </w:tc>
        <w:tc>
          <w:tcPr>
            <w:tcW w:w="1615" w:type="dxa"/>
            <w:vAlign w:val="bottom"/>
          </w:tcPr>
          <w:p w14:paraId="2219318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8,6%</w:t>
            </w:r>
          </w:p>
        </w:tc>
      </w:tr>
      <w:tr w:rsidR="00BE2A7C" w14:paraId="66406B4D"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3832AE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Huelva</w:t>
            </w:r>
          </w:p>
        </w:tc>
        <w:tc>
          <w:tcPr>
            <w:tcW w:w="1701" w:type="dxa"/>
            <w:vAlign w:val="bottom"/>
          </w:tcPr>
          <w:p w14:paraId="3A118B4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5,2%</w:t>
            </w:r>
          </w:p>
        </w:tc>
        <w:tc>
          <w:tcPr>
            <w:tcW w:w="1701" w:type="dxa"/>
            <w:vAlign w:val="bottom"/>
          </w:tcPr>
          <w:p w14:paraId="4E19E95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6,5%</w:t>
            </w:r>
          </w:p>
        </w:tc>
        <w:tc>
          <w:tcPr>
            <w:tcW w:w="1843" w:type="dxa"/>
            <w:vAlign w:val="bottom"/>
          </w:tcPr>
          <w:p w14:paraId="53192BF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7,6%</w:t>
            </w:r>
          </w:p>
        </w:tc>
        <w:tc>
          <w:tcPr>
            <w:tcW w:w="1615" w:type="dxa"/>
            <w:vAlign w:val="bottom"/>
          </w:tcPr>
          <w:p w14:paraId="07B92EA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8,2%</w:t>
            </w:r>
          </w:p>
        </w:tc>
      </w:tr>
      <w:tr w:rsidR="00BE2A7C" w14:paraId="0A1011C1"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0615B9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Segovia</w:t>
            </w:r>
          </w:p>
        </w:tc>
        <w:tc>
          <w:tcPr>
            <w:tcW w:w="1701" w:type="dxa"/>
            <w:vAlign w:val="bottom"/>
          </w:tcPr>
          <w:p w14:paraId="42046C6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4,5%</w:t>
            </w:r>
          </w:p>
        </w:tc>
        <w:tc>
          <w:tcPr>
            <w:tcW w:w="1701" w:type="dxa"/>
            <w:vAlign w:val="bottom"/>
          </w:tcPr>
          <w:p w14:paraId="3EC07BF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843" w:type="dxa"/>
            <w:vAlign w:val="bottom"/>
          </w:tcPr>
          <w:p w14:paraId="7961BCC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7,8%</w:t>
            </w:r>
          </w:p>
        </w:tc>
        <w:tc>
          <w:tcPr>
            <w:tcW w:w="1615" w:type="dxa"/>
            <w:vAlign w:val="bottom"/>
          </w:tcPr>
          <w:p w14:paraId="359401A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8,1%</w:t>
            </w:r>
          </w:p>
        </w:tc>
      </w:tr>
      <w:tr w:rsidR="00BE2A7C" w14:paraId="1E992F9C"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585C16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1701" w:type="dxa"/>
            <w:vAlign w:val="bottom"/>
          </w:tcPr>
          <w:p w14:paraId="175A41C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4,2%</w:t>
            </w:r>
          </w:p>
        </w:tc>
        <w:tc>
          <w:tcPr>
            <w:tcW w:w="1701" w:type="dxa"/>
            <w:vAlign w:val="bottom"/>
          </w:tcPr>
          <w:p w14:paraId="7C9B08B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c>
          <w:tcPr>
            <w:tcW w:w="1843" w:type="dxa"/>
            <w:vAlign w:val="bottom"/>
          </w:tcPr>
          <w:p w14:paraId="62AA845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7,2%</w:t>
            </w:r>
          </w:p>
        </w:tc>
        <w:tc>
          <w:tcPr>
            <w:tcW w:w="1615" w:type="dxa"/>
            <w:vAlign w:val="bottom"/>
          </w:tcPr>
          <w:p w14:paraId="42A3BD1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7,5%</w:t>
            </w:r>
          </w:p>
        </w:tc>
      </w:tr>
      <w:tr w:rsidR="00BE2A7C" w14:paraId="264F42D4"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5C445D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1701" w:type="dxa"/>
            <w:vAlign w:val="bottom"/>
          </w:tcPr>
          <w:p w14:paraId="05B9397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4,4%</w:t>
            </w:r>
          </w:p>
        </w:tc>
        <w:tc>
          <w:tcPr>
            <w:tcW w:w="1701" w:type="dxa"/>
            <w:vAlign w:val="bottom"/>
          </w:tcPr>
          <w:p w14:paraId="2DDDEEE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c>
          <w:tcPr>
            <w:tcW w:w="1843" w:type="dxa"/>
            <w:vAlign w:val="bottom"/>
          </w:tcPr>
          <w:p w14:paraId="3622227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7,2%</w:t>
            </w:r>
          </w:p>
        </w:tc>
        <w:tc>
          <w:tcPr>
            <w:tcW w:w="1615" w:type="dxa"/>
            <w:vAlign w:val="bottom"/>
          </w:tcPr>
          <w:p w14:paraId="56917C0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7,5%</w:t>
            </w:r>
          </w:p>
        </w:tc>
      </w:tr>
      <w:tr w:rsidR="00BE2A7C" w14:paraId="56D713D0"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9C37A4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Las Palmas</w:t>
            </w:r>
          </w:p>
        </w:tc>
        <w:tc>
          <w:tcPr>
            <w:tcW w:w="1701" w:type="dxa"/>
            <w:vAlign w:val="bottom"/>
          </w:tcPr>
          <w:p w14:paraId="6B370FF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5,2%</w:t>
            </w:r>
          </w:p>
        </w:tc>
        <w:tc>
          <w:tcPr>
            <w:tcW w:w="1701" w:type="dxa"/>
            <w:vAlign w:val="bottom"/>
          </w:tcPr>
          <w:p w14:paraId="3A6D7C6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6,8%</w:t>
            </w:r>
          </w:p>
        </w:tc>
        <w:tc>
          <w:tcPr>
            <w:tcW w:w="1843" w:type="dxa"/>
            <w:vAlign w:val="bottom"/>
          </w:tcPr>
          <w:p w14:paraId="154B7D3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7,6%</w:t>
            </w:r>
          </w:p>
        </w:tc>
        <w:tc>
          <w:tcPr>
            <w:tcW w:w="1615" w:type="dxa"/>
            <w:vAlign w:val="bottom"/>
          </w:tcPr>
          <w:p w14:paraId="0C0FD7D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7,4%</w:t>
            </w:r>
          </w:p>
        </w:tc>
      </w:tr>
      <w:tr w:rsidR="00BE2A7C" w14:paraId="1510A83B"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41FF6D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1701" w:type="dxa"/>
            <w:vAlign w:val="bottom"/>
          </w:tcPr>
          <w:p w14:paraId="294C8B1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4,7%</w:t>
            </w:r>
          </w:p>
        </w:tc>
        <w:tc>
          <w:tcPr>
            <w:tcW w:w="1701" w:type="dxa"/>
            <w:vAlign w:val="bottom"/>
          </w:tcPr>
          <w:p w14:paraId="7881B38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6,1%</w:t>
            </w:r>
          </w:p>
        </w:tc>
        <w:tc>
          <w:tcPr>
            <w:tcW w:w="1843" w:type="dxa"/>
            <w:vAlign w:val="bottom"/>
          </w:tcPr>
          <w:p w14:paraId="22D1DDC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7,7%</w:t>
            </w:r>
          </w:p>
        </w:tc>
        <w:tc>
          <w:tcPr>
            <w:tcW w:w="1615" w:type="dxa"/>
            <w:vAlign w:val="bottom"/>
          </w:tcPr>
          <w:p w14:paraId="6836B02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7,4%</w:t>
            </w:r>
          </w:p>
        </w:tc>
      </w:tr>
      <w:tr w:rsidR="00BE2A7C" w14:paraId="68DE8700"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B128DA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1701" w:type="dxa"/>
            <w:vAlign w:val="bottom"/>
          </w:tcPr>
          <w:p w14:paraId="51D18F5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4,1%</w:t>
            </w:r>
          </w:p>
        </w:tc>
        <w:tc>
          <w:tcPr>
            <w:tcW w:w="1701" w:type="dxa"/>
            <w:vAlign w:val="bottom"/>
          </w:tcPr>
          <w:p w14:paraId="6F75F67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c>
          <w:tcPr>
            <w:tcW w:w="1843" w:type="dxa"/>
            <w:vAlign w:val="bottom"/>
          </w:tcPr>
          <w:p w14:paraId="1B7D33F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6,9%</w:t>
            </w:r>
          </w:p>
        </w:tc>
        <w:tc>
          <w:tcPr>
            <w:tcW w:w="1615" w:type="dxa"/>
            <w:vAlign w:val="bottom"/>
          </w:tcPr>
          <w:p w14:paraId="2D3F1A3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7,3%</w:t>
            </w:r>
          </w:p>
        </w:tc>
      </w:tr>
      <w:tr w:rsidR="00BE2A7C" w14:paraId="6E742767"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BEDF9F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Sevilla</w:t>
            </w:r>
          </w:p>
        </w:tc>
        <w:tc>
          <w:tcPr>
            <w:tcW w:w="1701" w:type="dxa"/>
            <w:vAlign w:val="bottom"/>
          </w:tcPr>
          <w:p w14:paraId="339B794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4,9%</w:t>
            </w:r>
          </w:p>
        </w:tc>
        <w:tc>
          <w:tcPr>
            <w:tcW w:w="1701" w:type="dxa"/>
            <w:vAlign w:val="bottom"/>
          </w:tcPr>
          <w:p w14:paraId="6E8999D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6,3%</w:t>
            </w:r>
          </w:p>
        </w:tc>
        <w:tc>
          <w:tcPr>
            <w:tcW w:w="1843" w:type="dxa"/>
            <w:vAlign w:val="bottom"/>
          </w:tcPr>
          <w:p w14:paraId="2FE004F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7,2%</w:t>
            </w:r>
          </w:p>
        </w:tc>
        <w:tc>
          <w:tcPr>
            <w:tcW w:w="1615" w:type="dxa"/>
            <w:vAlign w:val="bottom"/>
          </w:tcPr>
          <w:p w14:paraId="402BE16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7,3%</w:t>
            </w:r>
          </w:p>
        </w:tc>
      </w:tr>
      <w:tr w:rsidR="00BE2A7C" w14:paraId="26280051"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918909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Lleida</w:t>
            </w:r>
          </w:p>
        </w:tc>
        <w:tc>
          <w:tcPr>
            <w:tcW w:w="1701" w:type="dxa"/>
            <w:vAlign w:val="bottom"/>
          </w:tcPr>
          <w:p w14:paraId="3E6F68D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5,1%</w:t>
            </w:r>
          </w:p>
        </w:tc>
        <w:tc>
          <w:tcPr>
            <w:tcW w:w="1701" w:type="dxa"/>
            <w:vAlign w:val="bottom"/>
          </w:tcPr>
          <w:p w14:paraId="5315C94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c>
          <w:tcPr>
            <w:tcW w:w="1843" w:type="dxa"/>
            <w:vAlign w:val="bottom"/>
          </w:tcPr>
          <w:p w14:paraId="05D8C74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7,4%</w:t>
            </w:r>
          </w:p>
        </w:tc>
        <w:tc>
          <w:tcPr>
            <w:tcW w:w="1615" w:type="dxa"/>
            <w:vAlign w:val="bottom"/>
          </w:tcPr>
          <w:p w14:paraId="6862822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7,1%</w:t>
            </w:r>
          </w:p>
        </w:tc>
      </w:tr>
      <w:tr w:rsidR="00BE2A7C" w14:paraId="557C1E4C"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7A0D75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1701" w:type="dxa"/>
            <w:vAlign w:val="bottom"/>
          </w:tcPr>
          <w:p w14:paraId="20726CD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4,6%</w:t>
            </w:r>
          </w:p>
        </w:tc>
        <w:tc>
          <w:tcPr>
            <w:tcW w:w="1701" w:type="dxa"/>
            <w:vAlign w:val="bottom"/>
          </w:tcPr>
          <w:p w14:paraId="60C54E9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6,2%</w:t>
            </w:r>
          </w:p>
        </w:tc>
        <w:tc>
          <w:tcPr>
            <w:tcW w:w="1843" w:type="dxa"/>
            <w:vAlign w:val="bottom"/>
          </w:tcPr>
          <w:p w14:paraId="0C64C75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6,5%</w:t>
            </w:r>
          </w:p>
        </w:tc>
        <w:tc>
          <w:tcPr>
            <w:tcW w:w="1615" w:type="dxa"/>
            <w:vAlign w:val="bottom"/>
          </w:tcPr>
          <w:p w14:paraId="113FBE8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7,0%</w:t>
            </w:r>
          </w:p>
        </w:tc>
      </w:tr>
      <w:tr w:rsidR="00BE2A7C" w14:paraId="000DFFB8"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5A335B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Ciudad Real</w:t>
            </w:r>
          </w:p>
        </w:tc>
        <w:tc>
          <w:tcPr>
            <w:tcW w:w="1701" w:type="dxa"/>
            <w:vAlign w:val="bottom"/>
          </w:tcPr>
          <w:p w14:paraId="315124E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5,1%</w:t>
            </w:r>
          </w:p>
        </w:tc>
        <w:tc>
          <w:tcPr>
            <w:tcW w:w="1701" w:type="dxa"/>
            <w:vAlign w:val="bottom"/>
          </w:tcPr>
          <w:p w14:paraId="1101367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5,9%</w:t>
            </w:r>
          </w:p>
        </w:tc>
        <w:tc>
          <w:tcPr>
            <w:tcW w:w="1843" w:type="dxa"/>
            <w:vAlign w:val="bottom"/>
          </w:tcPr>
          <w:p w14:paraId="7694365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6,5%</w:t>
            </w:r>
          </w:p>
        </w:tc>
        <w:tc>
          <w:tcPr>
            <w:tcW w:w="1615" w:type="dxa"/>
            <w:vAlign w:val="bottom"/>
          </w:tcPr>
          <w:p w14:paraId="2EF4CA9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7,0%</w:t>
            </w:r>
          </w:p>
        </w:tc>
      </w:tr>
      <w:tr w:rsidR="00BE2A7C" w14:paraId="57F39271"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417F40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Jaén</w:t>
            </w:r>
          </w:p>
        </w:tc>
        <w:tc>
          <w:tcPr>
            <w:tcW w:w="1701" w:type="dxa"/>
            <w:vAlign w:val="bottom"/>
          </w:tcPr>
          <w:p w14:paraId="15F9CDF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4,4%</w:t>
            </w:r>
          </w:p>
        </w:tc>
        <w:tc>
          <w:tcPr>
            <w:tcW w:w="1701" w:type="dxa"/>
            <w:vAlign w:val="bottom"/>
          </w:tcPr>
          <w:p w14:paraId="2B5F7C4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5,2%</w:t>
            </w:r>
          </w:p>
        </w:tc>
        <w:tc>
          <w:tcPr>
            <w:tcW w:w="1843" w:type="dxa"/>
            <w:vAlign w:val="bottom"/>
          </w:tcPr>
          <w:p w14:paraId="092ECFA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6,4%</w:t>
            </w:r>
          </w:p>
        </w:tc>
        <w:tc>
          <w:tcPr>
            <w:tcW w:w="1615" w:type="dxa"/>
            <w:vAlign w:val="bottom"/>
          </w:tcPr>
          <w:p w14:paraId="63E15E8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6,9%</w:t>
            </w:r>
          </w:p>
        </w:tc>
      </w:tr>
      <w:tr w:rsidR="00BE2A7C" w14:paraId="13B70D40"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645E480"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Burgos</w:t>
            </w:r>
          </w:p>
        </w:tc>
        <w:tc>
          <w:tcPr>
            <w:tcW w:w="1701" w:type="dxa"/>
            <w:vAlign w:val="bottom"/>
          </w:tcPr>
          <w:p w14:paraId="325BC81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4,4%</w:t>
            </w:r>
          </w:p>
        </w:tc>
        <w:tc>
          <w:tcPr>
            <w:tcW w:w="1701" w:type="dxa"/>
            <w:vAlign w:val="bottom"/>
          </w:tcPr>
          <w:p w14:paraId="0618AA3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5,1%</w:t>
            </w:r>
          </w:p>
        </w:tc>
        <w:tc>
          <w:tcPr>
            <w:tcW w:w="1843" w:type="dxa"/>
            <w:vAlign w:val="bottom"/>
          </w:tcPr>
          <w:p w14:paraId="7B4619B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6,2%</w:t>
            </w:r>
          </w:p>
        </w:tc>
        <w:tc>
          <w:tcPr>
            <w:tcW w:w="1615" w:type="dxa"/>
            <w:vAlign w:val="bottom"/>
          </w:tcPr>
          <w:p w14:paraId="4B54EA8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r>
      <w:tr w:rsidR="00BE2A7C" w14:paraId="5C6D305F"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084048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1701" w:type="dxa"/>
            <w:vAlign w:val="bottom"/>
          </w:tcPr>
          <w:p w14:paraId="13AF66D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4,2%</w:t>
            </w:r>
          </w:p>
        </w:tc>
        <w:tc>
          <w:tcPr>
            <w:tcW w:w="1701" w:type="dxa"/>
            <w:vAlign w:val="bottom"/>
          </w:tcPr>
          <w:p w14:paraId="4B0858C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c>
          <w:tcPr>
            <w:tcW w:w="1843" w:type="dxa"/>
            <w:vAlign w:val="bottom"/>
          </w:tcPr>
          <w:p w14:paraId="1A42F05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6,3%</w:t>
            </w:r>
          </w:p>
        </w:tc>
        <w:tc>
          <w:tcPr>
            <w:tcW w:w="1615" w:type="dxa"/>
            <w:vAlign w:val="bottom"/>
          </w:tcPr>
          <w:p w14:paraId="150ADA8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r>
      <w:tr w:rsidR="00BE2A7C" w14:paraId="1198DFF7"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3E59E7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Lugo</w:t>
            </w:r>
          </w:p>
        </w:tc>
        <w:tc>
          <w:tcPr>
            <w:tcW w:w="1701" w:type="dxa"/>
            <w:vAlign w:val="bottom"/>
          </w:tcPr>
          <w:p w14:paraId="7AFD92B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4,2%</w:t>
            </w:r>
          </w:p>
        </w:tc>
        <w:tc>
          <w:tcPr>
            <w:tcW w:w="1701" w:type="dxa"/>
            <w:vAlign w:val="bottom"/>
          </w:tcPr>
          <w:p w14:paraId="6CF2AC5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5,2%</w:t>
            </w:r>
          </w:p>
        </w:tc>
        <w:tc>
          <w:tcPr>
            <w:tcW w:w="1843" w:type="dxa"/>
            <w:vAlign w:val="bottom"/>
          </w:tcPr>
          <w:p w14:paraId="34CA0CB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6,4%</w:t>
            </w:r>
          </w:p>
        </w:tc>
        <w:tc>
          <w:tcPr>
            <w:tcW w:w="1615" w:type="dxa"/>
            <w:vAlign w:val="bottom"/>
          </w:tcPr>
          <w:p w14:paraId="4656F8F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BE2A7C" w14:paraId="0734F101"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0D4B2D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León</w:t>
            </w:r>
          </w:p>
        </w:tc>
        <w:tc>
          <w:tcPr>
            <w:tcW w:w="1701" w:type="dxa"/>
            <w:vAlign w:val="bottom"/>
          </w:tcPr>
          <w:p w14:paraId="6ADEA19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4,3%</w:t>
            </w:r>
          </w:p>
        </w:tc>
        <w:tc>
          <w:tcPr>
            <w:tcW w:w="1701" w:type="dxa"/>
            <w:vAlign w:val="bottom"/>
          </w:tcPr>
          <w:p w14:paraId="79EA583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5,0%</w:t>
            </w:r>
          </w:p>
        </w:tc>
        <w:tc>
          <w:tcPr>
            <w:tcW w:w="1843" w:type="dxa"/>
            <w:vAlign w:val="bottom"/>
          </w:tcPr>
          <w:p w14:paraId="2E4692D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5,9%</w:t>
            </w:r>
          </w:p>
        </w:tc>
        <w:tc>
          <w:tcPr>
            <w:tcW w:w="1615" w:type="dxa"/>
            <w:vAlign w:val="bottom"/>
          </w:tcPr>
          <w:p w14:paraId="647C14C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BE2A7C" w14:paraId="79DD4DA3"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50E726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Huesca</w:t>
            </w:r>
          </w:p>
        </w:tc>
        <w:tc>
          <w:tcPr>
            <w:tcW w:w="1701" w:type="dxa"/>
            <w:vAlign w:val="bottom"/>
          </w:tcPr>
          <w:p w14:paraId="6646C3D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4,2%</w:t>
            </w:r>
          </w:p>
        </w:tc>
        <w:tc>
          <w:tcPr>
            <w:tcW w:w="1701" w:type="dxa"/>
            <w:vAlign w:val="bottom"/>
          </w:tcPr>
          <w:p w14:paraId="43D4B9D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c>
          <w:tcPr>
            <w:tcW w:w="1843" w:type="dxa"/>
            <w:vAlign w:val="bottom"/>
          </w:tcPr>
          <w:p w14:paraId="52EA750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615" w:type="dxa"/>
            <w:vAlign w:val="bottom"/>
          </w:tcPr>
          <w:p w14:paraId="0798540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BE2A7C" w14:paraId="452C77A7"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9F85B07"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Badajoz</w:t>
            </w:r>
          </w:p>
        </w:tc>
        <w:tc>
          <w:tcPr>
            <w:tcW w:w="1701" w:type="dxa"/>
            <w:vAlign w:val="bottom"/>
          </w:tcPr>
          <w:p w14:paraId="07C8FC4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4,5%</w:t>
            </w:r>
          </w:p>
        </w:tc>
        <w:tc>
          <w:tcPr>
            <w:tcW w:w="1701" w:type="dxa"/>
            <w:vAlign w:val="bottom"/>
          </w:tcPr>
          <w:p w14:paraId="4482F66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5,4%</w:t>
            </w:r>
          </w:p>
        </w:tc>
        <w:tc>
          <w:tcPr>
            <w:tcW w:w="1843" w:type="dxa"/>
            <w:vAlign w:val="bottom"/>
          </w:tcPr>
          <w:p w14:paraId="6F329EC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6,3%</w:t>
            </w:r>
          </w:p>
        </w:tc>
        <w:tc>
          <w:tcPr>
            <w:tcW w:w="1615" w:type="dxa"/>
            <w:vAlign w:val="bottom"/>
          </w:tcPr>
          <w:p w14:paraId="0401692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BE2A7C" w14:paraId="259FF299"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5F7241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1701" w:type="dxa"/>
            <w:vAlign w:val="bottom"/>
          </w:tcPr>
          <w:p w14:paraId="0531AD0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4,4%</w:t>
            </w:r>
          </w:p>
        </w:tc>
        <w:tc>
          <w:tcPr>
            <w:tcW w:w="1701" w:type="dxa"/>
            <w:vAlign w:val="bottom"/>
          </w:tcPr>
          <w:p w14:paraId="5DC7B15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c>
          <w:tcPr>
            <w:tcW w:w="1843" w:type="dxa"/>
            <w:vAlign w:val="bottom"/>
          </w:tcPr>
          <w:p w14:paraId="50EC5C7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6,6%</w:t>
            </w:r>
          </w:p>
        </w:tc>
        <w:tc>
          <w:tcPr>
            <w:tcW w:w="1615" w:type="dxa"/>
            <w:vAlign w:val="bottom"/>
          </w:tcPr>
          <w:p w14:paraId="16A3D14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BE2A7C" w14:paraId="51FD6E68"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42AA9B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1701" w:type="dxa"/>
            <w:vAlign w:val="bottom"/>
          </w:tcPr>
          <w:p w14:paraId="73BD3B3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4,9%</w:t>
            </w:r>
          </w:p>
        </w:tc>
        <w:tc>
          <w:tcPr>
            <w:tcW w:w="1701" w:type="dxa"/>
            <w:vAlign w:val="bottom"/>
          </w:tcPr>
          <w:p w14:paraId="3D95FBE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c>
          <w:tcPr>
            <w:tcW w:w="1843" w:type="dxa"/>
            <w:vAlign w:val="bottom"/>
          </w:tcPr>
          <w:p w14:paraId="3DEECDF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6,7%</w:t>
            </w:r>
          </w:p>
        </w:tc>
        <w:tc>
          <w:tcPr>
            <w:tcW w:w="1615" w:type="dxa"/>
            <w:vAlign w:val="bottom"/>
          </w:tcPr>
          <w:p w14:paraId="0D60B49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BE2A7C" w14:paraId="10D80C50"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2816C4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Guadalajara</w:t>
            </w:r>
          </w:p>
        </w:tc>
        <w:tc>
          <w:tcPr>
            <w:tcW w:w="1701" w:type="dxa"/>
            <w:vAlign w:val="bottom"/>
          </w:tcPr>
          <w:p w14:paraId="3A242AE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4,9%</w:t>
            </w:r>
          </w:p>
        </w:tc>
        <w:tc>
          <w:tcPr>
            <w:tcW w:w="1701" w:type="dxa"/>
            <w:vAlign w:val="bottom"/>
          </w:tcPr>
          <w:p w14:paraId="188F89F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c>
          <w:tcPr>
            <w:tcW w:w="1843" w:type="dxa"/>
            <w:vAlign w:val="bottom"/>
          </w:tcPr>
          <w:p w14:paraId="55AD68C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6,3%</w:t>
            </w:r>
          </w:p>
        </w:tc>
        <w:tc>
          <w:tcPr>
            <w:tcW w:w="1615" w:type="dxa"/>
            <w:vAlign w:val="bottom"/>
          </w:tcPr>
          <w:p w14:paraId="789896A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BE2A7C" w14:paraId="7428FF50"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B5D20E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Teruel</w:t>
            </w:r>
          </w:p>
        </w:tc>
        <w:tc>
          <w:tcPr>
            <w:tcW w:w="1701" w:type="dxa"/>
            <w:vAlign w:val="bottom"/>
          </w:tcPr>
          <w:p w14:paraId="4EC4B8A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3,9%</w:t>
            </w:r>
          </w:p>
        </w:tc>
        <w:tc>
          <w:tcPr>
            <w:tcW w:w="1701" w:type="dxa"/>
            <w:vAlign w:val="bottom"/>
          </w:tcPr>
          <w:p w14:paraId="6BEBC97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4,8%</w:t>
            </w:r>
          </w:p>
        </w:tc>
        <w:tc>
          <w:tcPr>
            <w:tcW w:w="1843" w:type="dxa"/>
            <w:vAlign w:val="bottom"/>
          </w:tcPr>
          <w:p w14:paraId="4F9D817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6,6%</w:t>
            </w:r>
          </w:p>
        </w:tc>
        <w:tc>
          <w:tcPr>
            <w:tcW w:w="1615" w:type="dxa"/>
            <w:vAlign w:val="bottom"/>
          </w:tcPr>
          <w:p w14:paraId="687BE5B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BE2A7C" w14:paraId="61127F1C"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3D78BB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Navarra</w:t>
            </w:r>
          </w:p>
        </w:tc>
        <w:tc>
          <w:tcPr>
            <w:tcW w:w="1701" w:type="dxa"/>
            <w:vAlign w:val="bottom"/>
          </w:tcPr>
          <w:p w14:paraId="5F1885E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4,5%</w:t>
            </w:r>
          </w:p>
        </w:tc>
        <w:tc>
          <w:tcPr>
            <w:tcW w:w="1701" w:type="dxa"/>
            <w:vAlign w:val="bottom"/>
          </w:tcPr>
          <w:p w14:paraId="4AD5201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843" w:type="dxa"/>
            <w:vAlign w:val="bottom"/>
          </w:tcPr>
          <w:p w14:paraId="6D3D0F4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6,6%</w:t>
            </w:r>
          </w:p>
        </w:tc>
        <w:tc>
          <w:tcPr>
            <w:tcW w:w="1615" w:type="dxa"/>
            <w:vAlign w:val="bottom"/>
          </w:tcPr>
          <w:p w14:paraId="5A7F4F4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BE2A7C" w14:paraId="340519B7"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DA34737"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1701" w:type="dxa"/>
            <w:vAlign w:val="bottom"/>
          </w:tcPr>
          <w:p w14:paraId="1BEFCDF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5,0%</w:t>
            </w:r>
          </w:p>
        </w:tc>
        <w:tc>
          <w:tcPr>
            <w:tcW w:w="1701" w:type="dxa"/>
            <w:vAlign w:val="bottom"/>
          </w:tcPr>
          <w:p w14:paraId="59BE47E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5,6%</w:t>
            </w:r>
          </w:p>
        </w:tc>
        <w:tc>
          <w:tcPr>
            <w:tcW w:w="1843" w:type="dxa"/>
            <w:vAlign w:val="bottom"/>
          </w:tcPr>
          <w:p w14:paraId="73D9B02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6,3%</w:t>
            </w:r>
          </w:p>
        </w:tc>
        <w:tc>
          <w:tcPr>
            <w:tcW w:w="1615" w:type="dxa"/>
            <w:vAlign w:val="bottom"/>
          </w:tcPr>
          <w:p w14:paraId="0147A15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BE2A7C" w14:paraId="7082CCCF"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2B8412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Salamanca</w:t>
            </w:r>
          </w:p>
        </w:tc>
        <w:tc>
          <w:tcPr>
            <w:tcW w:w="1701" w:type="dxa"/>
            <w:vAlign w:val="bottom"/>
          </w:tcPr>
          <w:p w14:paraId="31A9031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4,0%</w:t>
            </w:r>
          </w:p>
        </w:tc>
        <w:tc>
          <w:tcPr>
            <w:tcW w:w="1701" w:type="dxa"/>
            <w:vAlign w:val="bottom"/>
          </w:tcPr>
          <w:p w14:paraId="3BE8AA9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5,2%</w:t>
            </w:r>
          </w:p>
        </w:tc>
        <w:tc>
          <w:tcPr>
            <w:tcW w:w="1843" w:type="dxa"/>
            <w:vAlign w:val="bottom"/>
          </w:tcPr>
          <w:p w14:paraId="67E5AB9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6,1%</w:t>
            </w:r>
          </w:p>
        </w:tc>
        <w:tc>
          <w:tcPr>
            <w:tcW w:w="1615" w:type="dxa"/>
            <w:vAlign w:val="bottom"/>
          </w:tcPr>
          <w:p w14:paraId="70F48AE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BE2A7C" w14:paraId="0065BF96"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4F8273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Cuenca</w:t>
            </w:r>
          </w:p>
        </w:tc>
        <w:tc>
          <w:tcPr>
            <w:tcW w:w="1701" w:type="dxa"/>
            <w:vAlign w:val="bottom"/>
          </w:tcPr>
          <w:p w14:paraId="1F06741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5,0%</w:t>
            </w:r>
          </w:p>
        </w:tc>
        <w:tc>
          <w:tcPr>
            <w:tcW w:w="1701" w:type="dxa"/>
            <w:vAlign w:val="bottom"/>
          </w:tcPr>
          <w:p w14:paraId="559FF51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5,9%</w:t>
            </w:r>
          </w:p>
        </w:tc>
        <w:tc>
          <w:tcPr>
            <w:tcW w:w="1843" w:type="dxa"/>
            <w:vAlign w:val="bottom"/>
          </w:tcPr>
          <w:p w14:paraId="748A345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7,3%</w:t>
            </w:r>
          </w:p>
        </w:tc>
        <w:tc>
          <w:tcPr>
            <w:tcW w:w="1615" w:type="dxa"/>
            <w:vAlign w:val="bottom"/>
          </w:tcPr>
          <w:p w14:paraId="7505F3C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BE2A7C" w14:paraId="6DDB6622"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A738A1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Zaragoza</w:t>
            </w:r>
          </w:p>
        </w:tc>
        <w:tc>
          <w:tcPr>
            <w:tcW w:w="1701" w:type="dxa"/>
            <w:vAlign w:val="bottom"/>
          </w:tcPr>
          <w:p w14:paraId="1D84D7A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4,4%</w:t>
            </w:r>
          </w:p>
        </w:tc>
        <w:tc>
          <w:tcPr>
            <w:tcW w:w="1701" w:type="dxa"/>
            <w:vAlign w:val="bottom"/>
          </w:tcPr>
          <w:p w14:paraId="0C52780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843" w:type="dxa"/>
            <w:vAlign w:val="bottom"/>
          </w:tcPr>
          <w:p w14:paraId="52D3E4F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6,4%</w:t>
            </w:r>
          </w:p>
        </w:tc>
        <w:tc>
          <w:tcPr>
            <w:tcW w:w="1615" w:type="dxa"/>
            <w:vAlign w:val="bottom"/>
          </w:tcPr>
          <w:p w14:paraId="2603763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BE2A7C" w14:paraId="152BA8CE"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4EA291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Girona</w:t>
            </w:r>
          </w:p>
        </w:tc>
        <w:tc>
          <w:tcPr>
            <w:tcW w:w="1701" w:type="dxa"/>
            <w:vAlign w:val="bottom"/>
          </w:tcPr>
          <w:p w14:paraId="7637A2E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4,4%</w:t>
            </w:r>
          </w:p>
        </w:tc>
        <w:tc>
          <w:tcPr>
            <w:tcW w:w="1701" w:type="dxa"/>
            <w:vAlign w:val="bottom"/>
          </w:tcPr>
          <w:p w14:paraId="4F72988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5,2%</w:t>
            </w:r>
          </w:p>
        </w:tc>
        <w:tc>
          <w:tcPr>
            <w:tcW w:w="1843" w:type="dxa"/>
            <w:vAlign w:val="bottom"/>
          </w:tcPr>
          <w:p w14:paraId="7A51FD2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c>
          <w:tcPr>
            <w:tcW w:w="1615" w:type="dxa"/>
            <w:vAlign w:val="bottom"/>
          </w:tcPr>
          <w:p w14:paraId="3669D56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6,2%</w:t>
            </w:r>
          </w:p>
        </w:tc>
      </w:tr>
      <w:tr w:rsidR="00BE2A7C" w14:paraId="194C35FB"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6F7B40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Córdoba</w:t>
            </w:r>
          </w:p>
        </w:tc>
        <w:tc>
          <w:tcPr>
            <w:tcW w:w="1701" w:type="dxa"/>
            <w:vAlign w:val="bottom"/>
          </w:tcPr>
          <w:p w14:paraId="27C1B46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4,7%</w:t>
            </w:r>
          </w:p>
        </w:tc>
        <w:tc>
          <w:tcPr>
            <w:tcW w:w="1701" w:type="dxa"/>
            <w:vAlign w:val="bottom"/>
          </w:tcPr>
          <w:p w14:paraId="4D31A62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c>
          <w:tcPr>
            <w:tcW w:w="1843" w:type="dxa"/>
            <w:vAlign w:val="bottom"/>
          </w:tcPr>
          <w:p w14:paraId="04C134B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6,1%</w:t>
            </w:r>
          </w:p>
        </w:tc>
        <w:tc>
          <w:tcPr>
            <w:tcW w:w="1615" w:type="dxa"/>
            <w:vAlign w:val="bottom"/>
          </w:tcPr>
          <w:p w14:paraId="0310099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BE2A7C" w14:paraId="33730B05"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BBF8F0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Valladolid</w:t>
            </w:r>
          </w:p>
        </w:tc>
        <w:tc>
          <w:tcPr>
            <w:tcW w:w="1701" w:type="dxa"/>
            <w:vAlign w:val="bottom"/>
          </w:tcPr>
          <w:p w14:paraId="1EDF4D9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4,3%</w:t>
            </w:r>
          </w:p>
        </w:tc>
        <w:tc>
          <w:tcPr>
            <w:tcW w:w="1701" w:type="dxa"/>
            <w:vAlign w:val="bottom"/>
          </w:tcPr>
          <w:p w14:paraId="77B0ADB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5,4%</w:t>
            </w:r>
          </w:p>
        </w:tc>
        <w:tc>
          <w:tcPr>
            <w:tcW w:w="1843" w:type="dxa"/>
            <w:vAlign w:val="bottom"/>
          </w:tcPr>
          <w:p w14:paraId="5004213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c>
          <w:tcPr>
            <w:tcW w:w="1615" w:type="dxa"/>
            <w:vAlign w:val="bottom"/>
          </w:tcPr>
          <w:p w14:paraId="497BF50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BE2A7C" w14:paraId="1CF1249A"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F7A889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Gipuzkoa</w:t>
            </w:r>
          </w:p>
        </w:tc>
        <w:tc>
          <w:tcPr>
            <w:tcW w:w="1701" w:type="dxa"/>
            <w:vAlign w:val="bottom"/>
          </w:tcPr>
          <w:p w14:paraId="7AD8126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3,5%</w:t>
            </w:r>
          </w:p>
        </w:tc>
        <w:tc>
          <w:tcPr>
            <w:tcW w:w="1701" w:type="dxa"/>
            <w:vAlign w:val="bottom"/>
          </w:tcPr>
          <w:p w14:paraId="4E45EC2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5,3%</w:t>
            </w:r>
          </w:p>
        </w:tc>
        <w:tc>
          <w:tcPr>
            <w:tcW w:w="1843" w:type="dxa"/>
            <w:vAlign w:val="bottom"/>
          </w:tcPr>
          <w:p w14:paraId="6B826B9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6,1%</w:t>
            </w:r>
          </w:p>
        </w:tc>
        <w:tc>
          <w:tcPr>
            <w:tcW w:w="1615" w:type="dxa"/>
            <w:vAlign w:val="bottom"/>
          </w:tcPr>
          <w:p w14:paraId="05655EC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BE2A7C" w14:paraId="3E1BC7D8"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A15DF8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1701" w:type="dxa"/>
            <w:vAlign w:val="bottom"/>
          </w:tcPr>
          <w:p w14:paraId="642DA8C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3,7%</w:t>
            </w:r>
          </w:p>
        </w:tc>
        <w:tc>
          <w:tcPr>
            <w:tcW w:w="1701" w:type="dxa"/>
            <w:vAlign w:val="bottom"/>
          </w:tcPr>
          <w:p w14:paraId="46B150A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4,5%</w:t>
            </w:r>
          </w:p>
        </w:tc>
        <w:tc>
          <w:tcPr>
            <w:tcW w:w="1843" w:type="dxa"/>
            <w:vAlign w:val="bottom"/>
          </w:tcPr>
          <w:p w14:paraId="1B701FD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c>
          <w:tcPr>
            <w:tcW w:w="1615" w:type="dxa"/>
            <w:vAlign w:val="bottom"/>
          </w:tcPr>
          <w:p w14:paraId="37832B2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BE2A7C" w14:paraId="7F74DA30"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ACE7E4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Cáceres</w:t>
            </w:r>
          </w:p>
        </w:tc>
        <w:tc>
          <w:tcPr>
            <w:tcW w:w="1701" w:type="dxa"/>
            <w:vAlign w:val="bottom"/>
          </w:tcPr>
          <w:p w14:paraId="6ECFA80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701" w:type="dxa"/>
            <w:vAlign w:val="bottom"/>
          </w:tcPr>
          <w:p w14:paraId="2F6E423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1843" w:type="dxa"/>
            <w:vAlign w:val="bottom"/>
          </w:tcPr>
          <w:p w14:paraId="33EF86B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c>
          <w:tcPr>
            <w:tcW w:w="1615" w:type="dxa"/>
            <w:vAlign w:val="bottom"/>
          </w:tcPr>
          <w:p w14:paraId="070FAD3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r>
      <w:tr w:rsidR="00BE2A7C" w14:paraId="411551E4"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0E3610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Bizkaia</w:t>
            </w:r>
          </w:p>
        </w:tc>
        <w:tc>
          <w:tcPr>
            <w:tcW w:w="1701" w:type="dxa"/>
            <w:vAlign w:val="bottom"/>
          </w:tcPr>
          <w:p w14:paraId="6E0DC0C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3,9%</w:t>
            </w:r>
          </w:p>
        </w:tc>
        <w:tc>
          <w:tcPr>
            <w:tcW w:w="1701" w:type="dxa"/>
            <w:vAlign w:val="bottom"/>
          </w:tcPr>
          <w:p w14:paraId="20A9627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843" w:type="dxa"/>
            <w:vAlign w:val="bottom"/>
          </w:tcPr>
          <w:p w14:paraId="1D3356D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c>
          <w:tcPr>
            <w:tcW w:w="1615" w:type="dxa"/>
            <w:vAlign w:val="bottom"/>
          </w:tcPr>
          <w:p w14:paraId="5597F16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5,9%</w:t>
            </w:r>
          </w:p>
        </w:tc>
      </w:tr>
      <w:tr w:rsidR="00BE2A7C" w14:paraId="28FA138C" w14:textId="77777777" w:rsidTr="00BE2A7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9F35E4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Palencia</w:t>
            </w:r>
          </w:p>
        </w:tc>
        <w:tc>
          <w:tcPr>
            <w:tcW w:w="1701" w:type="dxa"/>
            <w:vAlign w:val="bottom"/>
          </w:tcPr>
          <w:p w14:paraId="3874004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701" w:type="dxa"/>
            <w:vAlign w:val="bottom"/>
          </w:tcPr>
          <w:p w14:paraId="553BE97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843" w:type="dxa"/>
            <w:vAlign w:val="bottom"/>
          </w:tcPr>
          <w:p w14:paraId="7677E76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5,7%</w:t>
            </w:r>
          </w:p>
        </w:tc>
        <w:tc>
          <w:tcPr>
            <w:tcW w:w="1615" w:type="dxa"/>
            <w:vAlign w:val="bottom"/>
          </w:tcPr>
          <w:p w14:paraId="70F603B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5,9%</w:t>
            </w:r>
          </w:p>
        </w:tc>
      </w:tr>
      <w:tr w:rsidR="00BE2A7C" w14:paraId="176AC990"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CCCAA0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La Rioja</w:t>
            </w:r>
          </w:p>
        </w:tc>
        <w:tc>
          <w:tcPr>
            <w:tcW w:w="1701" w:type="dxa"/>
            <w:vAlign w:val="bottom"/>
          </w:tcPr>
          <w:p w14:paraId="72A3323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701" w:type="dxa"/>
            <w:vAlign w:val="bottom"/>
          </w:tcPr>
          <w:p w14:paraId="79CA753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843" w:type="dxa"/>
            <w:vAlign w:val="bottom"/>
          </w:tcPr>
          <w:p w14:paraId="66FFCE5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615" w:type="dxa"/>
            <w:vAlign w:val="bottom"/>
          </w:tcPr>
          <w:p w14:paraId="7E9AE5B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5,9%</w:t>
            </w:r>
          </w:p>
        </w:tc>
      </w:tr>
      <w:tr w:rsidR="00BE2A7C" w14:paraId="317E4979"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6C3625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Pontevedra</w:t>
            </w:r>
          </w:p>
        </w:tc>
        <w:tc>
          <w:tcPr>
            <w:tcW w:w="1701" w:type="dxa"/>
            <w:vAlign w:val="bottom"/>
          </w:tcPr>
          <w:p w14:paraId="40A18DC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701" w:type="dxa"/>
            <w:vAlign w:val="bottom"/>
          </w:tcPr>
          <w:p w14:paraId="10CA1A2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843" w:type="dxa"/>
            <w:vAlign w:val="bottom"/>
          </w:tcPr>
          <w:p w14:paraId="345985A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615" w:type="dxa"/>
            <w:vAlign w:val="bottom"/>
          </w:tcPr>
          <w:p w14:paraId="696A63A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r>
      <w:tr w:rsidR="00BE2A7C" w14:paraId="150A5EF3"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4D5833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1701" w:type="dxa"/>
            <w:vAlign w:val="bottom"/>
          </w:tcPr>
          <w:p w14:paraId="1E16DFA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701" w:type="dxa"/>
            <w:vAlign w:val="bottom"/>
          </w:tcPr>
          <w:p w14:paraId="6E8E858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843" w:type="dxa"/>
            <w:vAlign w:val="bottom"/>
          </w:tcPr>
          <w:p w14:paraId="6CA6261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615" w:type="dxa"/>
            <w:vAlign w:val="bottom"/>
          </w:tcPr>
          <w:p w14:paraId="3D0F750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r>
      <w:tr w:rsidR="00BE2A7C" w14:paraId="2F7A9F17"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9E940F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Ourense</w:t>
            </w:r>
          </w:p>
        </w:tc>
        <w:tc>
          <w:tcPr>
            <w:tcW w:w="1701" w:type="dxa"/>
            <w:vAlign w:val="bottom"/>
          </w:tcPr>
          <w:p w14:paraId="146EB99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3,6%</w:t>
            </w:r>
          </w:p>
        </w:tc>
        <w:tc>
          <w:tcPr>
            <w:tcW w:w="1701" w:type="dxa"/>
            <w:vAlign w:val="bottom"/>
          </w:tcPr>
          <w:p w14:paraId="76D1EE7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4,2%</w:t>
            </w:r>
          </w:p>
        </w:tc>
        <w:tc>
          <w:tcPr>
            <w:tcW w:w="1843" w:type="dxa"/>
            <w:vAlign w:val="bottom"/>
          </w:tcPr>
          <w:p w14:paraId="6EB5BED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615" w:type="dxa"/>
            <w:vAlign w:val="bottom"/>
          </w:tcPr>
          <w:p w14:paraId="4D6825B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r>
      <w:tr w:rsidR="00BE2A7C" w14:paraId="464D4D95"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E35FA2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Santa Cruz de Tenerife</w:t>
            </w:r>
          </w:p>
        </w:tc>
        <w:tc>
          <w:tcPr>
            <w:tcW w:w="1701" w:type="dxa"/>
            <w:vAlign w:val="bottom"/>
          </w:tcPr>
          <w:p w14:paraId="47CA072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1701" w:type="dxa"/>
            <w:vAlign w:val="bottom"/>
          </w:tcPr>
          <w:p w14:paraId="2C8229D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c>
          <w:tcPr>
            <w:tcW w:w="1843" w:type="dxa"/>
            <w:vAlign w:val="bottom"/>
          </w:tcPr>
          <w:p w14:paraId="188C8E9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615" w:type="dxa"/>
            <w:vAlign w:val="bottom"/>
          </w:tcPr>
          <w:p w14:paraId="63476DD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5,6%</w:t>
            </w:r>
          </w:p>
        </w:tc>
      </w:tr>
      <w:tr w:rsidR="00BE2A7C" w14:paraId="3D08196D" w14:textId="77777777" w:rsidTr="00BE2A7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EA638B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Araba - Álava</w:t>
            </w:r>
          </w:p>
        </w:tc>
        <w:tc>
          <w:tcPr>
            <w:tcW w:w="1701" w:type="dxa"/>
            <w:vAlign w:val="bottom"/>
          </w:tcPr>
          <w:p w14:paraId="69DB0B1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701" w:type="dxa"/>
            <w:vAlign w:val="bottom"/>
          </w:tcPr>
          <w:p w14:paraId="134645A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1843" w:type="dxa"/>
            <w:vAlign w:val="bottom"/>
          </w:tcPr>
          <w:p w14:paraId="09EBFE8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615" w:type="dxa"/>
            <w:vAlign w:val="bottom"/>
          </w:tcPr>
          <w:p w14:paraId="3D8F499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5,6%</w:t>
            </w:r>
          </w:p>
        </w:tc>
      </w:tr>
      <w:tr w:rsidR="00BE2A7C" w14:paraId="44CF3597"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AC43B1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Albacete</w:t>
            </w:r>
          </w:p>
        </w:tc>
        <w:tc>
          <w:tcPr>
            <w:tcW w:w="1701" w:type="dxa"/>
            <w:vAlign w:val="bottom"/>
          </w:tcPr>
          <w:p w14:paraId="551AFE8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701" w:type="dxa"/>
            <w:vAlign w:val="bottom"/>
          </w:tcPr>
          <w:p w14:paraId="07A3448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843" w:type="dxa"/>
            <w:vAlign w:val="bottom"/>
          </w:tcPr>
          <w:p w14:paraId="1D89C85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5,7%</w:t>
            </w:r>
          </w:p>
        </w:tc>
        <w:tc>
          <w:tcPr>
            <w:tcW w:w="1615" w:type="dxa"/>
            <w:vAlign w:val="bottom"/>
          </w:tcPr>
          <w:p w14:paraId="49D67EE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5,6%</w:t>
            </w:r>
          </w:p>
        </w:tc>
      </w:tr>
      <w:tr w:rsidR="00BE2A7C" w14:paraId="0C31DF5C"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C47BB3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1701" w:type="dxa"/>
            <w:vAlign w:val="bottom"/>
          </w:tcPr>
          <w:p w14:paraId="46E72E1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4,6%</w:t>
            </w:r>
          </w:p>
        </w:tc>
        <w:tc>
          <w:tcPr>
            <w:tcW w:w="1701" w:type="dxa"/>
            <w:vAlign w:val="bottom"/>
          </w:tcPr>
          <w:p w14:paraId="2DE0DA4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c>
          <w:tcPr>
            <w:tcW w:w="1843" w:type="dxa"/>
            <w:vAlign w:val="bottom"/>
          </w:tcPr>
          <w:p w14:paraId="262314D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615" w:type="dxa"/>
            <w:vAlign w:val="bottom"/>
          </w:tcPr>
          <w:p w14:paraId="2AE41CC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r>
      <w:tr w:rsidR="00BE2A7C" w14:paraId="743742A7"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0527BB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Illes Balears</w:t>
            </w:r>
          </w:p>
        </w:tc>
        <w:tc>
          <w:tcPr>
            <w:tcW w:w="1701" w:type="dxa"/>
            <w:vAlign w:val="bottom"/>
          </w:tcPr>
          <w:p w14:paraId="2760737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701" w:type="dxa"/>
            <w:vAlign w:val="bottom"/>
          </w:tcPr>
          <w:p w14:paraId="3A3A9CB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843" w:type="dxa"/>
            <w:vAlign w:val="bottom"/>
          </w:tcPr>
          <w:p w14:paraId="759B9F7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615" w:type="dxa"/>
            <w:vAlign w:val="bottom"/>
          </w:tcPr>
          <w:p w14:paraId="6E41FA9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5,3%</w:t>
            </w:r>
          </w:p>
        </w:tc>
      </w:tr>
      <w:tr w:rsidR="00BE2A7C" w14:paraId="062EAB36" w14:textId="77777777" w:rsidTr="00BE2A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704EBB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1701" w:type="dxa"/>
            <w:vAlign w:val="bottom"/>
          </w:tcPr>
          <w:p w14:paraId="62D4A13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701" w:type="dxa"/>
            <w:vAlign w:val="bottom"/>
          </w:tcPr>
          <w:p w14:paraId="123A19A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843" w:type="dxa"/>
            <w:vAlign w:val="bottom"/>
          </w:tcPr>
          <w:p w14:paraId="59F788A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615" w:type="dxa"/>
            <w:vAlign w:val="bottom"/>
          </w:tcPr>
          <w:p w14:paraId="0842CFE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5,1%</w:t>
            </w:r>
          </w:p>
        </w:tc>
      </w:tr>
      <w:tr w:rsidR="00BE2A7C" w14:paraId="3EF2A9E6"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76AE55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Ávila</w:t>
            </w:r>
          </w:p>
        </w:tc>
        <w:tc>
          <w:tcPr>
            <w:tcW w:w="1701" w:type="dxa"/>
            <w:vAlign w:val="bottom"/>
          </w:tcPr>
          <w:p w14:paraId="6AEE548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701" w:type="dxa"/>
            <w:vAlign w:val="bottom"/>
          </w:tcPr>
          <w:p w14:paraId="542E029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843" w:type="dxa"/>
            <w:vAlign w:val="bottom"/>
          </w:tcPr>
          <w:p w14:paraId="0426D17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7,6%</w:t>
            </w:r>
          </w:p>
        </w:tc>
        <w:tc>
          <w:tcPr>
            <w:tcW w:w="1615" w:type="dxa"/>
            <w:vAlign w:val="bottom"/>
          </w:tcPr>
          <w:p w14:paraId="603DD3C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r>
      <w:tr w:rsidR="00BE2A7C" w14:paraId="40DC49A1" w14:textId="77777777" w:rsidTr="00BE2A7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E6CBB4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Soria</w:t>
            </w:r>
          </w:p>
        </w:tc>
        <w:tc>
          <w:tcPr>
            <w:tcW w:w="1701" w:type="dxa"/>
            <w:vAlign w:val="bottom"/>
          </w:tcPr>
          <w:p w14:paraId="2C58E9F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701" w:type="dxa"/>
            <w:vAlign w:val="bottom"/>
          </w:tcPr>
          <w:p w14:paraId="6A14362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0,0%</w:t>
            </w:r>
          </w:p>
        </w:tc>
        <w:tc>
          <w:tcPr>
            <w:tcW w:w="1843" w:type="dxa"/>
            <w:vAlign w:val="bottom"/>
          </w:tcPr>
          <w:p w14:paraId="246DF0A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0,0%</w:t>
            </w:r>
          </w:p>
        </w:tc>
        <w:tc>
          <w:tcPr>
            <w:tcW w:w="1615" w:type="dxa"/>
          </w:tcPr>
          <w:p w14:paraId="28B4F30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w:t>
            </w:r>
          </w:p>
        </w:tc>
      </w:tr>
      <w:tr w:rsidR="00BE2A7C" w14:paraId="41F55AE2" w14:textId="77777777" w:rsidTr="00BE2A7C">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E01898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Zamora</w:t>
            </w:r>
          </w:p>
        </w:tc>
        <w:tc>
          <w:tcPr>
            <w:tcW w:w="1701" w:type="dxa"/>
            <w:vAlign w:val="bottom"/>
          </w:tcPr>
          <w:p w14:paraId="7C05799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701" w:type="dxa"/>
            <w:vAlign w:val="bottom"/>
          </w:tcPr>
          <w:p w14:paraId="7916CAF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1843" w:type="dxa"/>
            <w:vAlign w:val="bottom"/>
          </w:tcPr>
          <w:p w14:paraId="7A74F3E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615" w:type="dxa"/>
          </w:tcPr>
          <w:p w14:paraId="73BD586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w:t>
            </w:r>
          </w:p>
        </w:tc>
      </w:tr>
    </w:tbl>
    <w:p w14:paraId="7CAC667E"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3. Rentabilidad de la vivienda por ciudades en 2013, 2018, 2022 y 2023</w:t>
      </w:r>
    </w:p>
    <w:tbl>
      <w:tblPr>
        <w:tblStyle w:val="5"/>
        <w:tblW w:w="900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60"/>
        <w:gridCol w:w="2046"/>
        <w:gridCol w:w="1501"/>
        <w:gridCol w:w="1364"/>
        <w:gridCol w:w="1363"/>
        <w:gridCol w:w="1372"/>
      </w:tblGrid>
      <w:tr w:rsidR="00BE2A7C" w14:paraId="13C1A20D" w14:textId="77777777" w:rsidTr="00D46F7C">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60" w:type="dxa"/>
            <w:vAlign w:val="center"/>
          </w:tcPr>
          <w:p w14:paraId="7CE4DA2B" w14:textId="77777777" w:rsidR="00BE2A7C" w:rsidRDefault="00000000">
            <w:pPr>
              <w:rPr>
                <w:rFonts w:ascii="Open Sans" w:eastAsia="Open Sans" w:hAnsi="Open Sans" w:cs="Open Sans"/>
                <w:sz w:val="20"/>
                <w:szCs w:val="20"/>
              </w:rPr>
            </w:pPr>
            <w:r>
              <w:rPr>
                <w:rFonts w:ascii="Open Sans" w:eastAsia="Open Sans" w:hAnsi="Open Sans" w:cs="Open Sans"/>
                <w:b w:val="0"/>
                <w:sz w:val="20"/>
                <w:szCs w:val="20"/>
              </w:rPr>
              <w:t>Provincia</w:t>
            </w:r>
          </w:p>
        </w:tc>
        <w:tc>
          <w:tcPr>
            <w:tcW w:w="2046" w:type="dxa"/>
            <w:vAlign w:val="center"/>
          </w:tcPr>
          <w:p w14:paraId="7292A120" w14:textId="77777777" w:rsidR="00BE2A7C" w:rsidRDefault="00000000">
            <w:pPr>
              <w:cnfStyle w:val="100000000000" w:firstRow="1" w:lastRow="0" w:firstColumn="0" w:lastColumn="0" w:oddVBand="0" w:evenVBand="0" w:oddHBand="0" w:evenHBand="0" w:firstRowFirstColumn="0" w:firstRowLastColumn="0" w:lastRowFirstColumn="0" w:lastRowLastColumn="0"/>
            </w:pPr>
            <w:r>
              <w:rPr>
                <w:rFonts w:ascii="Open Sans" w:eastAsia="Open Sans" w:hAnsi="Open Sans" w:cs="Open Sans"/>
                <w:b w:val="0"/>
                <w:sz w:val="20"/>
                <w:szCs w:val="20"/>
              </w:rPr>
              <w:t>Ciudad</w:t>
            </w:r>
          </w:p>
        </w:tc>
        <w:tc>
          <w:tcPr>
            <w:tcW w:w="1501" w:type="dxa"/>
            <w:vAlign w:val="center"/>
          </w:tcPr>
          <w:p w14:paraId="7E3C2C0D"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Rentabilidad</w:t>
            </w:r>
          </w:p>
          <w:p w14:paraId="6572F06C"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2013</w:t>
            </w:r>
          </w:p>
          <w:p w14:paraId="057E4943"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(10 años)</w:t>
            </w:r>
          </w:p>
        </w:tc>
        <w:tc>
          <w:tcPr>
            <w:tcW w:w="1364" w:type="dxa"/>
            <w:vAlign w:val="center"/>
          </w:tcPr>
          <w:p w14:paraId="58CD43A3"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Rentabilidad</w:t>
            </w:r>
          </w:p>
          <w:p w14:paraId="55A8BC2D"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2018</w:t>
            </w:r>
          </w:p>
          <w:p w14:paraId="4547DCC5"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(5 años)</w:t>
            </w:r>
          </w:p>
        </w:tc>
        <w:tc>
          <w:tcPr>
            <w:tcW w:w="1363" w:type="dxa"/>
            <w:vAlign w:val="center"/>
          </w:tcPr>
          <w:p w14:paraId="70ED43E9"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Rentabilidad</w:t>
            </w:r>
          </w:p>
          <w:p w14:paraId="59533362"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2022</w:t>
            </w:r>
          </w:p>
          <w:p w14:paraId="67E72C9D"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(1 año)</w:t>
            </w:r>
          </w:p>
        </w:tc>
        <w:tc>
          <w:tcPr>
            <w:tcW w:w="1372" w:type="dxa"/>
            <w:vAlign w:val="center"/>
          </w:tcPr>
          <w:p w14:paraId="2AA76019"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Rentabilidad</w:t>
            </w:r>
          </w:p>
          <w:p w14:paraId="721E697C"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2023</w:t>
            </w:r>
          </w:p>
        </w:tc>
      </w:tr>
      <w:tr w:rsidR="00BE2A7C" w14:paraId="5E19C096" w14:textId="77777777" w:rsidTr="00D46F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67284B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046" w:type="dxa"/>
            <w:vAlign w:val="bottom"/>
          </w:tcPr>
          <w:p w14:paraId="72596E70"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Gandia</w:t>
            </w:r>
            <w:proofErr w:type="spellEnd"/>
          </w:p>
        </w:tc>
        <w:tc>
          <w:tcPr>
            <w:tcW w:w="1501" w:type="dxa"/>
            <w:vAlign w:val="bottom"/>
          </w:tcPr>
          <w:p w14:paraId="6BEEAD5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4" w:type="dxa"/>
            <w:vAlign w:val="bottom"/>
          </w:tcPr>
          <w:p w14:paraId="3E7D60D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363" w:type="dxa"/>
            <w:vAlign w:val="bottom"/>
          </w:tcPr>
          <w:p w14:paraId="6AF8D76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10,1%</w:t>
            </w:r>
          </w:p>
        </w:tc>
        <w:tc>
          <w:tcPr>
            <w:tcW w:w="1372" w:type="dxa"/>
            <w:vAlign w:val="bottom"/>
          </w:tcPr>
          <w:p w14:paraId="676D105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10,7%</w:t>
            </w:r>
          </w:p>
        </w:tc>
      </w:tr>
      <w:tr w:rsidR="00BE2A7C" w14:paraId="4E8FD16F" w14:textId="77777777" w:rsidTr="00D46F7C">
        <w:trPr>
          <w:trHeight w:val="25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CFE1D8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2046" w:type="dxa"/>
            <w:vAlign w:val="bottom"/>
          </w:tcPr>
          <w:p w14:paraId="5BC062A4"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Laredo</w:t>
            </w:r>
          </w:p>
        </w:tc>
        <w:tc>
          <w:tcPr>
            <w:tcW w:w="1501" w:type="dxa"/>
          </w:tcPr>
          <w:p w14:paraId="7E95252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3ABF923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6258958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9,0%</w:t>
            </w:r>
          </w:p>
        </w:tc>
        <w:tc>
          <w:tcPr>
            <w:tcW w:w="1372" w:type="dxa"/>
            <w:vAlign w:val="bottom"/>
          </w:tcPr>
          <w:p w14:paraId="7B6E390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9,7%</w:t>
            </w:r>
          </w:p>
        </w:tc>
      </w:tr>
      <w:tr w:rsidR="00BE2A7C" w14:paraId="770C0E66" w14:textId="77777777" w:rsidTr="00D46F7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E62793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Córdoba</w:t>
            </w:r>
          </w:p>
        </w:tc>
        <w:tc>
          <w:tcPr>
            <w:tcW w:w="2046" w:type="dxa"/>
            <w:vAlign w:val="bottom"/>
          </w:tcPr>
          <w:p w14:paraId="22D06642"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Lucena</w:t>
            </w:r>
          </w:p>
        </w:tc>
        <w:tc>
          <w:tcPr>
            <w:tcW w:w="1501" w:type="dxa"/>
          </w:tcPr>
          <w:p w14:paraId="2FEFA57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17AB24D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1BB018F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c>
          <w:tcPr>
            <w:tcW w:w="1372" w:type="dxa"/>
            <w:vAlign w:val="bottom"/>
          </w:tcPr>
          <w:p w14:paraId="4DBA16D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8,9%</w:t>
            </w:r>
          </w:p>
        </w:tc>
      </w:tr>
      <w:tr w:rsidR="00BE2A7C" w14:paraId="161B3F6A" w14:textId="77777777" w:rsidTr="00D46F7C">
        <w:trPr>
          <w:trHeight w:val="25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491516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75EC70B8"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L'Hospitalet de Llobregat</w:t>
            </w:r>
          </w:p>
        </w:tc>
        <w:tc>
          <w:tcPr>
            <w:tcW w:w="1501" w:type="dxa"/>
            <w:vAlign w:val="bottom"/>
          </w:tcPr>
          <w:p w14:paraId="0AAD4BA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364" w:type="dxa"/>
            <w:vAlign w:val="bottom"/>
          </w:tcPr>
          <w:p w14:paraId="353C864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c>
          <w:tcPr>
            <w:tcW w:w="1363" w:type="dxa"/>
            <w:vAlign w:val="bottom"/>
          </w:tcPr>
          <w:p w14:paraId="6DF95E7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7,4%</w:t>
            </w:r>
          </w:p>
        </w:tc>
        <w:tc>
          <w:tcPr>
            <w:tcW w:w="1372" w:type="dxa"/>
            <w:vAlign w:val="bottom"/>
          </w:tcPr>
          <w:p w14:paraId="12A9C5F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8,7%</w:t>
            </w:r>
          </w:p>
        </w:tc>
      </w:tr>
      <w:tr w:rsidR="00BE2A7C" w14:paraId="49A54E82" w14:textId="77777777" w:rsidTr="00D46F7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E5C73F7"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046" w:type="dxa"/>
            <w:vAlign w:val="bottom"/>
          </w:tcPr>
          <w:p w14:paraId="2BD995E3"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 Línea de la Concepción</w:t>
            </w:r>
          </w:p>
        </w:tc>
        <w:tc>
          <w:tcPr>
            <w:tcW w:w="1501" w:type="dxa"/>
            <w:vAlign w:val="bottom"/>
          </w:tcPr>
          <w:p w14:paraId="5557E00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364" w:type="dxa"/>
            <w:vAlign w:val="bottom"/>
          </w:tcPr>
          <w:p w14:paraId="273B7AF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2FE81AB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8,2%</w:t>
            </w:r>
          </w:p>
        </w:tc>
        <w:tc>
          <w:tcPr>
            <w:tcW w:w="1372" w:type="dxa"/>
            <w:vAlign w:val="bottom"/>
          </w:tcPr>
          <w:p w14:paraId="7655839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8,3%</w:t>
            </w:r>
          </w:p>
        </w:tc>
      </w:tr>
      <w:tr w:rsidR="00BE2A7C" w14:paraId="26AC6EA2" w14:textId="77777777" w:rsidTr="00D46F7C">
        <w:trPr>
          <w:trHeight w:val="21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5C19C6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Toledo</w:t>
            </w:r>
          </w:p>
        </w:tc>
        <w:tc>
          <w:tcPr>
            <w:tcW w:w="2046" w:type="dxa"/>
            <w:vAlign w:val="bottom"/>
          </w:tcPr>
          <w:p w14:paraId="4F991632"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Talavera de la Reina</w:t>
            </w:r>
          </w:p>
        </w:tc>
        <w:tc>
          <w:tcPr>
            <w:tcW w:w="1501" w:type="dxa"/>
            <w:vAlign w:val="bottom"/>
          </w:tcPr>
          <w:p w14:paraId="3EF557A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4" w:type="dxa"/>
            <w:vAlign w:val="bottom"/>
          </w:tcPr>
          <w:p w14:paraId="6530733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363" w:type="dxa"/>
            <w:vAlign w:val="bottom"/>
          </w:tcPr>
          <w:p w14:paraId="0EBFEA4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7,2%</w:t>
            </w:r>
          </w:p>
        </w:tc>
        <w:tc>
          <w:tcPr>
            <w:tcW w:w="1372" w:type="dxa"/>
            <w:vAlign w:val="bottom"/>
          </w:tcPr>
          <w:p w14:paraId="738A961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8,3%</w:t>
            </w:r>
          </w:p>
        </w:tc>
      </w:tr>
      <w:tr w:rsidR="00BE2A7C" w14:paraId="21C381A2" w14:textId="77777777" w:rsidTr="00D46F7C">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01D0FF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2046" w:type="dxa"/>
            <w:vAlign w:val="bottom"/>
          </w:tcPr>
          <w:p w14:paraId="35F9A19D"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El Ejido</w:t>
            </w:r>
          </w:p>
        </w:tc>
        <w:tc>
          <w:tcPr>
            <w:tcW w:w="1501" w:type="dxa"/>
            <w:vAlign w:val="bottom"/>
          </w:tcPr>
          <w:p w14:paraId="44B9D0B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64" w:type="dxa"/>
            <w:vAlign w:val="bottom"/>
          </w:tcPr>
          <w:p w14:paraId="2787C2C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1E4954F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7,4%</w:t>
            </w:r>
          </w:p>
        </w:tc>
        <w:tc>
          <w:tcPr>
            <w:tcW w:w="1372" w:type="dxa"/>
            <w:vAlign w:val="bottom"/>
          </w:tcPr>
          <w:p w14:paraId="7E4E6D4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8,2%</w:t>
            </w:r>
          </w:p>
        </w:tc>
      </w:tr>
      <w:tr w:rsidR="00BE2A7C" w14:paraId="44726881" w14:textId="77777777" w:rsidTr="00D46F7C">
        <w:trPr>
          <w:trHeight w:val="248"/>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450DDE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046" w:type="dxa"/>
            <w:vAlign w:val="bottom"/>
          </w:tcPr>
          <w:p w14:paraId="0D5E77CF"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Algeciras</w:t>
            </w:r>
          </w:p>
        </w:tc>
        <w:tc>
          <w:tcPr>
            <w:tcW w:w="1501" w:type="dxa"/>
            <w:vAlign w:val="bottom"/>
          </w:tcPr>
          <w:p w14:paraId="7C27083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364" w:type="dxa"/>
            <w:vAlign w:val="bottom"/>
          </w:tcPr>
          <w:p w14:paraId="0072A21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c>
          <w:tcPr>
            <w:tcW w:w="1363" w:type="dxa"/>
            <w:vAlign w:val="bottom"/>
          </w:tcPr>
          <w:p w14:paraId="48C0EEB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7,9%</w:t>
            </w:r>
          </w:p>
        </w:tc>
        <w:tc>
          <w:tcPr>
            <w:tcW w:w="1372" w:type="dxa"/>
            <w:vAlign w:val="bottom"/>
          </w:tcPr>
          <w:p w14:paraId="2C93FD8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8,1%</w:t>
            </w:r>
          </w:p>
        </w:tc>
      </w:tr>
      <w:tr w:rsidR="00BE2A7C" w14:paraId="03C4F486" w14:textId="77777777" w:rsidTr="00D46F7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42000B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2046" w:type="dxa"/>
            <w:vAlign w:val="bottom"/>
          </w:tcPr>
          <w:p w14:paraId="0AC957BD"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Vila-real</w:t>
            </w:r>
          </w:p>
        </w:tc>
        <w:tc>
          <w:tcPr>
            <w:tcW w:w="1501" w:type="dxa"/>
            <w:vAlign w:val="bottom"/>
          </w:tcPr>
          <w:p w14:paraId="6937918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4" w:type="dxa"/>
            <w:vAlign w:val="bottom"/>
          </w:tcPr>
          <w:p w14:paraId="13D7A84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535FDF1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72" w:type="dxa"/>
            <w:vAlign w:val="bottom"/>
          </w:tcPr>
          <w:p w14:paraId="1FFE8F1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7,9%</w:t>
            </w:r>
          </w:p>
        </w:tc>
      </w:tr>
      <w:tr w:rsidR="00BE2A7C" w14:paraId="63B87FEA" w14:textId="77777777" w:rsidTr="00D46F7C">
        <w:trPr>
          <w:trHeight w:val="198"/>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5E579D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3F811489"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Badalona</w:t>
            </w:r>
          </w:p>
        </w:tc>
        <w:tc>
          <w:tcPr>
            <w:tcW w:w="1501" w:type="dxa"/>
            <w:vAlign w:val="bottom"/>
          </w:tcPr>
          <w:p w14:paraId="55FDB24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4" w:type="dxa"/>
            <w:vAlign w:val="bottom"/>
          </w:tcPr>
          <w:p w14:paraId="00ACED7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363" w:type="dxa"/>
            <w:vAlign w:val="bottom"/>
          </w:tcPr>
          <w:p w14:paraId="051FA7E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7,1%</w:t>
            </w:r>
          </w:p>
        </w:tc>
        <w:tc>
          <w:tcPr>
            <w:tcW w:w="1372" w:type="dxa"/>
            <w:vAlign w:val="bottom"/>
          </w:tcPr>
          <w:p w14:paraId="2A7849E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7,9%</w:t>
            </w:r>
          </w:p>
        </w:tc>
      </w:tr>
      <w:tr w:rsidR="00BE2A7C" w14:paraId="3525F7D4" w14:textId="77777777" w:rsidTr="00D46F7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8100FC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2046" w:type="dxa"/>
            <w:vAlign w:val="bottom"/>
          </w:tcPr>
          <w:p w14:paraId="5B395C3E"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Tarragona Capital</w:t>
            </w:r>
          </w:p>
        </w:tc>
        <w:tc>
          <w:tcPr>
            <w:tcW w:w="1501" w:type="dxa"/>
            <w:vAlign w:val="bottom"/>
          </w:tcPr>
          <w:p w14:paraId="42949D6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64" w:type="dxa"/>
            <w:vAlign w:val="bottom"/>
          </w:tcPr>
          <w:p w14:paraId="5A673AF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63" w:type="dxa"/>
            <w:vAlign w:val="bottom"/>
          </w:tcPr>
          <w:p w14:paraId="454D87D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c>
          <w:tcPr>
            <w:tcW w:w="1372" w:type="dxa"/>
            <w:vAlign w:val="bottom"/>
          </w:tcPr>
          <w:p w14:paraId="4A6238B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7,8%</w:t>
            </w:r>
          </w:p>
        </w:tc>
      </w:tr>
      <w:tr w:rsidR="00BE2A7C" w14:paraId="69E78D12" w14:textId="77777777" w:rsidTr="00D46F7C">
        <w:trPr>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CA160D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046" w:type="dxa"/>
            <w:vAlign w:val="bottom"/>
          </w:tcPr>
          <w:p w14:paraId="260C4C34"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Móstoles</w:t>
            </w:r>
          </w:p>
        </w:tc>
        <w:tc>
          <w:tcPr>
            <w:tcW w:w="1501" w:type="dxa"/>
            <w:vAlign w:val="bottom"/>
          </w:tcPr>
          <w:p w14:paraId="40D440A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5,6%</w:t>
            </w:r>
          </w:p>
        </w:tc>
        <w:tc>
          <w:tcPr>
            <w:tcW w:w="1364" w:type="dxa"/>
            <w:vAlign w:val="bottom"/>
          </w:tcPr>
          <w:p w14:paraId="29C137B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5,8%</w:t>
            </w:r>
          </w:p>
        </w:tc>
        <w:tc>
          <w:tcPr>
            <w:tcW w:w="1363" w:type="dxa"/>
            <w:vAlign w:val="bottom"/>
          </w:tcPr>
          <w:p w14:paraId="748404C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6,1%</w:t>
            </w:r>
          </w:p>
        </w:tc>
        <w:tc>
          <w:tcPr>
            <w:tcW w:w="1372" w:type="dxa"/>
            <w:vAlign w:val="bottom"/>
          </w:tcPr>
          <w:p w14:paraId="07B9470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7,7%</w:t>
            </w:r>
          </w:p>
        </w:tc>
      </w:tr>
      <w:tr w:rsidR="00BE2A7C" w14:paraId="53C3525A" w14:textId="77777777" w:rsidTr="00D46F7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31BD31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2046" w:type="dxa"/>
            <w:vAlign w:val="bottom"/>
          </w:tcPr>
          <w:p w14:paraId="0D7DF43F"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Narón</w:t>
            </w:r>
          </w:p>
        </w:tc>
        <w:tc>
          <w:tcPr>
            <w:tcW w:w="1501" w:type="dxa"/>
            <w:vAlign w:val="bottom"/>
          </w:tcPr>
          <w:p w14:paraId="340FD51A"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364" w:type="dxa"/>
            <w:vAlign w:val="bottom"/>
          </w:tcPr>
          <w:p w14:paraId="5E6F137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c>
          <w:tcPr>
            <w:tcW w:w="1363" w:type="dxa"/>
            <w:vAlign w:val="bottom"/>
          </w:tcPr>
          <w:p w14:paraId="664AD84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6,8%</w:t>
            </w:r>
          </w:p>
        </w:tc>
        <w:tc>
          <w:tcPr>
            <w:tcW w:w="1372" w:type="dxa"/>
            <w:vAlign w:val="bottom"/>
          </w:tcPr>
          <w:p w14:paraId="60590FE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7,6%</w:t>
            </w:r>
          </w:p>
        </w:tc>
      </w:tr>
      <w:tr w:rsidR="00BE2A7C" w14:paraId="3EE85FBA" w14:textId="77777777" w:rsidTr="00D46F7C">
        <w:trPr>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73B2D3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0441C39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Alcoy / Alcoi</w:t>
            </w:r>
          </w:p>
        </w:tc>
        <w:tc>
          <w:tcPr>
            <w:tcW w:w="1501" w:type="dxa"/>
            <w:vAlign w:val="bottom"/>
          </w:tcPr>
          <w:p w14:paraId="69F924F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364" w:type="dxa"/>
            <w:vAlign w:val="bottom"/>
          </w:tcPr>
          <w:p w14:paraId="160BD88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w:t>
            </w:r>
          </w:p>
        </w:tc>
        <w:tc>
          <w:tcPr>
            <w:tcW w:w="1363" w:type="dxa"/>
            <w:vAlign w:val="bottom"/>
          </w:tcPr>
          <w:p w14:paraId="5F7F2AE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7,5%</w:t>
            </w:r>
          </w:p>
        </w:tc>
        <w:tc>
          <w:tcPr>
            <w:tcW w:w="1372" w:type="dxa"/>
            <w:vAlign w:val="bottom"/>
          </w:tcPr>
          <w:p w14:paraId="2C9DDB0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7,6%</w:t>
            </w:r>
          </w:p>
        </w:tc>
      </w:tr>
      <w:tr w:rsidR="00BE2A7C" w14:paraId="6588D5AB" w14:textId="77777777" w:rsidTr="00D46F7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3AD47A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2046" w:type="dxa"/>
            <w:vAlign w:val="bottom"/>
          </w:tcPr>
          <w:p w14:paraId="59A2866B"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Ferrol</w:t>
            </w:r>
          </w:p>
        </w:tc>
        <w:tc>
          <w:tcPr>
            <w:tcW w:w="1501" w:type="dxa"/>
            <w:vAlign w:val="bottom"/>
          </w:tcPr>
          <w:p w14:paraId="4B0B8BE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c>
          <w:tcPr>
            <w:tcW w:w="1364" w:type="dxa"/>
            <w:vAlign w:val="bottom"/>
          </w:tcPr>
          <w:p w14:paraId="1503701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c>
          <w:tcPr>
            <w:tcW w:w="1363" w:type="dxa"/>
            <w:vAlign w:val="bottom"/>
          </w:tcPr>
          <w:p w14:paraId="3FEF10C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6,9%</w:t>
            </w:r>
          </w:p>
        </w:tc>
        <w:tc>
          <w:tcPr>
            <w:tcW w:w="1372" w:type="dxa"/>
            <w:vAlign w:val="bottom"/>
          </w:tcPr>
          <w:p w14:paraId="5163322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7,6%</w:t>
            </w:r>
          </w:p>
        </w:tc>
      </w:tr>
      <w:tr w:rsidR="00BE2A7C" w14:paraId="66008B59" w14:textId="77777777" w:rsidTr="00D46F7C">
        <w:trPr>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D79DB7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046" w:type="dxa"/>
            <w:vAlign w:val="bottom"/>
          </w:tcPr>
          <w:p w14:paraId="56E60022"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Chipiona</w:t>
            </w:r>
          </w:p>
        </w:tc>
        <w:tc>
          <w:tcPr>
            <w:tcW w:w="1501" w:type="dxa"/>
            <w:vAlign w:val="bottom"/>
          </w:tcPr>
          <w:p w14:paraId="509FFB4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6,0%</w:t>
            </w:r>
          </w:p>
        </w:tc>
        <w:tc>
          <w:tcPr>
            <w:tcW w:w="1364" w:type="dxa"/>
            <w:vAlign w:val="bottom"/>
          </w:tcPr>
          <w:p w14:paraId="2476E3D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w:t>
            </w:r>
          </w:p>
        </w:tc>
        <w:tc>
          <w:tcPr>
            <w:tcW w:w="1363" w:type="dxa"/>
            <w:vAlign w:val="bottom"/>
          </w:tcPr>
          <w:p w14:paraId="000EEF1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w:t>
            </w:r>
          </w:p>
        </w:tc>
        <w:tc>
          <w:tcPr>
            <w:tcW w:w="1372" w:type="dxa"/>
            <w:vAlign w:val="bottom"/>
          </w:tcPr>
          <w:p w14:paraId="57F8271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7,5%</w:t>
            </w:r>
          </w:p>
        </w:tc>
      </w:tr>
      <w:tr w:rsidR="00BE2A7C" w14:paraId="57FBB2EF" w14:textId="77777777" w:rsidTr="00D46F7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DEED5A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Valencia</w:t>
            </w:r>
          </w:p>
        </w:tc>
        <w:tc>
          <w:tcPr>
            <w:tcW w:w="2046" w:type="dxa"/>
            <w:vAlign w:val="bottom"/>
          </w:tcPr>
          <w:p w14:paraId="0E887A30"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 xml:space="preserve">Canet </w:t>
            </w:r>
            <w:proofErr w:type="spellStart"/>
            <w:r>
              <w:rPr>
                <w:rFonts w:ascii="Open Sans" w:eastAsia="Open Sans" w:hAnsi="Open Sans" w:cs="Open Sans"/>
                <w:color w:val="000000"/>
                <w:sz w:val="22"/>
                <w:szCs w:val="22"/>
              </w:rPr>
              <w:t>d'En</w:t>
            </w:r>
            <w:proofErr w:type="spellEnd"/>
            <w:r>
              <w:rPr>
                <w:rFonts w:ascii="Open Sans" w:eastAsia="Open Sans" w:hAnsi="Open Sans" w:cs="Open Sans"/>
                <w:color w:val="000000"/>
                <w:sz w:val="22"/>
                <w:szCs w:val="22"/>
              </w:rPr>
              <w:t xml:space="preserve"> Berenguer</w:t>
            </w:r>
          </w:p>
        </w:tc>
        <w:tc>
          <w:tcPr>
            <w:tcW w:w="1501" w:type="dxa"/>
          </w:tcPr>
          <w:p w14:paraId="24C42E3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364" w:type="dxa"/>
          </w:tcPr>
          <w:p w14:paraId="152E0FA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363" w:type="dxa"/>
            <w:vAlign w:val="bottom"/>
          </w:tcPr>
          <w:p w14:paraId="231C714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6,6%</w:t>
            </w:r>
          </w:p>
        </w:tc>
        <w:tc>
          <w:tcPr>
            <w:tcW w:w="1372" w:type="dxa"/>
            <w:vAlign w:val="bottom"/>
          </w:tcPr>
          <w:p w14:paraId="1532C6A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7,5%</w:t>
            </w:r>
          </w:p>
        </w:tc>
      </w:tr>
      <w:tr w:rsidR="00BE2A7C" w14:paraId="796D5FAE" w14:textId="77777777" w:rsidTr="00D46F7C">
        <w:trPr>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E0C527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Ciudad Real</w:t>
            </w:r>
          </w:p>
        </w:tc>
        <w:tc>
          <w:tcPr>
            <w:tcW w:w="2046" w:type="dxa"/>
            <w:vAlign w:val="bottom"/>
          </w:tcPr>
          <w:p w14:paraId="69C5732E"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Puertollano</w:t>
            </w:r>
          </w:p>
        </w:tc>
        <w:tc>
          <w:tcPr>
            <w:tcW w:w="1501" w:type="dxa"/>
            <w:vAlign w:val="bottom"/>
          </w:tcPr>
          <w:p w14:paraId="56E0899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364" w:type="dxa"/>
            <w:vAlign w:val="bottom"/>
          </w:tcPr>
          <w:p w14:paraId="7F0B7CE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6,3%</w:t>
            </w:r>
          </w:p>
        </w:tc>
        <w:tc>
          <w:tcPr>
            <w:tcW w:w="1363" w:type="dxa"/>
            <w:vAlign w:val="bottom"/>
          </w:tcPr>
          <w:p w14:paraId="76C3D7A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6,8%</w:t>
            </w:r>
          </w:p>
        </w:tc>
        <w:tc>
          <w:tcPr>
            <w:tcW w:w="1372" w:type="dxa"/>
            <w:vAlign w:val="bottom"/>
          </w:tcPr>
          <w:p w14:paraId="5235EA6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7,4%</w:t>
            </w:r>
          </w:p>
        </w:tc>
      </w:tr>
      <w:tr w:rsidR="00BE2A7C" w14:paraId="27AC32B3" w14:textId="77777777" w:rsidTr="00D46F7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3FC8B3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046" w:type="dxa"/>
            <w:vAlign w:val="bottom"/>
          </w:tcPr>
          <w:p w14:paraId="3A76E59A"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Sagunto / Sagunt</w:t>
            </w:r>
          </w:p>
        </w:tc>
        <w:tc>
          <w:tcPr>
            <w:tcW w:w="1501" w:type="dxa"/>
            <w:vAlign w:val="bottom"/>
          </w:tcPr>
          <w:p w14:paraId="7E53063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1364" w:type="dxa"/>
            <w:vAlign w:val="bottom"/>
          </w:tcPr>
          <w:p w14:paraId="5222011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6,7%</w:t>
            </w:r>
          </w:p>
        </w:tc>
        <w:tc>
          <w:tcPr>
            <w:tcW w:w="1363" w:type="dxa"/>
            <w:vAlign w:val="bottom"/>
          </w:tcPr>
          <w:p w14:paraId="7D9171B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7,8%</w:t>
            </w:r>
          </w:p>
        </w:tc>
        <w:tc>
          <w:tcPr>
            <w:tcW w:w="1372" w:type="dxa"/>
            <w:vAlign w:val="bottom"/>
          </w:tcPr>
          <w:p w14:paraId="4FC3DAC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7,4%</w:t>
            </w:r>
          </w:p>
        </w:tc>
      </w:tr>
      <w:tr w:rsidR="00BE2A7C" w14:paraId="1A916423" w14:textId="77777777" w:rsidTr="00D46F7C">
        <w:trPr>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421B7E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2046" w:type="dxa"/>
            <w:vAlign w:val="bottom"/>
          </w:tcPr>
          <w:p w14:paraId="6C99A9BB"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Roquetas de Mar</w:t>
            </w:r>
          </w:p>
        </w:tc>
        <w:tc>
          <w:tcPr>
            <w:tcW w:w="1501" w:type="dxa"/>
            <w:vAlign w:val="bottom"/>
          </w:tcPr>
          <w:p w14:paraId="5E11525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4,1%</w:t>
            </w:r>
          </w:p>
        </w:tc>
        <w:tc>
          <w:tcPr>
            <w:tcW w:w="1364" w:type="dxa"/>
            <w:vAlign w:val="bottom"/>
          </w:tcPr>
          <w:p w14:paraId="59907A3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5,7%</w:t>
            </w:r>
          </w:p>
        </w:tc>
        <w:tc>
          <w:tcPr>
            <w:tcW w:w="1363" w:type="dxa"/>
            <w:vAlign w:val="bottom"/>
          </w:tcPr>
          <w:p w14:paraId="16AC988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6,9%</w:t>
            </w:r>
          </w:p>
        </w:tc>
        <w:tc>
          <w:tcPr>
            <w:tcW w:w="1372" w:type="dxa"/>
            <w:vAlign w:val="bottom"/>
          </w:tcPr>
          <w:p w14:paraId="7664F82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7,4%</w:t>
            </w:r>
          </w:p>
        </w:tc>
      </w:tr>
      <w:tr w:rsidR="00BE2A7C" w14:paraId="2D682499" w14:textId="77777777" w:rsidTr="00D46F7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6BB5660"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2046" w:type="dxa"/>
            <w:vAlign w:val="bottom"/>
          </w:tcPr>
          <w:p w14:paraId="6BED7B89"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 Manga del Mar Menor</w:t>
            </w:r>
          </w:p>
        </w:tc>
        <w:tc>
          <w:tcPr>
            <w:tcW w:w="1501" w:type="dxa"/>
          </w:tcPr>
          <w:p w14:paraId="10A92EB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364" w:type="dxa"/>
          </w:tcPr>
          <w:p w14:paraId="45728E6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363" w:type="dxa"/>
            <w:vAlign w:val="bottom"/>
          </w:tcPr>
          <w:p w14:paraId="56CEEB4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9,7%</w:t>
            </w:r>
          </w:p>
        </w:tc>
        <w:tc>
          <w:tcPr>
            <w:tcW w:w="1372" w:type="dxa"/>
            <w:vAlign w:val="bottom"/>
          </w:tcPr>
          <w:p w14:paraId="5B24CA0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7,4%</w:t>
            </w:r>
          </w:p>
        </w:tc>
      </w:tr>
      <w:tr w:rsidR="00BE2A7C" w14:paraId="12B59873" w14:textId="77777777" w:rsidTr="00D46F7C">
        <w:trPr>
          <w:trHeight w:val="24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F50CD30"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Huelva</w:t>
            </w:r>
          </w:p>
        </w:tc>
        <w:tc>
          <w:tcPr>
            <w:tcW w:w="2046" w:type="dxa"/>
            <w:vAlign w:val="bottom"/>
          </w:tcPr>
          <w:p w14:paraId="29DC687B"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Huelva Capital</w:t>
            </w:r>
          </w:p>
        </w:tc>
        <w:tc>
          <w:tcPr>
            <w:tcW w:w="1501" w:type="dxa"/>
            <w:vAlign w:val="bottom"/>
          </w:tcPr>
          <w:p w14:paraId="07A0F97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364" w:type="dxa"/>
            <w:vAlign w:val="bottom"/>
          </w:tcPr>
          <w:p w14:paraId="458E5E2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6,2%</w:t>
            </w:r>
          </w:p>
        </w:tc>
        <w:tc>
          <w:tcPr>
            <w:tcW w:w="1363" w:type="dxa"/>
            <w:vAlign w:val="bottom"/>
          </w:tcPr>
          <w:p w14:paraId="01C00DC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7,9%</w:t>
            </w:r>
          </w:p>
        </w:tc>
        <w:tc>
          <w:tcPr>
            <w:tcW w:w="1372" w:type="dxa"/>
            <w:vAlign w:val="bottom"/>
          </w:tcPr>
          <w:p w14:paraId="3FDCBFC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7,3%</w:t>
            </w:r>
          </w:p>
        </w:tc>
      </w:tr>
      <w:tr w:rsidR="00BE2A7C" w14:paraId="3D6F626B" w14:textId="77777777" w:rsidTr="00D46F7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BA640E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046" w:type="dxa"/>
            <w:vAlign w:val="bottom"/>
          </w:tcPr>
          <w:p w14:paraId="1413CE0F"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Jerez de la Frontera</w:t>
            </w:r>
          </w:p>
        </w:tc>
        <w:tc>
          <w:tcPr>
            <w:tcW w:w="1501" w:type="dxa"/>
            <w:vAlign w:val="bottom"/>
          </w:tcPr>
          <w:p w14:paraId="56D4D28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364" w:type="dxa"/>
            <w:vAlign w:val="bottom"/>
          </w:tcPr>
          <w:p w14:paraId="3D9CED3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c>
          <w:tcPr>
            <w:tcW w:w="1363" w:type="dxa"/>
            <w:vAlign w:val="bottom"/>
          </w:tcPr>
          <w:p w14:paraId="484539F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7,6%</w:t>
            </w:r>
          </w:p>
        </w:tc>
        <w:tc>
          <w:tcPr>
            <w:tcW w:w="1372" w:type="dxa"/>
            <w:vAlign w:val="bottom"/>
          </w:tcPr>
          <w:p w14:paraId="22CD6A2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7,2%</w:t>
            </w:r>
          </w:p>
        </w:tc>
      </w:tr>
      <w:tr w:rsidR="00BE2A7C" w14:paraId="22CA2496" w14:textId="77777777" w:rsidTr="00D46F7C">
        <w:trPr>
          <w:trHeight w:val="38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51F7870"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Badajoz</w:t>
            </w:r>
          </w:p>
        </w:tc>
        <w:tc>
          <w:tcPr>
            <w:tcW w:w="2046" w:type="dxa"/>
            <w:vAlign w:val="bottom"/>
          </w:tcPr>
          <w:p w14:paraId="535C4B29"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Mérida</w:t>
            </w:r>
          </w:p>
        </w:tc>
        <w:tc>
          <w:tcPr>
            <w:tcW w:w="1501" w:type="dxa"/>
            <w:vAlign w:val="bottom"/>
          </w:tcPr>
          <w:p w14:paraId="16BC421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364" w:type="dxa"/>
            <w:vAlign w:val="bottom"/>
          </w:tcPr>
          <w:p w14:paraId="4F3FDF7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606CCF2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7,5%</w:t>
            </w:r>
          </w:p>
        </w:tc>
        <w:tc>
          <w:tcPr>
            <w:tcW w:w="1372" w:type="dxa"/>
            <w:vAlign w:val="bottom"/>
          </w:tcPr>
          <w:p w14:paraId="49537C0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7,2%</w:t>
            </w:r>
          </w:p>
        </w:tc>
      </w:tr>
      <w:tr w:rsidR="00BE2A7C" w14:paraId="5C53DFFF" w14:textId="77777777" w:rsidTr="00D46F7C">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FEA54A0"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Toledo</w:t>
            </w:r>
          </w:p>
        </w:tc>
        <w:tc>
          <w:tcPr>
            <w:tcW w:w="2046" w:type="dxa"/>
            <w:vAlign w:val="bottom"/>
          </w:tcPr>
          <w:p w14:paraId="1BBD5891"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Toledo Capital</w:t>
            </w:r>
          </w:p>
        </w:tc>
        <w:tc>
          <w:tcPr>
            <w:tcW w:w="1501" w:type="dxa"/>
            <w:vAlign w:val="bottom"/>
          </w:tcPr>
          <w:p w14:paraId="49FB6F5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364" w:type="dxa"/>
            <w:vAlign w:val="bottom"/>
          </w:tcPr>
          <w:p w14:paraId="4DEC47E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63" w:type="dxa"/>
            <w:vAlign w:val="bottom"/>
          </w:tcPr>
          <w:p w14:paraId="7C906D0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c>
          <w:tcPr>
            <w:tcW w:w="1372" w:type="dxa"/>
            <w:vAlign w:val="bottom"/>
          </w:tcPr>
          <w:p w14:paraId="4BB43B4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7,1%</w:t>
            </w:r>
          </w:p>
        </w:tc>
      </w:tr>
      <w:tr w:rsidR="00BE2A7C" w14:paraId="1DA58AF0" w14:textId="77777777" w:rsidTr="00D46F7C">
        <w:trPr>
          <w:trHeight w:val="274"/>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8C5307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Lleida</w:t>
            </w:r>
          </w:p>
        </w:tc>
        <w:tc>
          <w:tcPr>
            <w:tcW w:w="2046" w:type="dxa"/>
            <w:vAlign w:val="bottom"/>
          </w:tcPr>
          <w:p w14:paraId="5FE16EF1"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Lleida Capital</w:t>
            </w:r>
          </w:p>
        </w:tc>
        <w:tc>
          <w:tcPr>
            <w:tcW w:w="1501" w:type="dxa"/>
            <w:vAlign w:val="bottom"/>
          </w:tcPr>
          <w:p w14:paraId="6669FD5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4" w:type="dxa"/>
            <w:vAlign w:val="bottom"/>
          </w:tcPr>
          <w:p w14:paraId="0B292B7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363" w:type="dxa"/>
            <w:vAlign w:val="bottom"/>
          </w:tcPr>
          <w:p w14:paraId="4574DF1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7,3%</w:t>
            </w:r>
          </w:p>
        </w:tc>
        <w:tc>
          <w:tcPr>
            <w:tcW w:w="1372" w:type="dxa"/>
            <w:vAlign w:val="bottom"/>
          </w:tcPr>
          <w:p w14:paraId="2F9FB9B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7,1%</w:t>
            </w:r>
          </w:p>
        </w:tc>
      </w:tr>
      <w:tr w:rsidR="00BE2A7C" w14:paraId="43B5E61F" w14:textId="77777777" w:rsidTr="00D46F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2CFD5A7"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2046" w:type="dxa"/>
            <w:vAlign w:val="bottom"/>
          </w:tcPr>
          <w:p w14:paraId="2A4457EA"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Reus</w:t>
            </w:r>
          </w:p>
        </w:tc>
        <w:tc>
          <w:tcPr>
            <w:tcW w:w="1501" w:type="dxa"/>
            <w:vAlign w:val="bottom"/>
          </w:tcPr>
          <w:p w14:paraId="1AED636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364" w:type="dxa"/>
            <w:vAlign w:val="bottom"/>
          </w:tcPr>
          <w:p w14:paraId="200A62F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363" w:type="dxa"/>
            <w:vAlign w:val="bottom"/>
          </w:tcPr>
          <w:p w14:paraId="4984938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7,3%</w:t>
            </w:r>
          </w:p>
        </w:tc>
        <w:tc>
          <w:tcPr>
            <w:tcW w:w="1372" w:type="dxa"/>
            <w:vAlign w:val="bottom"/>
          </w:tcPr>
          <w:p w14:paraId="7E1D439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r>
      <w:tr w:rsidR="00BE2A7C" w14:paraId="503658ED" w14:textId="77777777" w:rsidTr="00D46F7C">
        <w:trPr>
          <w:trHeight w:val="22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44A020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046" w:type="dxa"/>
            <w:vAlign w:val="bottom"/>
          </w:tcPr>
          <w:p w14:paraId="163C0343"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Avilés</w:t>
            </w:r>
          </w:p>
        </w:tc>
        <w:tc>
          <w:tcPr>
            <w:tcW w:w="1501" w:type="dxa"/>
            <w:vAlign w:val="bottom"/>
          </w:tcPr>
          <w:p w14:paraId="1755D07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vAlign w:val="bottom"/>
          </w:tcPr>
          <w:p w14:paraId="522B6F1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63" w:type="dxa"/>
            <w:vAlign w:val="bottom"/>
          </w:tcPr>
          <w:p w14:paraId="6751F45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372" w:type="dxa"/>
            <w:vAlign w:val="bottom"/>
          </w:tcPr>
          <w:p w14:paraId="4E167FE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r>
      <w:tr w:rsidR="00BE2A7C" w14:paraId="15801C29" w14:textId="77777777" w:rsidTr="00D46F7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FFE4DE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6A0017B2"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Manresa</w:t>
            </w:r>
          </w:p>
        </w:tc>
        <w:tc>
          <w:tcPr>
            <w:tcW w:w="1501" w:type="dxa"/>
            <w:vAlign w:val="bottom"/>
          </w:tcPr>
          <w:p w14:paraId="2099F40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364" w:type="dxa"/>
            <w:vAlign w:val="bottom"/>
          </w:tcPr>
          <w:p w14:paraId="4D32E39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363" w:type="dxa"/>
            <w:vAlign w:val="bottom"/>
          </w:tcPr>
          <w:p w14:paraId="3452032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7,3%</w:t>
            </w:r>
          </w:p>
        </w:tc>
        <w:tc>
          <w:tcPr>
            <w:tcW w:w="1372" w:type="dxa"/>
            <w:vAlign w:val="bottom"/>
          </w:tcPr>
          <w:p w14:paraId="494FCD3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BE2A7C" w14:paraId="4ED6235C" w14:textId="77777777" w:rsidTr="00D46F7C">
        <w:trPr>
          <w:trHeight w:val="22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EC5035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171D43FF"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Terrassa</w:t>
            </w:r>
          </w:p>
        </w:tc>
        <w:tc>
          <w:tcPr>
            <w:tcW w:w="1501" w:type="dxa"/>
            <w:vAlign w:val="bottom"/>
          </w:tcPr>
          <w:p w14:paraId="58C653F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c>
          <w:tcPr>
            <w:tcW w:w="1364" w:type="dxa"/>
            <w:vAlign w:val="bottom"/>
          </w:tcPr>
          <w:p w14:paraId="4B91269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363" w:type="dxa"/>
            <w:vAlign w:val="bottom"/>
          </w:tcPr>
          <w:p w14:paraId="1A83521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c>
          <w:tcPr>
            <w:tcW w:w="1372" w:type="dxa"/>
            <w:vAlign w:val="bottom"/>
          </w:tcPr>
          <w:p w14:paraId="3AF11C4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BE2A7C" w14:paraId="652A9F7E" w14:textId="77777777" w:rsidTr="00D46F7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8176547"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Jaén</w:t>
            </w:r>
          </w:p>
        </w:tc>
        <w:tc>
          <w:tcPr>
            <w:tcW w:w="2046" w:type="dxa"/>
            <w:vAlign w:val="bottom"/>
          </w:tcPr>
          <w:p w14:paraId="04951B01"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Úbeda</w:t>
            </w:r>
          </w:p>
        </w:tc>
        <w:tc>
          <w:tcPr>
            <w:tcW w:w="1501" w:type="dxa"/>
          </w:tcPr>
          <w:p w14:paraId="6739B06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2B3164B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tcPr>
          <w:p w14:paraId="20F19FA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72" w:type="dxa"/>
            <w:vAlign w:val="bottom"/>
          </w:tcPr>
          <w:p w14:paraId="7086244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BE2A7C" w14:paraId="4AB31478" w14:textId="77777777" w:rsidTr="00D46F7C">
        <w:trPr>
          <w:trHeight w:val="274"/>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F358D9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Segovia</w:t>
            </w:r>
          </w:p>
        </w:tc>
        <w:tc>
          <w:tcPr>
            <w:tcW w:w="2046" w:type="dxa"/>
            <w:vAlign w:val="bottom"/>
          </w:tcPr>
          <w:p w14:paraId="348604D8"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Segovia Capital</w:t>
            </w:r>
          </w:p>
        </w:tc>
        <w:tc>
          <w:tcPr>
            <w:tcW w:w="1501" w:type="dxa"/>
            <w:vAlign w:val="bottom"/>
          </w:tcPr>
          <w:p w14:paraId="1474994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364" w:type="dxa"/>
            <w:vAlign w:val="bottom"/>
          </w:tcPr>
          <w:p w14:paraId="5829053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363" w:type="dxa"/>
            <w:vAlign w:val="bottom"/>
          </w:tcPr>
          <w:p w14:paraId="38BA19A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372" w:type="dxa"/>
            <w:vAlign w:val="bottom"/>
          </w:tcPr>
          <w:p w14:paraId="5677BDA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BE2A7C" w14:paraId="7774792E" w14:textId="77777777" w:rsidTr="00D46F7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3251BE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2046" w:type="dxa"/>
            <w:vAlign w:val="bottom"/>
          </w:tcPr>
          <w:p w14:paraId="51AC64BA"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Almería Capital</w:t>
            </w:r>
          </w:p>
        </w:tc>
        <w:tc>
          <w:tcPr>
            <w:tcW w:w="1501" w:type="dxa"/>
            <w:vAlign w:val="bottom"/>
          </w:tcPr>
          <w:p w14:paraId="5DA11E6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364" w:type="dxa"/>
            <w:vAlign w:val="bottom"/>
          </w:tcPr>
          <w:p w14:paraId="0918C97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363" w:type="dxa"/>
            <w:vAlign w:val="bottom"/>
          </w:tcPr>
          <w:p w14:paraId="16F57E8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c>
          <w:tcPr>
            <w:tcW w:w="1372" w:type="dxa"/>
            <w:vAlign w:val="bottom"/>
          </w:tcPr>
          <w:p w14:paraId="6302A4A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BE2A7C" w14:paraId="34CA1C74" w14:textId="77777777" w:rsidTr="00D46F7C">
        <w:trPr>
          <w:trHeight w:val="298"/>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A59CEF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72660AA2"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 Vicente del Raspeig / Sant Vicent del Raspeig</w:t>
            </w:r>
          </w:p>
        </w:tc>
        <w:tc>
          <w:tcPr>
            <w:tcW w:w="1501" w:type="dxa"/>
            <w:vAlign w:val="bottom"/>
          </w:tcPr>
          <w:p w14:paraId="4FB2E36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4" w:type="dxa"/>
          </w:tcPr>
          <w:p w14:paraId="1CCBF97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tcPr>
          <w:p w14:paraId="582DD91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72" w:type="dxa"/>
            <w:vAlign w:val="bottom"/>
          </w:tcPr>
          <w:p w14:paraId="71ED39A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BE2A7C" w14:paraId="0B3069C9" w14:textId="77777777" w:rsidTr="00D46F7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8B264F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2046" w:type="dxa"/>
            <w:vAlign w:val="bottom"/>
          </w:tcPr>
          <w:p w14:paraId="7ED8DF06"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Cartagena</w:t>
            </w:r>
          </w:p>
        </w:tc>
        <w:tc>
          <w:tcPr>
            <w:tcW w:w="1501" w:type="dxa"/>
            <w:vAlign w:val="bottom"/>
          </w:tcPr>
          <w:p w14:paraId="60F0F45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4" w:type="dxa"/>
            <w:vAlign w:val="bottom"/>
          </w:tcPr>
          <w:p w14:paraId="16D9D37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363" w:type="dxa"/>
            <w:vAlign w:val="bottom"/>
          </w:tcPr>
          <w:p w14:paraId="3D9268B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c>
          <w:tcPr>
            <w:tcW w:w="1372" w:type="dxa"/>
            <w:vAlign w:val="bottom"/>
          </w:tcPr>
          <w:p w14:paraId="34C8820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BE2A7C" w14:paraId="44BCEDD8" w14:textId="77777777" w:rsidTr="00D46F7C">
        <w:trPr>
          <w:trHeight w:val="407"/>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B56FC70"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2046" w:type="dxa"/>
            <w:vAlign w:val="bottom"/>
          </w:tcPr>
          <w:p w14:paraId="331F4C46"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Castellón de la Plana / Castelló de la Plana</w:t>
            </w:r>
          </w:p>
        </w:tc>
        <w:tc>
          <w:tcPr>
            <w:tcW w:w="1501" w:type="dxa"/>
            <w:vAlign w:val="bottom"/>
          </w:tcPr>
          <w:p w14:paraId="52BDEF5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64" w:type="dxa"/>
            <w:vAlign w:val="bottom"/>
          </w:tcPr>
          <w:p w14:paraId="5B94F67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363" w:type="dxa"/>
            <w:vAlign w:val="bottom"/>
          </w:tcPr>
          <w:p w14:paraId="7CBFFCB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c>
          <w:tcPr>
            <w:tcW w:w="1372" w:type="dxa"/>
            <w:vAlign w:val="bottom"/>
          </w:tcPr>
          <w:p w14:paraId="6C4F996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BE2A7C" w14:paraId="7422572E" w14:textId="77777777" w:rsidTr="00D46F7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EFD40D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2046" w:type="dxa"/>
            <w:vAlign w:val="bottom"/>
          </w:tcPr>
          <w:p w14:paraId="74ACB1D2"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Murcia Capital</w:t>
            </w:r>
          </w:p>
        </w:tc>
        <w:tc>
          <w:tcPr>
            <w:tcW w:w="1501" w:type="dxa"/>
            <w:vAlign w:val="bottom"/>
          </w:tcPr>
          <w:p w14:paraId="202EB6F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364" w:type="dxa"/>
            <w:vAlign w:val="bottom"/>
          </w:tcPr>
          <w:p w14:paraId="3B2D9D9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3" w:type="dxa"/>
            <w:vAlign w:val="bottom"/>
          </w:tcPr>
          <w:p w14:paraId="600443E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c>
          <w:tcPr>
            <w:tcW w:w="1372" w:type="dxa"/>
            <w:vAlign w:val="bottom"/>
          </w:tcPr>
          <w:p w14:paraId="1EAD299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BE2A7C" w14:paraId="3621BED1" w14:textId="77777777" w:rsidTr="00D46F7C">
        <w:trPr>
          <w:trHeight w:val="25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477762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046" w:type="dxa"/>
            <w:vAlign w:val="bottom"/>
          </w:tcPr>
          <w:p w14:paraId="55FD5691"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Valencia Capital</w:t>
            </w:r>
          </w:p>
        </w:tc>
        <w:tc>
          <w:tcPr>
            <w:tcW w:w="1501" w:type="dxa"/>
            <w:vAlign w:val="bottom"/>
          </w:tcPr>
          <w:p w14:paraId="72EED7A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364" w:type="dxa"/>
            <w:vAlign w:val="bottom"/>
          </w:tcPr>
          <w:p w14:paraId="4FD53AB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63" w:type="dxa"/>
            <w:vAlign w:val="bottom"/>
          </w:tcPr>
          <w:p w14:paraId="4239D50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c>
          <w:tcPr>
            <w:tcW w:w="1372" w:type="dxa"/>
            <w:vAlign w:val="bottom"/>
          </w:tcPr>
          <w:p w14:paraId="3FAEF60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BE2A7C" w14:paraId="0BD2C3CD" w14:textId="77777777" w:rsidTr="00D46F7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7A221F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046" w:type="dxa"/>
            <w:vAlign w:val="bottom"/>
          </w:tcPr>
          <w:p w14:paraId="31FD792A"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Valdemoro</w:t>
            </w:r>
          </w:p>
        </w:tc>
        <w:tc>
          <w:tcPr>
            <w:tcW w:w="1501" w:type="dxa"/>
            <w:vAlign w:val="bottom"/>
          </w:tcPr>
          <w:p w14:paraId="641E0CD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4" w:type="dxa"/>
            <w:vAlign w:val="bottom"/>
          </w:tcPr>
          <w:p w14:paraId="6FDF39A4"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363" w:type="dxa"/>
            <w:vAlign w:val="bottom"/>
          </w:tcPr>
          <w:p w14:paraId="61B348D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372" w:type="dxa"/>
            <w:vAlign w:val="bottom"/>
          </w:tcPr>
          <w:p w14:paraId="35FED23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BE2A7C" w14:paraId="3BC58718" w14:textId="77777777" w:rsidTr="00D46F7C">
        <w:trPr>
          <w:trHeight w:val="318"/>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FAE37B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499C0959"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Elche / Elx</w:t>
            </w:r>
          </w:p>
        </w:tc>
        <w:tc>
          <w:tcPr>
            <w:tcW w:w="1501" w:type="dxa"/>
            <w:vAlign w:val="bottom"/>
          </w:tcPr>
          <w:p w14:paraId="021F791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364" w:type="dxa"/>
            <w:vAlign w:val="bottom"/>
          </w:tcPr>
          <w:p w14:paraId="0C7463E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3" w:type="dxa"/>
            <w:vAlign w:val="bottom"/>
          </w:tcPr>
          <w:p w14:paraId="682A8AB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c>
          <w:tcPr>
            <w:tcW w:w="1372" w:type="dxa"/>
            <w:vAlign w:val="bottom"/>
          </w:tcPr>
          <w:p w14:paraId="431946F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BE2A7C" w14:paraId="3235E192" w14:textId="77777777" w:rsidTr="00D46F7C">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3DC711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Pontevedra</w:t>
            </w:r>
          </w:p>
        </w:tc>
        <w:tc>
          <w:tcPr>
            <w:tcW w:w="2046" w:type="dxa"/>
            <w:vAlign w:val="bottom"/>
          </w:tcPr>
          <w:p w14:paraId="5AEC7E16"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Sanxenxo</w:t>
            </w:r>
          </w:p>
        </w:tc>
        <w:tc>
          <w:tcPr>
            <w:tcW w:w="1501" w:type="dxa"/>
            <w:vAlign w:val="bottom"/>
          </w:tcPr>
          <w:p w14:paraId="3DAE0B4D"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364" w:type="dxa"/>
            <w:vAlign w:val="bottom"/>
          </w:tcPr>
          <w:p w14:paraId="58F465BC"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363" w:type="dxa"/>
            <w:vAlign w:val="bottom"/>
          </w:tcPr>
          <w:p w14:paraId="32EFB23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7,4%</w:t>
            </w:r>
          </w:p>
        </w:tc>
        <w:tc>
          <w:tcPr>
            <w:tcW w:w="1372" w:type="dxa"/>
            <w:vAlign w:val="bottom"/>
          </w:tcPr>
          <w:p w14:paraId="3093D3E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r>
      <w:tr w:rsidR="00BE2A7C" w14:paraId="26FDD164" w14:textId="77777777" w:rsidTr="00D46F7C">
        <w:trPr>
          <w:trHeight w:val="24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81B79E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312060EB"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Sabadell</w:t>
            </w:r>
          </w:p>
        </w:tc>
        <w:tc>
          <w:tcPr>
            <w:tcW w:w="1501" w:type="dxa"/>
            <w:vAlign w:val="bottom"/>
          </w:tcPr>
          <w:p w14:paraId="4232F49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364" w:type="dxa"/>
            <w:vAlign w:val="bottom"/>
          </w:tcPr>
          <w:p w14:paraId="37DDD07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363" w:type="dxa"/>
            <w:vAlign w:val="bottom"/>
          </w:tcPr>
          <w:p w14:paraId="53936B5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c>
          <w:tcPr>
            <w:tcW w:w="1372" w:type="dxa"/>
            <w:vAlign w:val="bottom"/>
          </w:tcPr>
          <w:p w14:paraId="598A3AC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r>
      <w:tr w:rsidR="00BE2A7C" w14:paraId="7222F27E" w14:textId="77777777" w:rsidTr="00D46F7C">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256AEC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027C3D79"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Alicante / Alacant</w:t>
            </w:r>
          </w:p>
        </w:tc>
        <w:tc>
          <w:tcPr>
            <w:tcW w:w="1501" w:type="dxa"/>
            <w:vAlign w:val="bottom"/>
          </w:tcPr>
          <w:p w14:paraId="734F068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364" w:type="dxa"/>
            <w:vAlign w:val="bottom"/>
          </w:tcPr>
          <w:p w14:paraId="39BA2C0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63" w:type="dxa"/>
            <w:vAlign w:val="bottom"/>
          </w:tcPr>
          <w:p w14:paraId="3638084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c>
          <w:tcPr>
            <w:tcW w:w="1372" w:type="dxa"/>
            <w:vAlign w:val="bottom"/>
          </w:tcPr>
          <w:p w14:paraId="1EA319D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r>
      <w:tr w:rsidR="00BE2A7C" w14:paraId="0B0D26CB" w14:textId="77777777" w:rsidTr="00D46F7C">
        <w:trPr>
          <w:trHeight w:val="311"/>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1BDBE1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Santa Cruz de Tenerife</w:t>
            </w:r>
          </w:p>
        </w:tc>
        <w:tc>
          <w:tcPr>
            <w:tcW w:w="2046" w:type="dxa"/>
            <w:vAlign w:val="bottom"/>
          </w:tcPr>
          <w:p w14:paraId="27333F92"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Santa Cruz de Tenerife Capital</w:t>
            </w:r>
          </w:p>
        </w:tc>
        <w:tc>
          <w:tcPr>
            <w:tcW w:w="1501" w:type="dxa"/>
            <w:vAlign w:val="bottom"/>
          </w:tcPr>
          <w:p w14:paraId="741A802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64" w:type="dxa"/>
            <w:vAlign w:val="bottom"/>
          </w:tcPr>
          <w:p w14:paraId="37B265C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c>
          <w:tcPr>
            <w:tcW w:w="1363" w:type="dxa"/>
            <w:vAlign w:val="bottom"/>
          </w:tcPr>
          <w:p w14:paraId="51F6690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7,1%</w:t>
            </w:r>
          </w:p>
        </w:tc>
        <w:tc>
          <w:tcPr>
            <w:tcW w:w="1372" w:type="dxa"/>
            <w:vAlign w:val="bottom"/>
          </w:tcPr>
          <w:p w14:paraId="7527985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r>
      <w:tr w:rsidR="00BE2A7C" w14:paraId="1EF5798C" w14:textId="77777777" w:rsidTr="00D46F7C">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295E8B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Burgos</w:t>
            </w:r>
          </w:p>
        </w:tc>
        <w:tc>
          <w:tcPr>
            <w:tcW w:w="2046" w:type="dxa"/>
            <w:vAlign w:val="bottom"/>
          </w:tcPr>
          <w:p w14:paraId="1C0DFD24"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Burgos Capital</w:t>
            </w:r>
          </w:p>
        </w:tc>
        <w:tc>
          <w:tcPr>
            <w:tcW w:w="1501" w:type="dxa"/>
            <w:vAlign w:val="bottom"/>
          </w:tcPr>
          <w:p w14:paraId="5FB5123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364" w:type="dxa"/>
            <w:vAlign w:val="bottom"/>
          </w:tcPr>
          <w:p w14:paraId="4087998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363" w:type="dxa"/>
            <w:vAlign w:val="bottom"/>
          </w:tcPr>
          <w:p w14:paraId="2D1A6F1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c>
          <w:tcPr>
            <w:tcW w:w="1372" w:type="dxa"/>
            <w:vAlign w:val="bottom"/>
          </w:tcPr>
          <w:p w14:paraId="6A24C06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r>
      <w:tr w:rsidR="00BE2A7C" w14:paraId="2488BB4F" w14:textId="77777777" w:rsidTr="00D46F7C">
        <w:trPr>
          <w:trHeight w:val="27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A44B2B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2046" w:type="dxa"/>
            <w:vAlign w:val="bottom"/>
          </w:tcPr>
          <w:p w14:paraId="4888316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Vera</w:t>
            </w:r>
          </w:p>
        </w:tc>
        <w:tc>
          <w:tcPr>
            <w:tcW w:w="1501" w:type="dxa"/>
            <w:vAlign w:val="bottom"/>
          </w:tcPr>
          <w:p w14:paraId="2BDC14F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4" w:type="dxa"/>
          </w:tcPr>
          <w:p w14:paraId="351DD5D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54A1B88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7,8%</w:t>
            </w:r>
          </w:p>
        </w:tc>
        <w:tc>
          <w:tcPr>
            <w:tcW w:w="1372" w:type="dxa"/>
            <w:vAlign w:val="bottom"/>
          </w:tcPr>
          <w:p w14:paraId="5B31E77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BE2A7C" w14:paraId="05BA2A80" w14:textId="77777777" w:rsidTr="00D46F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C8696B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Badajoz</w:t>
            </w:r>
          </w:p>
        </w:tc>
        <w:tc>
          <w:tcPr>
            <w:tcW w:w="2046" w:type="dxa"/>
            <w:vAlign w:val="bottom"/>
          </w:tcPr>
          <w:p w14:paraId="42501211"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Don Benito</w:t>
            </w:r>
          </w:p>
        </w:tc>
        <w:tc>
          <w:tcPr>
            <w:tcW w:w="1501" w:type="dxa"/>
            <w:vAlign w:val="bottom"/>
          </w:tcPr>
          <w:p w14:paraId="14D1E32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5303315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3C89CED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c>
          <w:tcPr>
            <w:tcW w:w="1372" w:type="dxa"/>
            <w:vAlign w:val="bottom"/>
          </w:tcPr>
          <w:p w14:paraId="0DD028C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BE2A7C" w14:paraId="0D8CED5D" w14:textId="77777777" w:rsidTr="00D46F7C">
        <w:trPr>
          <w:trHeight w:val="254"/>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1FD24C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Las Palmas</w:t>
            </w:r>
          </w:p>
        </w:tc>
        <w:tc>
          <w:tcPr>
            <w:tcW w:w="2046" w:type="dxa"/>
            <w:vAlign w:val="bottom"/>
          </w:tcPr>
          <w:p w14:paraId="77799E11"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Las Palmas de Gran Canaria</w:t>
            </w:r>
          </w:p>
        </w:tc>
        <w:tc>
          <w:tcPr>
            <w:tcW w:w="1501" w:type="dxa"/>
            <w:vAlign w:val="bottom"/>
          </w:tcPr>
          <w:p w14:paraId="0FB1EAF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364" w:type="dxa"/>
            <w:vAlign w:val="bottom"/>
          </w:tcPr>
          <w:p w14:paraId="378FB1B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c>
          <w:tcPr>
            <w:tcW w:w="1363" w:type="dxa"/>
            <w:vAlign w:val="bottom"/>
          </w:tcPr>
          <w:p w14:paraId="1EA184D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372" w:type="dxa"/>
            <w:vAlign w:val="bottom"/>
          </w:tcPr>
          <w:p w14:paraId="3572BB6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BE2A7C" w14:paraId="2B0E7AB3" w14:textId="77777777" w:rsidTr="00D46F7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27AB51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2046" w:type="dxa"/>
            <w:vAlign w:val="bottom"/>
          </w:tcPr>
          <w:p w14:paraId="6881346D"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 xml:space="preserve">Oropesa del Mar / </w:t>
            </w:r>
            <w:proofErr w:type="spellStart"/>
            <w:r>
              <w:rPr>
                <w:rFonts w:ascii="Open Sans" w:eastAsia="Open Sans" w:hAnsi="Open Sans" w:cs="Open Sans"/>
                <w:color w:val="000000"/>
                <w:sz w:val="22"/>
                <w:szCs w:val="22"/>
              </w:rPr>
              <w:t>Orpesa</w:t>
            </w:r>
            <w:proofErr w:type="spellEnd"/>
          </w:p>
        </w:tc>
        <w:tc>
          <w:tcPr>
            <w:tcW w:w="1501" w:type="dxa"/>
            <w:vAlign w:val="bottom"/>
          </w:tcPr>
          <w:p w14:paraId="3FC51F2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364" w:type="dxa"/>
            <w:vAlign w:val="bottom"/>
          </w:tcPr>
          <w:p w14:paraId="0847ED3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4A6306C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c>
          <w:tcPr>
            <w:tcW w:w="1372" w:type="dxa"/>
            <w:vAlign w:val="bottom"/>
          </w:tcPr>
          <w:p w14:paraId="5406FC6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BE2A7C" w14:paraId="411B3FC6" w14:textId="77777777" w:rsidTr="00D46F7C">
        <w:trPr>
          <w:trHeight w:val="501"/>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585F91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5FB2064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Santa Pola</w:t>
            </w:r>
          </w:p>
        </w:tc>
        <w:tc>
          <w:tcPr>
            <w:tcW w:w="1501" w:type="dxa"/>
            <w:vAlign w:val="bottom"/>
          </w:tcPr>
          <w:p w14:paraId="4BA7B59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364" w:type="dxa"/>
            <w:vAlign w:val="bottom"/>
          </w:tcPr>
          <w:p w14:paraId="7BEE865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63" w:type="dxa"/>
            <w:vAlign w:val="bottom"/>
          </w:tcPr>
          <w:p w14:paraId="08A3EC8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c>
          <w:tcPr>
            <w:tcW w:w="1372" w:type="dxa"/>
            <w:vAlign w:val="bottom"/>
          </w:tcPr>
          <w:p w14:paraId="13B5D0E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r>
      <w:tr w:rsidR="00BE2A7C" w14:paraId="3836B281" w14:textId="77777777" w:rsidTr="00D46F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D6A685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046" w:type="dxa"/>
            <w:vAlign w:val="bottom"/>
          </w:tcPr>
          <w:p w14:paraId="0630E005"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Gijón</w:t>
            </w:r>
          </w:p>
        </w:tc>
        <w:tc>
          <w:tcPr>
            <w:tcW w:w="1501" w:type="dxa"/>
            <w:vAlign w:val="bottom"/>
          </w:tcPr>
          <w:p w14:paraId="1C0EC53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364" w:type="dxa"/>
            <w:vAlign w:val="bottom"/>
          </w:tcPr>
          <w:p w14:paraId="7DB04E3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363" w:type="dxa"/>
            <w:vAlign w:val="bottom"/>
          </w:tcPr>
          <w:p w14:paraId="6FB60E5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72" w:type="dxa"/>
            <w:vAlign w:val="bottom"/>
          </w:tcPr>
          <w:p w14:paraId="36500E0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r>
      <w:tr w:rsidR="00BE2A7C" w14:paraId="36F51944" w14:textId="77777777" w:rsidTr="00D46F7C">
        <w:trPr>
          <w:trHeight w:val="304"/>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56ACCC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Lugo</w:t>
            </w:r>
          </w:p>
        </w:tc>
        <w:tc>
          <w:tcPr>
            <w:tcW w:w="2046" w:type="dxa"/>
            <w:vAlign w:val="bottom"/>
          </w:tcPr>
          <w:p w14:paraId="0D3F37A1"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Lugo Capital</w:t>
            </w:r>
          </w:p>
        </w:tc>
        <w:tc>
          <w:tcPr>
            <w:tcW w:w="1501" w:type="dxa"/>
            <w:vAlign w:val="bottom"/>
          </w:tcPr>
          <w:p w14:paraId="4D45D19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3,6%</w:t>
            </w:r>
          </w:p>
        </w:tc>
        <w:tc>
          <w:tcPr>
            <w:tcW w:w="1364" w:type="dxa"/>
            <w:vAlign w:val="bottom"/>
          </w:tcPr>
          <w:p w14:paraId="0A8646E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363" w:type="dxa"/>
            <w:vAlign w:val="bottom"/>
          </w:tcPr>
          <w:p w14:paraId="5C59E1F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372" w:type="dxa"/>
            <w:vAlign w:val="bottom"/>
          </w:tcPr>
          <w:p w14:paraId="7F3F358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r>
      <w:tr w:rsidR="00BE2A7C" w14:paraId="0372AF35" w14:textId="77777777" w:rsidTr="00D46F7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3D7198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046" w:type="dxa"/>
            <w:vAlign w:val="bottom"/>
          </w:tcPr>
          <w:p w14:paraId="1DFBF384"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Getafe</w:t>
            </w:r>
          </w:p>
        </w:tc>
        <w:tc>
          <w:tcPr>
            <w:tcW w:w="1501" w:type="dxa"/>
            <w:vAlign w:val="bottom"/>
          </w:tcPr>
          <w:p w14:paraId="65B9D8E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4" w:type="dxa"/>
            <w:vAlign w:val="bottom"/>
          </w:tcPr>
          <w:p w14:paraId="25C320D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63" w:type="dxa"/>
            <w:vAlign w:val="bottom"/>
          </w:tcPr>
          <w:p w14:paraId="49CF827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372" w:type="dxa"/>
            <w:vAlign w:val="bottom"/>
          </w:tcPr>
          <w:p w14:paraId="38CBF49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r>
      <w:tr w:rsidR="00BE2A7C" w14:paraId="38BD826E" w14:textId="77777777" w:rsidTr="00D46F7C">
        <w:trPr>
          <w:trHeight w:val="320"/>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1B824C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70679352"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Ronda</w:t>
            </w:r>
          </w:p>
        </w:tc>
        <w:tc>
          <w:tcPr>
            <w:tcW w:w="1501" w:type="dxa"/>
          </w:tcPr>
          <w:p w14:paraId="508BB75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1B0626F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5611330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c>
          <w:tcPr>
            <w:tcW w:w="1372" w:type="dxa"/>
            <w:vAlign w:val="bottom"/>
          </w:tcPr>
          <w:p w14:paraId="6CDEC1C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r>
      <w:tr w:rsidR="00BE2A7C" w14:paraId="60EBA207" w14:textId="77777777" w:rsidTr="00D46F7C">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9418F3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431F7E2E"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Benidorm</w:t>
            </w:r>
          </w:p>
        </w:tc>
        <w:tc>
          <w:tcPr>
            <w:tcW w:w="1501" w:type="dxa"/>
            <w:vAlign w:val="bottom"/>
          </w:tcPr>
          <w:p w14:paraId="2A387EB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64" w:type="dxa"/>
            <w:vAlign w:val="bottom"/>
          </w:tcPr>
          <w:p w14:paraId="5461B0F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3" w:type="dxa"/>
            <w:vAlign w:val="bottom"/>
          </w:tcPr>
          <w:p w14:paraId="42CF751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372" w:type="dxa"/>
            <w:vAlign w:val="bottom"/>
          </w:tcPr>
          <w:p w14:paraId="2BCC8A8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r>
      <w:tr w:rsidR="00BE2A7C" w14:paraId="5653FC76" w14:textId="77777777" w:rsidTr="00D46F7C">
        <w:trPr>
          <w:trHeight w:val="279"/>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AB3D4D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Cáceres</w:t>
            </w:r>
          </w:p>
        </w:tc>
        <w:tc>
          <w:tcPr>
            <w:tcW w:w="2046" w:type="dxa"/>
            <w:vAlign w:val="bottom"/>
          </w:tcPr>
          <w:p w14:paraId="6FF8FDF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Plasencia</w:t>
            </w:r>
          </w:p>
        </w:tc>
        <w:tc>
          <w:tcPr>
            <w:tcW w:w="1501" w:type="dxa"/>
          </w:tcPr>
          <w:p w14:paraId="3E33DFF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6724150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tcPr>
          <w:p w14:paraId="6E47382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72" w:type="dxa"/>
            <w:vAlign w:val="bottom"/>
          </w:tcPr>
          <w:p w14:paraId="3D4334F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r>
      <w:tr w:rsidR="00BE2A7C" w14:paraId="4BD9B517" w14:textId="77777777" w:rsidTr="00D46F7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F092A0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046" w:type="dxa"/>
            <w:vAlign w:val="bottom"/>
          </w:tcPr>
          <w:p w14:paraId="4D9F7091"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El Puerto de Santa María</w:t>
            </w:r>
          </w:p>
        </w:tc>
        <w:tc>
          <w:tcPr>
            <w:tcW w:w="1501" w:type="dxa"/>
            <w:vAlign w:val="bottom"/>
          </w:tcPr>
          <w:p w14:paraId="78AE52E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364" w:type="dxa"/>
            <w:vAlign w:val="bottom"/>
          </w:tcPr>
          <w:p w14:paraId="52AF34C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363" w:type="dxa"/>
            <w:vAlign w:val="bottom"/>
          </w:tcPr>
          <w:p w14:paraId="268937A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372" w:type="dxa"/>
            <w:vAlign w:val="bottom"/>
          </w:tcPr>
          <w:p w14:paraId="792998D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r>
      <w:tr w:rsidR="00BE2A7C" w14:paraId="20399C74" w14:textId="77777777" w:rsidTr="00D46F7C">
        <w:trPr>
          <w:trHeight w:val="364"/>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A0521B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Jaén</w:t>
            </w:r>
          </w:p>
        </w:tc>
        <w:tc>
          <w:tcPr>
            <w:tcW w:w="2046" w:type="dxa"/>
            <w:vAlign w:val="bottom"/>
          </w:tcPr>
          <w:p w14:paraId="31EBA56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Jaén Capital</w:t>
            </w:r>
          </w:p>
        </w:tc>
        <w:tc>
          <w:tcPr>
            <w:tcW w:w="1501" w:type="dxa"/>
            <w:vAlign w:val="bottom"/>
          </w:tcPr>
          <w:p w14:paraId="3835292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364" w:type="dxa"/>
            <w:vAlign w:val="bottom"/>
          </w:tcPr>
          <w:p w14:paraId="6A79652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63" w:type="dxa"/>
            <w:vAlign w:val="bottom"/>
          </w:tcPr>
          <w:p w14:paraId="4E29B59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372" w:type="dxa"/>
            <w:vAlign w:val="bottom"/>
          </w:tcPr>
          <w:p w14:paraId="312980A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BE2A7C" w14:paraId="5769988D" w14:textId="77777777" w:rsidTr="00D46F7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D33C570"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Cáceres</w:t>
            </w:r>
          </w:p>
        </w:tc>
        <w:tc>
          <w:tcPr>
            <w:tcW w:w="2046" w:type="dxa"/>
            <w:vAlign w:val="bottom"/>
          </w:tcPr>
          <w:p w14:paraId="262A357A"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Cáceres Capital</w:t>
            </w:r>
          </w:p>
        </w:tc>
        <w:tc>
          <w:tcPr>
            <w:tcW w:w="1501" w:type="dxa"/>
            <w:vAlign w:val="bottom"/>
          </w:tcPr>
          <w:p w14:paraId="3C52505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364" w:type="dxa"/>
            <w:vAlign w:val="bottom"/>
          </w:tcPr>
          <w:p w14:paraId="3CE16E0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3" w:type="dxa"/>
            <w:vAlign w:val="bottom"/>
          </w:tcPr>
          <w:p w14:paraId="2F46DA8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372" w:type="dxa"/>
            <w:vAlign w:val="bottom"/>
          </w:tcPr>
          <w:p w14:paraId="4C39908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BE2A7C" w14:paraId="69D40883" w14:textId="77777777" w:rsidTr="00D46F7C">
        <w:trPr>
          <w:trHeight w:val="321"/>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90E447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Pontevedra</w:t>
            </w:r>
          </w:p>
        </w:tc>
        <w:tc>
          <w:tcPr>
            <w:tcW w:w="2046" w:type="dxa"/>
            <w:vAlign w:val="bottom"/>
          </w:tcPr>
          <w:p w14:paraId="0364A07C"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Vilagarcía de Arousa</w:t>
            </w:r>
          </w:p>
        </w:tc>
        <w:tc>
          <w:tcPr>
            <w:tcW w:w="1501" w:type="dxa"/>
          </w:tcPr>
          <w:p w14:paraId="466D6B1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6EB169F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tcPr>
          <w:p w14:paraId="273A9C5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72" w:type="dxa"/>
            <w:vAlign w:val="bottom"/>
          </w:tcPr>
          <w:p w14:paraId="0E8D9D3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BE2A7C" w14:paraId="747AB34D" w14:textId="77777777" w:rsidTr="00D46F7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6576DC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046" w:type="dxa"/>
            <w:vAlign w:val="bottom"/>
          </w:tcPr>
          <w:p w14:paraId="631AF2C9"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Alcalá de Henares</w:t>
            </w:r>
          </w:p>
        </w:tc>
        <w:tc>
          <w:tcPr>
            <w:tcW w:w="1501" w:type="dxa"/>
            <w:vAlign w:val="bottom"/>
          </w:tcPr>
          <w:p w14:paraId="1BE0E92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364" w:type="dxa"/>
            <w:vAlign w:val="bottom"/>
          </w:tcPr>
          <w:p w14:paraId="1E5D58B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363" w:type="dxa"/>
            <w:vAlign w:val="bottom"/>
          </w:tcPr>
          <w:p w14:paraId="7E21D66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c>
          <w:tcPr>
            <w:tcW w:w="1372" w:type="dxa"/>
            <w:vAlign w:val="bottom"/>
          </w:tcPr>
          <w:p w14:paraId="732BDAE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BE2A7C" w14:paraId="4ACAE2DC" w14:textId="77777777" w:rsidTr="00D46F7C">
        <w:trPr>
          <w:trHeight w:val="347"/>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23D7EE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046" w:type="dxa"/>
            <w:vAlign w:val="bottom"/>
          </w:tcPr>
          <w:p w14:paraId="2C39DCA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Oviedo</w:t>
            </w:r>
          </w:p>
        </w:tc>
        <w:tc>
          <w:tcPr>
            <w:tcW w:w="1501" w:type="dxa"/>
            <w:vAlign w:val="bottom"/>
          </w:tcPr>
          <w:p w14:paraId="42D2B4C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364" w:type="dxa"/>
            <w:vAlign w:val="bottom"/>
          </w:tcPr>
          <w:p w14:paraId="286D31E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363" w:type="dxa"/>
            <w:vAlign w:val="bottom"/>
          </w:tcPr>
          <w:p w14:paraId="001FF99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72" w:type="dxa"/>
            <w:vAlign w:val="bottom"/>
          </w:tcPr>
          <w:p w14:paraId="65B779D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BE2A7C" w14:paraId="6FF1F417" w14:textId="77777777" w:rsidTr="00D46F7C">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46DF66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Girona</w:t>
            </w:r>
          </w:p>
        </w:tc>
        <w:tc>
          <w:tcPr>
            <w:tcW w:w="2046" w:type="dxa"/>
            <w:vAlign w:val="bottom"/>
          </w:tcPr>
          <w:p w14:paraId="69929725"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Girona Capital</w:t>
            </w:r>
          </w:p>
        </w:tc>
        <w:tc>
          <w:tcPr>
            <w:tcW w:w="1501" w:type="dxa"/>
            <w:vAlign w:val="bottom"/>
          </w:tcPr>
          <w:p w14:paraId="37BD5C7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4" w:type="dxa"/>
            <w:vAlign w:val="bottom"/>
          </w:tcPr>
          <w:p w14:paraId="7690AB3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363" w:type="dxa"/>
            <w:vAlign w:val="bottom"/>
          </w:tcPr>
          <w:p w14:paraId="2704B44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372" w:type="dxa"/>
            <w:vAlign w:val="bottom"/>
          </w:tcPr>
          <w:p w14:paraId="7A85895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BE2A7C" w14:paraId="746F2E3B" w14:textId="77777777" w:rsidTr="00D46F7C">
        <w:trPr>
          <w:trHeight w:val="283"/>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02E0660"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2046" w:type="dxa"/>
            <w:vAlign w:val="bottom"/>
          </w:tcPr>
          <w:p w14:paraId="70B759A1"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Salou</w:t>
            </w:r>
          </w:p>
        </w:tc>
        <w:tc>
          <w:tcPr>
            <w:tcW w:w="1501" w:type="dxa"/>
            <w:vAlign w:val="bottom"/>
          </w:tcPr>
          <w:p w14:paraId="44F65DA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364" w:type="dxa"/>
            <w:vAlign w:val="bottom"/>
          </w:tcPr>
          <w:p w14:paraId="3A7322A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3" w:type="dxa"/>
            <w:vAlign w:val="bottom"/>
          </w:tcPr>
          <w:p w14:paraId="6E049AA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372" w:type="dxa"/>
            <w:vAlign w:val="bottom"/>
          </w:tcPr>
          <w:p w14:paraId="41AF12C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BE2A7C" w14:paraId="1BA10D9C" w14:textId="77777777" w:rsidTr="00D46F7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84D8F8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2046" w:type="dxa"/>
            <w:vAlign w:val="bottom"/>
          </w:tcPr>
          <w:p w14:paraId="028754A8"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Vinaròs</w:t>
            </w:r>
          </w:p>
        </w:tc>
        <w:tc>
          <w:tcPr>
            <w:tcW w:w="1501" w:type="dxa"/>
          </w:tcPr>
          <w:p w14:paraId="1CC7702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2A252CD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6F36A4F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372" w:type="dxa"/>
            <w:vAlign w:val="bottom"/>
          </w:tcPr>
          <w:p w14:paraId="1E64C9D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BE2A7C" w14:paraId="7DBA6C1C"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C93E9D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Cuenca</w:t>
            </w:r>
          </w:p>
        </w:tc>
        <w:tc>
          <w:tcPr>
            <w:tcW w:w="2046" w:type="dxa"/>
            <w:vAlign w:val="bottom"/>
          </w:tcPr>
          <w:p w14:paraId="217EEAF2"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Cuenca Capital</w:t>
            </w:r>
          </w:p>
        </w:tc>
        <w:tc>
          <w:tcPr>
            <w:tcW w:w="1501" w:type="dxa"/>
            <w:vAlign w:val="bottom"/>
          </w:tcPr>
          <w:p w14:paraId="1D0819D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4" w:type="dxa"/>
            <w:vAlign w:val="bottom"/>
          </w:tcPr>
          <w:p w14:paraId="5AD3EB0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63" w:type="dxa"/>
            <w:vAlign w:val="bottom"/>
          </w:tcPr>
          <w:p w14:paraId="0EEB4B0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72" w:type="dxa"/>
            <w:vAlign w:val="bottom"/>
          </w:tcPr>
          <w:p w14:paraId="73AAE25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BE2A7C" w14:paraId="6E2C3FA8"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3D2711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Sevilla</w:t>
            </w:r>
          </w:p>
        </w:tc>
        <w:tc>
          <w:tcPr>
            <w:tcW w:w="2046" w:type="dxa"/>
            <w:vAlign w:val="bottom"/>
          </w:tcPr>
          <w:p w14:paraId="6B48A5F7"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Sevilla Capital</w:t>
            </w:r>
          </w:p>
        </w:tc>
        <w:tc>
          <w:tcPr>
            <w:tcW w:w="1501" w:type="dxa"/>
            <w:vAlign w:val="bottom"/>
          </w:tcPr>
          <w:p w14:paraId="5D13DA4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4" w:type="dxa"/>
            <w:vAlign w:val="bottom"/>
          </w:tcPr>
          <w:p w14:paraId="5DA8F49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363" w:type="dxa"/>
            <w:vAlign w:val="bottom"/>
          </w:tcPr>
          <w:p w14:paraId="35BCEE5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372" w:type="dxa"/>
            <w:vAlign w:val="bottom"/>
          </w:tcPr>
          <w:p w14:paraId="2C0F9DF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BE2A7C" w14:paraId="712BF7BF"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29306F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León</w:t>
            </w:r>
          </w:p>
        </w:tc>
        <w:tc>
          <w:tcPr>
            <w:tcW w:w="2046" w:type="dxa"/>
            <w:vAlign w:val="bottom"/>
          </w:tcPr>
          <w:p w14:paraId="4D7E2F94"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León Capital</w:t>
            </w:r>
          </w:p>
        </w:tc>
        <w:tc>
          <w:tcPr>
            <w:tcW w:w="1501" w:type="dxa"/>
            <w:vAlign w:val="bottom"/>
          </w:tcPr>
          <w:p w14:paraId="7CF42D6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364" w:type="dxa"/>
            <w:vAlign w:val="bottom"/>
          </w:tcPr>
          <w:p w14:paraId="3E7EFD8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3" w:type="dxa"/>
            <w:vAlign w:val="bottom"/>
          </w:tcPr>
          <w:p w14:paraId="28D0B23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372" w:type="dxa"/>
            <w:vAlign w:val="bottom"/>
          </w:tcPr>
          <w:p w14:paraId="69515B6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BE2A7C" w14:paraId="5D04B391"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ECC543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Córdoba</w:t>
            </w:r>
          </w:p>
        </w:tc>
        <w:tc>
          <w:tcPr>
            <w:tcW w:w="2046" w:type="dxa"/>
            <w:vAlign w:val="bottom"/>
          </w:tcPr>
          <w:p w14:paraId="3FC7CFAC"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Córdoba Capital</w:t>
            </w:r>
          </w:p>
        </w:tc>
        <w:tc>
          <w:tcPr>
            <w:tcW w:w="1501" w:type="dxa"/>
            <w:vAlign w:val="bottom"/>
          </w:tcPr>
          <w:p w14:paraId="6F76BF7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4" w:type="dxa"/>
            <w:vAlign w:val="bottom"/>
          </w:tcPr>
          <w:p w14:paraId="399C2B1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363" w:type="dxa"/>
            <w:vAlign w:val="bottom"/>
          </w:tcPr>
          <w:p w14:paraId="372E231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72" w:type="dxa"/>
            <w:vAlign w:val="bottom"/>
          </w:tcPr>
          <w:p w14:paraId="00050E5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BE2A7C" w14:paraId="563E1070"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8699AD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266617A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El Campello</w:t>
            </w:r>
          </w:p>
        </w:tc>
        <w:tc>
          <w:tcPr>
            <w:tcW w:w="1501" w:type="dxa"/>
            <w:vAlign w:val="bottom"/>
          </w:tcPr>
          <w:p w14:paraId="35A62A9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364" w:type="dxa"/>
            <w:vAlign w:val="bottom"/>
          </w:tcPr>
          <w:p w14:paraId="42BC192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363" w:type="dxa"/>
            <w:vAlign w:val="bottom"/>
          </w:tcPr>
          <w:p w14:paraId="451CC4A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c>
          <w:tcPr>
            <w:tcW w:w="1372" w:type="dxa"/>
            <w:vAlign w:val="bottom"/>
          </w:tcPr>
          <w:p w14:paraId="7BB1275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BE2A7C" w14:paraId="5F126997"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609739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2046" w:type="dxa"/>
            <w:vAlign w:val="bottom"/>
          </w:tcPr>
          <w:p w14:paraId="53A3B4E7"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Águilas</w:t>
            </w:r>
          </w:p>
        </w:tc>
        <w:tc>
          <w:tcPr>
            <w:tcW w:w="1501" w:type="dxa"/>
          </w:tcPr>
          <w:p w14:paraId="4A5FEE5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5D47531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144AE71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372" w:type="dxa"/>
            <w:vAlign w:val="bottom"/>
          </w:tcPr>
          <w:p w14:paraId="188FC8A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BE2A7C" w14:paraId="6E71A312"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069B067"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Zaragoza</w:t>
            </w:r>
          </w:p>
        </w:tc>
        <w:tc>
          <w:tcPr>
            <w:tcW w:w="2046" w:type="dxa"/>
            <w:vAlign w:val="bottom"/>
          </w:tcPr>
          <w:p w14:paraId="51A1447F"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Zaragoza Capital</w:t>
            </w:r>
          </w:p>
        </w:tc>
        <w:tc>
          <w:tcPr>
            <w:tcW w:w="1501" w:type="dxa"/>
            <w:vAlign w:val="bottom"/>
          </w:tcPr>
          <w:p w14:paraId="32CD974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64" w:type="dxa"/>
            <w:vAlign w:val="bottom"/>
          </w:tcPr>
          <w:p w14:paraId="1430474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363" w:type="dxa"/>
            <w:vAlign w:val="bottom"/>
          </w:tcPr>
          <w:p w14:paraId="1B2BE84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372" w:type="dxa"/>
            <w:vAlign w:val="bottom"/>
          </w:tcPr>
          <w:p w14:paraId="7E7BCCE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BE2A7C" w14:paraId="0BC36215"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889D6D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7B04905B"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Mijas</w:t>
            </w:r>
          </w:p>
        </w:tc>
        <w:tc>
          <w:tcPr>
            <w:tcW w:w="1501" w:type="dxa"/>
            <w:vAlign w:val="bottom"/>
          </w:tcPr>
          <w:p w14:paraId="7922FC7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4" w:type="dxa"/>
            <w:vAlign w:val="bottom"/>
          </w:tcPr>
          <w:p w14:paraId="4E3CB34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3" w:type="dxa"/>
            <w:vAlign w:val="bottom"/>
          </w:tcPr>
          <w:p w14:paraId="09B5A3D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372" w:type="dxa"/>
            <w:vAlign w:val="bottom"/>
          </w:tcPr>
          <w:p w14:paraId="185B908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BE2A7C" w14:paraId="51AF158C"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1968277"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046" w:type="dxa"/>
            <w:vAlign w:val="bottom"/>
          </w:tcPr>
          <w:p w14:paraId="6617E9F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Chiclana de la Frontera</w:t>
            </w:r>
          </w:p>
        </w:tc>
        <w:tc>
          <w:tcPr>
            <w:tcW w:w="1501" w:type="dxa"/>
            <w:vAlign w:val="bottom"/>
          </w:tcPr>
          <w:p w14:paraId="3E77A7A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364" w:type="dxa"/>
            <w:vAlign w:val="bottom"/>
          </w:tcPr>
          <w:p w14:paraId="0F67CCB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363" w:type="dxa"/>
            <w:vAlign w:val="bottom"/>
          </w:tcPr>
          <w:p w14:paraId="1C249B6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72" w:type="dxa"/>
            <w:vAlign w:val="bottom"/>
          </w:tcPr>
          <w:p w14:paraId="4369ECD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r>
      <w:tr w:rsidR="00BE2A7C" w14:paraId="7338647F"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4DA6CD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0A8EF4F7"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Castelldefels</w:t>
            </w:r>
          </w:p>
        </w:tc>
        <w:tc>
          <w:tcPr>
            <w:tcW w:w="1501" w:type="dxa"/>
            <w:vAlign w:val="bottom"/>
          </w:tcPr>
          <w:p w14:paraId="29584E5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364" w:type="dxa"/>
            <w:vAlign w:val="bottom"/>
          </w:tcPr>
          <w:p w14:paraId="3BC1682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363" w:type="dxa"/>
            <w:vAlign w:val="bottom"/>
          </w:tcPr>
          <w:p w14:paraId="05C6254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72" w:type="dxa"/>
            <w:vAlign w:val="bottom"/>
          </w:tcPr>
          <w:p w14:paraId="1D9188C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r>
      <w:tr w:rsidR="00BE2A7C" w14:paraId="3DB324A9"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5745D2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2046" w:type="dxa"/>
            <w:vAlign w:val="bottom"/>
          </w:tcPr>
          <w:p w14:paraId="6C26E601"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Motril</w:t>
            </w:r>
          </w:p>
        </w:tc>
        <w:tc>
          <w:tcPr>
            <w:tcW w:w="1501" w:type="dxa"/>
            <w:vAlign w:val="bottom"/>
          </w:tcPr>
          <w:p w14:paraId="2B5294B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3,9%</w:t>
            </w:r>
          </w:p>
        </w:tc>
        <w:tc>
          <w:tcPr>
            <w:tcW w:w="1364" w:type="dxa"/>
            <w:vAlign w:val="bottom"/>
          </w:tcPr>
          <w:p w14:paraId="1A20477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636253E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c>
          <w:tcPr>
            <w:tcW w:w="1372" w:type="dxa"/>
            <w:vAlign w:val="bottom"/>
          </w:tcPr>
          <w:p w14:paraId="4E3AB80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r>
      <w:tr w:rsidR="00BE2A7C" w14:paraId="2FF1F15A"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C9236B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Valladolid</w:t>
            </w:r>
          </w:p>
        </w:tc>
        <w:tc>
          <w:tcPr>
            <w:tcW w:w="2046" w:type="dxa"/>
            <w:vAlign w:val="bottom"/>
          </w:tcPr>
          <w:p w14:paraId="304AFE93"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Valladolid Capital</w:t>
            </w:r>
          </w:p>
        </w:tc>
        <w:tc>
          <w:tcPr>
            <w:tcW w:w="1501" w:type="dxa"/>
            <w:vAlign w:val="bottom"/>
          </w:tcPr>
          <w:p w14:paraId="4815284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364" w:type="dxa"/>
            <w:vAlign w:val="bottom"/>
          </w:tcPr>
          <w:p w14:paraId="6EB7856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63" w:type="dxa"/>
            <w:vAlign w:val="bottom"/>
          </w:tcPr>
          <w:p w14:paraId="1184ED0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372" w:type="dxa"/>
            <w:vAlign w:val="bottom"/>
          </w:tcPr>
          <w:p w14:paraId="3385D2B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r>
      <w:tr w:rsidR="00BE2A7C" w14:paraId="4528CBA5"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FC4E3F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6F6B0FAA"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Barcelona Capital</w:t>
            </w:r>
          </w:p>
        </w:tc>
        <w:tc>
          <w:tcPr>
            <w:tcW w:w="1501" w:type="dxa"/>
            <w:vAlign w:val="bottom"/>
          </w:tcPr>
          <w:p w14:paraId="7944D3C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364" w:type="dxa"/>
            <w:vAlign w:val="bottom"/>
          </w:tcPr>
          <w:p w14:paraId="607D969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3" w:type="dxa"/>
            <w:vAlign w:val="bottom"/>
          </w:tcPr>
          <w:p w14:paraId="4D061CB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372" w:type="dxa"/>
            <w:vAlign w:val="bottom"/>
          </w:tcPr>
          <w:p w14:paraId="7E88120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r>
      <w:tr w:rsidR="00BE2A7C" w14:paraId="02E57025"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91953D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046" w:type="dxa"/>
            <w:vAlign w:val="bottom"/>
          </w:tcPr>
          <w:p w14:paraId="6BB1D284"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Rota</w:t>
            </w:r>
          </w:p>
        </w:tc>
        <w:tc>
          <w:tcPr>
            <w:tcW w:w="1501" w:type="dxa"/>
            <w:vAlign w:val="bottom"/>
          </w:tcPr>
          <w:p w14:paraId="1FE5FE6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364" w:type="dxa"/>
            <w:vAlign w:val="bottom"/>
          </w:tcPr>
          <w:p w14:paraId="555C7C6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581E030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72" w:type="dxa"/>
            <w:vAlign w:val="bottom"/>
          </w:tcPr>
          <w:p w14:paraId="12668AB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r>
      <w:tr w:rsidR="00BE2A7C" w14:paraId="335F6E67"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70BFC1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61D36848"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Torremolinos</w:t>
            </w:r>
          </w:p>
        </w:tc>
        <w:tc>
          <w:tcPr>
            <w:tcW w:w="1501" w:type="dxa"/>
            <w:vAlign w:val="bottom"/>
          </w:tcPr>
          <w:p w14:paraId="0654862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4" w:type="dxa"/>
            <w:vAlign w:val="bottom"/>
          </w:tcPr>
          <w:p w14:paraId="73AB1A2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363" w:type="dxa"/>
            <w:vAlign w:val="bottom"/>
          </w:tcPr>
          <w:p w14:paraId="0617F6E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372" w:type="dxa"/>
            <w:vAlign w:val="bottom"/>
          </w:tcPr>
          <w:p w14:paraId="6068E67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r>
      <w:tr w:rsidR="00BE2A7C" w14:paraId="217A4FF7"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F1B3E3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Palencia</w:t>
            </w:r>
          </w:p>
        </w:tc>
        <w:tc>
          <w:tcPr>
            <w:tcW w:w="2046" w:type="dxa"/>
            <w:vAlign w:val="bottom"/>
          </w:tcPr>
          <w:p w14:paraId="032E5A77"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Palencia Capital</w:t>
            </w:r>
          </w:p>
        </w:tc>
        <w:tc>
          <w:tcPr>
            <w:tcW w:w="1501" w:type="dxa"/>
            <w:vAlign w:val="bottom"/>
          </w:tcPr>
          <w:p w14:paraId="2451273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3,9%</w:t>
            </w:r>
          </w:p>
        </w:tc>
        <w:tc>
          <w:tcPr>
            <w:tcW w:w="1364" w:type="dxa"/>
            <w:vAlign w:val="bottom"/>
          </w:tcPr>
          <w:p w14:paraId="585AA50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363" w:type="dxa"/>
            <w:vAlign w:val="bottom"/>
          </w:tcPr>
          <w:p w14:paraId="287AD16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c>
          <w:tcPr>
            <w:tcW w:w="1372" w:type="dxa"/>
            <w:vAlign w:val="bottom"/>
          </w:tcPr>
          <w:p w14:paraId="0AC0CCB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BE2A7C" w14:paraId="5253EDD8"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C5A752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654CF20B"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Torrevieja</w:t>
            </w:r>
          </w:p>
        </w:tc>
        <w:tc>
          <w:tcPr>
            <w:tcW w:w="1501" w:type="dxa"/>
            <w:vAlign w:val="bottom"/>
          </w:tcPr>
          <w:p w14:paraId="53EE758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364" w:type="dxa"/>
            <w:vAlign w:val="bottom"/>
          </w:tcPr>
          <w:p w14:paraId="7E1F743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63" w:type="dxa"/>
            <w:vAlign w:val="bottom"/>
          </w:tcPr>
          <w:p w14:paraId="17BB2AD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372" w:type="dxa"/>
            <w:vAlign w:val="bottom"/>
          </w:tcPr>
          <w:p w14:paraId="02675C7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BE2A7C" w14:paraId="4FA10817"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8D8476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Huelva</w:t>
            </w:r>
          </w:p>
        </w:tc>
        <w:tc>
          <w:tcPr>
            <w:tcW w:w="2046" w:type="dxa"/>
            <w:vAlign w:val="bottom"/>
          </w:tcPr>
          <w:p w14:paraId="1C38BD73"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Punta Umbría</w:t>
            </w:r>
          </w:p>
        </w:tc>
        <w:tc>
          <w:tcPr>
            <w:tcW w:w="1501" w:type="dxa"/>
          </w:tcPr>
          <w:p w14:paraId="47C895B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75240BA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02E104A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72" w:type="dxa"/>
            <w:vAlign w:val="bottom"/>
          </w:tcPr>
          <w:p w14:paraId="0D7B560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BE2A7C" w14:paraId="3C734B53"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FC0434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Salamanca</w:t>
            </w:r>
          </w:p>
        </w:tc>
        <w:tc>
          <w:tcPr>
            <w:tcW w:w="2046" w:type="dxa"/>
            <w:vAlign w:val="bottom"/>
          </w:tcPr>
          <w:p w14:paraId="3DE0F9D8"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Salamanca Capital</w:t>
            </w:r>
          </w:p>
        </w:tc>
        <w:tc>
          <w:tcPr>
            <w:tcW w:w="1501" w:type="dxa"/>
            <w:vAlign w:val="bottom"/>
          </w:tcPr>
          <w:p w14:paraId="7ADD963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1364" w:type="dxa"/>
            <w:vAlign w:val="bottom"/>
          </w:tcPr>
          <w:p w14:paraId="21D9293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363" w:type="dxa"/>
            <w:vAlign w:val="bottom"/>
          </w:tcPr>
          <w:p w14:paraId="230E8CB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372" w:type="dxa"/>
            <w:vAlign w:val="bottom"/>
          </w:tcPr>
          <w:p w14:paraId="0039977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BE2A7C" w14:paraId="2F51BE0A"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E1D8C5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Badajoz</w:t>
            </w:r>
          </w:p>
        </w:tc>
        <w:tc>
          <w:tcPr>
            <w:tcW w:w="2046" w:type="dxa"/>
            <w:vAlign w:val="bottom"/>
          </w:tcPr>
          <w:p w14:paraId="3E9EB283"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Badajoz Capital</w:t>
            </w:r>
          </w:p>
        </w:tc>
        <w:tc>
          <w:tcPr>
            <w:tcW w:w="1501" w:type="dxa"/>
            <w:vAlign w:val="bottom"/>
          </w:tcPr>
          <w:p w14:paraId="6933268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64" w:type="dxa"/>
            <w:vAlign w:val="bottom"/>
          </w:tcPr>
          <w:p w14:paraId="6A5ADCB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363" w:type="dxa"/>
            <w:vAlign w:val="bottom"/>
          </w:tcPr>
          <w:p w14:paraId="3AD15A9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372" w:type="dxa"/>
            <w:vAlign w:val="bottom"/>
          </w:tcPr>
          <w:p w14:paraId="0C8D99C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BE2A7C" w14:paraId="7553E94A"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DF44F6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5098524E"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Vélez-Málaga</w:t>
            </w:r>
          </w:p>
        </w:tc>
        <w:tc>
          <w:tcPr>
            <w:tcW w:w="1501" w:type="dxa"/>
            <w:vAlign w:val="bottom"/>
          </w:tcPr>
          <w:p w14:paraId="7E9A534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364" w:type="dxa"/>
            <w:vAlign w:val="bottom"/>
          </w:tcPr>
          <w:p w14:paraId="01799593" w14:textId="77777777" w:rsidR="00BE2A7C" w:rsidRDefault="00BE2A7C">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363" w:type="dxa"/>
            <w:vAlign w:val="bottom"/>
          </w:tcPr>
          <w:p w14:paraId="306BE6A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72" w:type="dxa"/>
            <w:vAlign w:val="bottom"/>
          </w:tcPr>
          <w:p w14:paraId="367D05C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r>
      <w:tr w:rsidR="00BE2A7C" w14:paraId="036D7E2E"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F29A86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Ourense</w:t>
            </w:r>
          </w:p>
        </w:tc>
        <w:tc>
          <w:tcPr>
            <w:tcW w:w="2046" w:type="dxa"/>
            <w:vAlign w:val="bottom"/>
          </w:tcPr>
          <w:p w14:paraId="6C2D6BAD"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Ourense Capital</w:t>
            </w:r>
          </w:p>
        </w:tc>
        <w:tc>
          <w:tcPr>
            <w:tcW w:w="1501" w:type="dxa"/>
            <w:vAlign w:val="bottom"/>
          </w:tcPr>
          <w:p w14:paraId="2588AEE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3,3%</w:t>
            </w:r>
          </w:p>
        </w:tc>
        <w:tc>
          <w:tcPr>
            <w:tcW w:w="1364" w:type="dxa"/>
            <w:vAlign w:val="bottom"/>
          </w:tcPr>
          <w:p w14:paraId="07AAB2D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363" w:type="dxa"/>
            <w:vAlign w:val="bottom"/>
          </w:tcPr>
          <w:p w14:paraId="3A9C345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372" w:type="dxa"/>
            <w:vAlign w:val="bottom"/>
          </w:tcPr>
          <w:p w14:paraId="159154C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r>
      <w:tr w:rsidR="00BE2A7C" w14:paraId="476759D3"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A8E6D2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Melilla</w:t>
            </w:r>
          </w:p>
        </w:tc>
        <w:tc>
          <w:tcPr>
            <w:tcW w:w="2046" w:type="dxa"/>
            <w:vAlign w:val="bottom"/>
          </w:tcPr>
          <w:p w14:paraId="64FF0F3E"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Melilla Capital</w:t>
            </w:r>
          </w:p>
        </w:tc>
        <w:tc>
          <w:tcPr>
            <w:tcW w:w="1501" w:type="dxa"/>
          </w:tcPr>
          <w:p w14:paraId="27F8AAB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09B93B1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221CC5B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372" w:type="dxa"/>
            <w:vAlign w:val="bottom"/>
          </w:tcPr>
          <w:p w14:paraId="44D8ACB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r>
      <w:tr w:rsidR="00BE2A7C" w14:paraId="14253EA6"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2EDCFF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Araba - Álava</w:t>
            </w:r>
          </w:p>
        </w:tc>
        <w:tc>
          <w:tcPr>
            <w:tcW w:w="2046" w:type="dxa"/>
            <w:vAlign w:val="bottom"/>
          </w:tcPr>
          <w:p w14:paraId="5850082D"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Vitoria - Gasteiz</w:t>
            </w:r>
          </w:p>
        </w:tc>
        <w:tc>
          <w:tcPr>
            <w:tcW w:w="1501" w:type="dxa"/>
            <w:vAlign w:val="bottom"/>
          </w:tcPr>
          <w:p w14:paraId="1156913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364" w:type="dxa"/>
            <w:vAlign w:val="bottom"/>
          </w:tcPr>
          <w:p w14:paraId="410D05C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2BA287B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72" w:type="dxa"/>
            <w:vAlign w:val="bottom"/>
          </w:tcPr>
          <w:p w14:paraId="153E5A9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r>
      <w:tr w:rsidR="00BE2A7C" w14:paraId="1E53C54F"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3E1353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Albacete</w:t>
            </w:r>
          </w:p>
        </w:tc>
        <w:tc>
          <w:tcPr>
            <w:tcW w:w="2046" w:type="dxa"/>
            <w:vAlign w:val="bottom"/>
          </w:tcPr>
          <w:p w14:paraId="21C2EFFF"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Albacete Capital</w:t>
            </w:r>
          </w:p>
        </w:tc>
        <w:tc>
          <w:tcPr>
            <w:tcW w:w="1501" w:type="dxa"/>
            <w:vAlign w:val="bottom"/>
          </w:tcPr>
          <w:p w14:paraId="4E7DD6E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364" w:type="dxa"/>
            <w:vAlign w:val="bottom"/>
          </w:tcPr>
          <w:p w14:paraId="4CA9A6B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363" w:type="dxa"/>
            <w:vAlign w:val="bottom"/>
          </w:tcPr>
          <w:p w14:paraId="236DBC0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372" w:type="dxa"/>
            <w:vAlign w:val="bottom"/>
          </w:tcPr>
          <w:p w14:paraId="43D35AE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r>
      <w:tr w:rsidR="00BE2A7C" w14:paraId="26C3C4AF"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EC53CA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046" w:type="dxa"/>
            <w:vAlign w:val="bottom"/>
          </w:tcPr>
          <w:p w14:paraId="3FB54536"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Sanlúcar de Barrameda</w:t>
            </w:r>
          </w:p>
        </w:tc>
        <w:tc>
          <w:tcPr>
            <w:tcW w:w="1501" w:type="dxa"/>
            <w:vAlign w:val="bottom"/>
          </w:tcPr>
          <w:p w14:paraId="282D015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364" w:type="dxa"/>
            <w:vAlign w:val="bottom"/>
          </w:tcPr>
          <w:p w14:paraId="6198F61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363" w:type="dxa"/>
            <w:vAlign w:val="bottom"/>
          </w:tcPr>
          <w:p w14:paraId="4426A76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372" w:type="dxa"/>
            <w:vAlign w:val="bottom"/>
          </w:tcPr>
          <w:p w14:paraId="19EFFCD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r>
      <w:tr w:rsidR="00BE2A7C" w14:paraId="3AAE59C8"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F5D3BB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2046" w:type="dxa"/>
            <w:vAlign w:val="bottom"/>
          </w:tcPr>
          <w:p w14:paraId="76C9135A"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Santander</w:t>
            </w:r>
          </w:p>
        </w:tc>
        <w:tc>
          <w:tcPr>
            <w:tcW w:w="1501" w:type="dxa"/>
            <w:vAlign w:val="bottom"/>
          </w:tcPr>
          <w:p w14:paraId="1AF85A2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364" w:type="dxa"/>
            <w:vAlign w:val="bottom"/>
          </w:tcPr>
          <w:p w14:paraId="44A7911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3" w:type="dxa"/>
            <w:vAlign w:val="bottom"/>
          </w:tcPr>
          <w:p w14:paraId="6B76E48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372" w:type="dxa"/>
            <w:vAlign w:val="bottom"/>
          </w:tcPr>
          <w:p w14:paraId="4B2A8E9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r>
      <w:tr w:rsidR="00BE2A7C" w14:paraId="32383E24"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DB7165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2046" w:type="dxa"/>
            <w:vAlign w:val="bottom"/>
          </w:tcPr>
          <w:p w14:paraId="03E0C26E"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Benicasim / Benicàssim</w:t>
            </w:r>
          </w:p>
        </w:tc>
        <w:tc>
          <w:tcPr>
            <w:tcW w:w="1501" w:type="dxa"/>
          </w:tcPr>
          <w:p w14:paraId="608F99A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00057AA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tcPr>
          <w:p w14:paraId="6D3EFEE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72" w:type="dxa"/>
            <w:vAlign w:val="bottom"/>
          </w:tcPr>
          <w:p w14:paraId="24C4F00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r>
      <w:tr w:rsidR="00BE2A7C" w14:paraId="46CFD15E"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2B4B48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Bizkaia</w:t>
            </w:r>
          </w:p>
        </w:tc>
        <w:tc>
          <w:tcPr>
            <w:tcW w:w="2046" w:type="dxa"/>
            <w:vAlign w:val="bottom"/>
          </w:tcPr>
          <w:p w14:paraId="597DB95D"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Bilbao</w:t>
            </w:r>
          </w:p>
        </w:tc>
        <w:tc>
          <w:tcPr>
            <w:tcW w:w="1501" w:type="dxa"/>
            <w:vAlign w:val="bottom"/>
          </w:tcPr>
          <w:p w14:paraId="473D125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364" w:type="dxa"/>
            <w:vAlign w:val="bottom"/>
          </w:tcPr>
          <w:p w14:paraId="0CF50FC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3" w:type="dxa"/>
            <w:vAlign w:val="bottom"/>
          </w:tcPr>
          <w:p w14:paraId="306B61B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72" w:type="dxa"/>
            <w:vAlign w:val="bottom"/>
          </w:tcPr>
          <w:p w14:paraId="22919A0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r>
      <w:tr w:rsidR="00BE2A7C" w14:paraId="38741B1F"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D9FEB8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6B1B4E7E"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Málaga Capital</w:t>
            </w:r>
          </w:p>
        </w:tc>
        <w:tc>
          <w:tcPr>
            <w:tcW w:w="1501" w:type="dxa"/>
            <w:vAlign w:val="bottom"/>
          </w:tcPr>
          <w:p w14:paraId="119F174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364" w:type="dxa"/>
            <w:vAlign w:val="bottom"/>
          </w:tcPr>
          <w:p w14:paraId="1F4DFBF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c>
          <w:tcPr>
            <w:tcW w:w="1363" w:type="dxa"/>
            <w:vAlign w:val="bottom"/>
          </w:tcPr>
          <w:p w14:paraId="0DC799B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c>
          <w:tcPr>
            <w:tcW w:w="1372" w:type="dxa"/>
            <w:vAlign w:val="bottom"/>
          </w:tcPr>
          <w:p w14:paraId="3D6074F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r>
      <w:tr w:rsidR="00BE2A7C" w14:paraId="6ED1B328"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941439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37CB9F39"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Benalmádena</w:t>
            </w:r>
          </w:p>
        </w:tc>
        <w:tc>
          <w:tcPr>
            <w:tcW w:w="1501" w:type="dxa"/>
            <w:vAlign w:val="bottom"/>
          </w:tcPr>
          <w:p w14:paraId="19A8289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364" w:type="dxa"/>
            <w:vAlign w:val="bottom"/>
          </w:tcPr>
          <w:p w14:paraId="632A35B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3" w:type="dxa"/>
            <w:vAlign w:val="bottom"/>
          </w:tcPr>
          <w:p w14:paraId="655BC04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372" w:type="dxa"/>
            <w:vAlign w:val="bottom"/>
          </w:tcPr>
          <w:p w14:paraId="0BEBC42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r>
      <w:tr w:rsidR="00BE2A7C" w14:paraId="0F58D858"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DD30A4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Ciudad Real</w:t>
            </w:r>
          </w:p>
        </w:tc>
        <w:tc>
          <w:tcPr>
            <w:tcW w:w="2046" w:type="dxa"/>
            <w:vAlign w:val="bottom"/>
          </w:tcPr>
          <w:p w14:paraId="243F2715"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Ciudad Real Capital</w:t>
            </w:r>
          </w:p>
        </w:tc>
        <w:tc>
          <w:tcPr>
            <w:tcW w:w="1501" w:type="dxa"/>
            <w:vAlign w:val="bottom"/>
          </w:tcPr>
          <w:p w14:paraId="25CB14E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64" w:type="dxa"/>
            <w:vAlign w:val="bottom"/>
          </w:tcPr>
          <w:p w14:paraId="7AED348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363" w:type="dxa"/>
            <w:vAlign w:val="bottom"/>
          </w:tcPr>
          <w:p w14:paraId="79045C9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72" w:type="dxa"/>
            <w:vAlign w:val="bottom"/>
          </w:tcPr>
          <w:p w14:paraId="3760959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r>
      <w:tr w:rsidR="00BE2A7C" w14:paraId="18F0760B"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E706AC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La Rioja</w:t>
            </w:r>
          </w:p>
        </w:tc>
        <w:tc>
          <w:tcPr>
            <w:tcW w:w="2046" w:type="dxa"/>
            <w:vAlign w:val="bottom"/>
          </w:tcPr>
          <w:p w14:paraId="19BE3B94"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Logroño</w:t>
            </w:r>
          </w:p>
        </w:tc>
        <w:tc>
          <w:tcPr>
            <w:tcW w:w="1501" w:type="dxa"/>
            <w:vAlign w:val="bottom"/>
          </w:tcPr>
          <w:p w14:paraId="32004EF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364" w:type="dxa"/>
            <w:vAlign w:val="bottom"/>
          </w:tcPr>
          <w:p w14:paraId="50E24E6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3" w:type="dxa"/>
            <w:vAlign w:val="bottom"/>
          </w:tcPr>
          <w:p w14:paraId="14E64B6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72" w:type="dxa"/>
            <w:vAlign w:val="bottom"/>
          </w:tcPr>
          <w:p w14:paraId="61E7E95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r>
      <w:tr w:rsidR="00BE2A7C" w14:paraId="0EDF5FCB"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BED54F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2046" w:type="dxa"/>
            <w:vAlign w:val="bottom"/>
          </w:tcPr>
          <w:p w14:paraId="3AE27BAD"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Granada Capital</w:t>
            </w:r>
          </w:p>
        </w:tc>
        <w:tc>
          <w:tcPr>
            <w:tcW w:w="1501" w:type="dxa"/>
            <w:vAlign w:val="bottom"/>
          </w:tcPr>
          <w:p w14:paraId="1DAF68C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364" w:type="dxa"/>
            <w:vAlign w:val="bottom"/>
          </w:tcPr>
          <w:p w14:paraId="6D5448D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3" w:type="dxa"/>
            <w:vAlign w:val="bottom"/>
          </w:tcPr>
          <w:p w14:paraId="557BBED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72" w:type="dxa"/>
            <w:vAlign w:val="bottom"/>
          </w:tcPr>
          <w:p w14:paraId="0756253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r>
      <w:tr w:rsidR="00BE2A7C" w14:paraId="00172905"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A6A9EE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Illes Balears</w:t>
            </w:r>
          </w:p>
        </w:tc>
        <w:tc>
          <w:tcPr>
            <w:tcW w:w="2046" w:type="dxa"/>
            <w:vAlign w:val="bottom"/>
          </w:tcPr>
          <w:p w14:paraId="575FBC11"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Palma de Mallorca</w:t>
            </w:r>
          </w:p>
        </w:tc>
        <w:tc>
          <w:tcPr>
            <w:tcW w:w="1501" w:type="dxa"/>
            <w:vAlign w:val="bottom"/>
          </w:tcPr>
          <w:p w14:paraId="0EBECD7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9,4%</w:t>
            </w:r>
          </w:p>
        </w:tc>
        <w:tc>
          <w:tcPr>
            <w:tcW w:w="1364" w:type="dxa"/>
            <w:vAlign w:val="bottom"/>
          </w:tcPr>
          <w:p w14:paraId="48DC25C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63" w:type="dxa"/>
            <w:vAlign w:val="bottom"/>
          </w:tcPr>
          <w:p w14:paraId="40A2A9F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72" w:type="dxa"/>
            <w:vAlign w:val="bottom"/>
          </w:tcPr>
          <w:p w14:paraId="3B607FE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r>
      <w:tr w:rsidR="00BE2A7C" w14:paraId="57DC9AFF"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38D5A7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2046" w:type="dxa"/>
            <w:vAlign w:val="bottom"/>
          </w:tcPr>
          <w:p w14:paraId="30D4632C"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Cambrils</w:t>
            </w:r>
          </w:p>
        </w:tc>
        <w:tc>
          <w:tcPr>
            <w:tcW w:w="1501" w:type="dxa"/>
            <w:vAlign w:val="bottom"/>
          </w:tcPr>
          <w:p w14:paraId="5EED4B3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364" w:type="dxa"/>
            <w:vAlign w:val="bottom"/>
          </w:tcPr>
          <w:p w14:paraId="506C835B"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363" w:type="dxa"/>
            <w:vAlign w:val="bottom"/>
          </w:tcPr>
          <w:p w14:paraId="6DF8213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c>
          <w:tcPr>
            <w:tcW w:w="1372" w:type="dxa"/>
            <w:vAlign w:val="bottom"/>
          </w:tcPr>
          <w:p w14:paraId="631FD93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r>
      <w:tr w:rsidR="00BE2A7C" w14:paraId="1846C89B"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533132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Pontevedra</w:t>
            </w:r>
          </w:p>
        </w:tc>
        <w:tc>
          <w:tcPr>
            <w:tcW w:w="2046" w:type="dxa"/>
            <w:vAlign w:val="bottom"/>
          </w:tcPr>
          <w:p w14:paraId="5373D72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Pontevedra Capital</w:t>
            </w:r>
          </w:p>
        </w:tc>
        <w:tc>
          <w:tcPr>
            <w:tcW w:w="1501" w:type="dxa"/>
            <w:vAlign w:val="bottom"/>
          </w:tcPr>
          <w:p w14:paraId="1E11CE4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364" w:type="dxa"/>
            <w:vAlign w:val="bottom"/>
          </w:tcPr>
          <w:p w14:paraId="2C23753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363" w:type="dxa"/>
            <w:vAlign w:val="bottom"/>
          </w:tcPr>
          <w:p w14:paraId="6754059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372" w:type="dxa"/>
            <w:vAlign w:val="bottom"/>
          </w:tcPr>
          <w:p w14:paraId="1D67201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r>
      <w:tr w:rsidR="00BE2A7C" w14:paraId="1CD3AFA5"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E8AA94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588C7011"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Torrox</w:t>
            </w:r>
          </w:p>
        </w:tc>
        <w:tc>
          <w:tcPr>
            <w:tcW w:w="1501" w:type="dxa"/>
            <w:vAlign w:val="bottom"/>
          </w:tcPr>
          <w:p w14:paraId="1EB4186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364" w:type="dxa"/>
            <w:vAlign w:val="bottom"/>
          </w:tcPr>
          <w:p w14:paraId="7E1964FC"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363" w:type="dxa"/>
            <w:vAlign w:val="bottom"/>
          </w:tcPr>
          <w:p w14:paraId="2F440684"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372" w:type="dxa"/>
            <w:vAlign w:val="bottom"/>
          </w:tcPr>
          <w:p w14:paraId="5FBAD03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r>
      <w:tr w:rsidR="00BE2A7C" w14:paraId="21BB1761"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0060D9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2046" w:type="dxa"/>
            <w:vAlign w:val="bottom"/>
          </w:tcPr>
          <w:p w14:paraId="0344C3C9"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Castro-Urdiales</w:t>
            </w:r>
          </w:p>
        </w:tc>
        <w:tc>
          <w:tcPr>
            <w:tcW w:w="1501" w:type="dxa"/>
            <w:vAlign w:val="bottom"/>
          </w:tcPr>
          <w:p w14:paraId="0017ACA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364" w:type="dxa"/>
            <w:vAlign w:val="bottom"/>
          </w:tcPr>
          <w:p w14:paraId="2747070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363" w:type="dxa"/>
            <w:vAlign w:val="bottom"/>
          </w:tcPr>
          <w:p w14:paraId="6AE5A46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72" w:type="dxa"/>
            <w:vAlign w:val="bottom"/>
          </w:tcPr>
          <w:p w14:paraId="06E1DBD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r>
      <w:tr w:rsidR="00BE2A7C" w14:paraId="59D94A7B"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17CA30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Pontevedra</w:t>
            </w:r>
          </w:p>
        </w:tc>
        <w:tc>
          <w:tcPr>
            <w:tcW w:w="2046" w:type="dxa"/>
            <w:vAlign w:val="bottom"/>
          </w:tcPr>
          <w:p w14:paraId="458725A0"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Vigo</w:t>
            </w:r>
          </w:p>
        </w:tc>
        <w:tc>
          <w:tcPr>
            <w:tcW w:w="1501" w:type="dxa"/>
            <w:vAlign w:val="bottom"/>
          </w:tcPr>
          <w:p w14:paraId="6CBB3C0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364" w:type="dxa"/>
            <w:vAlign w:val="bottom"/>
          </w:tcPr>
          <w:p w14:paraId="65FB78C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3" w:type="dxa"/>
            <w:vAlign w:val="bottom"/>
          </w:tcPr>
          <w:p w14:paraId="7B55D4E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72" w:type="dxa"/>
            <w:vAlign w:val="bottom"/>
          </w:tcPr>
          <w:p w14:paraId="26D5242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r>
      <w:tr w:rsidR="00BE2A7C" w14:paraId="2D564E86"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00B27C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4700CD23"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Rincón de la Victoria</w:t>
            </w:r>
          </w:p>
        </w:tc>
        <w:tc>
          <w:tcPr>
            <w:tcW w:w="1501" w:type="dxa"/>
            <w:vAlign w:val="bottom"/>
          </w:tcPr>
          <w:p w14:paraId="04CA902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364" w:type="dxa"/>
            <w:vAlign w:val="bottom"/>
          </w:tcPr>
          <w:p w14:paraId="6A08365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5819F7E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72" w:type="dxa"/>
            <w:vAlign w:val="bottom"/>
          </w:tcPr>
          <w:p w14:paraId="7748579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r>
      <w:tr w:rsidR="00BE2A7C" w14:paraId="496B8546"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30F238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046" w:type="dxa"/>
            <w:vAlign w:val="bottom"/>
          </w:tcPr>
          <w:p w14:paraId="56D3ACE4"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Pozuelo de Alarcón</w:t>
            </w:r>
          </w:p>
        </w:tc>
        <w:tc>
          <w:tcPr>
            <w:tcW w:w="1501" w:type="dxa"/>
            <w:vAlign w:val="bottom"/>
          </w:tcPr>
          <w:p w14:paraId="119C8A6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364" w:type="dxa"/>
            <w:vAlign w:val="bottom"/>
          </w:tcPr>
          <w:p w14:paraId="3D76A0F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363" w:type="dxa"/>
            <w:vAlign w:val="bottom"/>
          </w:tcPr>
          <w:p w14:paraId="0B0A97E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372" w:type="dxa"/>
            <w:vAlign w:val="bottom"/>
          </w:tcPr>
          <w:p w14:paraId="3073114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r>
      <w:tr w:rsidR="00BE2A7C" w14:paraId="104BA234"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CE4A127"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046" w:type="dxa"/>
            <w:vAlign w:val="bottom"/>
          </w:tcPr>
          <w:p w14:paraId="2A071D07"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Cádiz Capital</w:t>
            </w:r>
          </w:p>
        </w:tc>
        <w:tc>
          <w:tcPr>
            <w:tcW w:w="1501" w:type="dxa"/>
            <w:vAlign w:val="bottom"/>
          </w:tcPr>
          <w:p w14:paraId="6DF1506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64" w:type="dxa"/>
            <w:vAlign w:val="bottom"/>
          </w:tcPr>
          <w:p w14:paraId="5DA7A9A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363" w:type="dxa"/>
            <w:vAlign w:val="bottom"/>
          </w:tcPr>
          <w:p w14:paraId="0425860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72" w:type="dxa"/>
            <w:vAlign w:val="bottom"/>
          </w:tcPr>
          <w:p w14:paraId="2E9474A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r>
      <w:tr w:rsidR="00BE2A7C" w14:paraId="7680D8D9"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09A6A9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7EF76064"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Dénia</w:t>
            </w:r>
            <w:proofErr w:type="spellEnd"/>
          </w:p>
        </w:tc>
        <w:tc>
          <w:tcPr>
            <w:tcW w:w="1501" w:type="dxa"/>
            <w:vAlign w:val="bottom"/>
          </w:tcPr>
          <w:p w14:paraId="7339D81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364" w:type="dxa"/>
          </w:tcPr>
          <w:p w14:paraId="0D2486B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4D50B42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372" w:type="dxa"/>
            <w:vAlign w:val="bottom"/>
          </w:tcPr>
          <w:p w14:paraId="2C1D2E2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r>
      <w:tr w:rsidR="00BE2A7C" w14:paraId="17C899D7"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480BE3A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0B289FC9"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Vic</w:t>
            </w:r>
          </w:p>
        </w:tc>
        <w:tc>
          <w:tcPr>
            <w:tcW w:w="1501" w:type="dxa"/>
            <w:vAlign w:val="bottom"/>
          </w:tcPr>
          <w:p w14:paraId="3086A50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3875000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7B8F4FF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72" w:type="dxa"/>
            <w:vAlign w:val="bottom"/>
          </w:tcPr>
          <w:p w14:paraId="43FB390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r>
      <w:tr w:rsidR="00BE2A7C" w14:paraId="0535194F"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5C2991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046" w:type="dxa"/>
            <w:vAlign w:val="bottom"/>
          </w:tcPr>
          <w:p w14:paraId="15779B84"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Madrid Capital</w:t>
            </w:r>
          </w:p>
        </w:tc>
        <w:tc>
          <w:tcPr>
            <w:tcW w:w="1501" w:type="dxa"/>
            <w:vAlign w:val="bottom"/>
          </w:tcPr>
          <w:p w14:paraId="2895C51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364" w:type="dxa"/>
            <w:vAlign w:val="bottom"/>
          </w:tcPr>
          <w:p w14:paraId="14B798D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63" w:type="dxa"/>
            <w:vAlign w:val="bottom"/>
          </w:tcPr>
          <w:p w14:paraId="626E550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72" w:type="dxa"/>
            <w:vAlign w:val="bottom"/>
          </w:tcPr>
          <w:p w14:paraId="3DBFE15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r>
      <w:tr w:rsidR="00BE2A7C" w14:paraId="718911B9"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118967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0751E206"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Altea</w:t>
            </w:r>
          </w:p>
        </w:tc>
        <w:tc>
          <w:tcPr>
            <w:tcW w:w="1501" w:type="dxa"/>
          </w:tcPr>
          <w:p w14:paraId="6B58C4E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tcPr>
          <w:p w14:paraId="478627F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00B7C6A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372" w:type="dxa"/>
            <w:vAlign w:val="bottom"/>
          </w:tcPr>
          <w:p w14:paraId="254C0C8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r>
      <w:tr w:rsidR="00BE2A7C" w14:paraId="486CAAC4"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279CF8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061AF35E"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Fuengirola</w:t>
            </w:r>
          </w:p>
        </w:tc>
        <w:tc>
          <w:tcPr>
            <w:tcW w:w="1501" w:type="dxa"/>
            <w:vAlign w:val="bottom"/>
          </w:tcPr>
          <w:p w14:paraId="52F70CA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4" w:type="dxa"/>
            <w:vAlign w:val="bottom"/>
          </w:tcPr>
          <w:p w14:paraId="6AAD42A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363" w:type="dxa"/>
            <w:vAlign w:val="bottom"/>
          </w:tcPr>
          <w:p w14:paraId="13E2CE4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372" w:type="dxa"/>
            <w:vAlign w:val="bottom"/>
          </w:tcPr>
          <w:p w14:paraId="7F10F3F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r>
      <w:tr w:rsidR="00BE2A7C" w14:paraId="6DEC84F8"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0BDFFF3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2B4F9F6D"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Estepona</w:t>
            </w:r>
          </w:p>
        </w:tc>
        <w:tc>
          <w:tcPr>
            <w:tcW w:w="1501" w:type="dxa"/>
            <w:vAlign w:val="bottom"/>
          </w:tcPr>
          <w:p w14:paraId="28A3F16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364" w:type="dxa"/>
            <w:vAlign w:val="bottom"/>
          </w:tcPr>
          <w:p w14:paraId="3470462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363" w:type="dxa"/>
            <w:vAlign w:val="bottom"/>
          </w:tcPr>
          <w:p w14:paraId="5240CC5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372" w:type="dxa"/>
            <w:vAlign w:val="bottom"/>
          </w:tcPr>
          <w:p w14:paraId="1AEC14F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r>
      <w:tr w:rsidR="00BE2A7C" w14:paraId="68C63B18"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5B5FE0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2046" w:type="dxa"/>
            <w:vAlign w:val="bottom"/>
          </w:tcPr>
          <w:p w14:paraId="51DE3305"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Almuñécar</w:t>
            </w:r>
          </w:p>
        </w:tc>
        <w:tc>
          <w:tcPr>
            <w:tcW w:w="1501" w:type="dxa"/>
            <w:vAlign w:val="bottom"/>
          </w:tcPr>
          <w:p w14:paraId="54582BA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3,9%</w:t>
            </w:r>
          </w:p>
        </w:tc>
        <w:tc>
          <w:tcPr>
            <w:tcW w:w="1364" w:type="dxa"/>
            <w:vAlign w:val="bottom"/>
          </w:tcPr>
          <w:p w14:paraId="55902BB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16E906B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372" w:type="dxa"/>
            <w:vAlign w:val="bottom"/>
          </w:tcPr>
          <w:p w14:paraId="04B32CB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r>
      <w:tr w:rsidR="00BE2A7C" w14:paraId="30A3F546"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7D5FBC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2046" w:type="dxa"/>
            <w:vAlign w:val="bottom"/>
          </w:tcPr>
          <w:p w14:paraId="07290F5C"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 Coruña Capital</w:t>
            </w:r>
          </w:p>
        </w:tc>
        <w:tc>
          <w:tcPr>
            <w:tcW w:w="1501" w:type="dxa"/>
            <w:vAlign w:val="bottom"/>
          </w:tcPr>
          <w:p w14:paraId="4D3EFEE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3,2%</w:t>
            </w:r>
          </w:p>
        </w:tc>
        <w:tc>
          <w:tcPr>
            <w:tcW w:w="1364" w:type="dxa"/>
            <w:vAlign w:val="bottom"/>
          </w:tcPr>
          <w:p w14:paraId="04C5025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63" w:type="dxa"/>
            <w:vAlign w:val="bottom"/>
          </w:tcPr>
          <w:p w14:paraId="14F8709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372" w:type="dxa"/>
            <w:vAlign w:val="bottom"/>
          </w:tcPr>
          <w:p w14:paraId="1A0443A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r>
      <w:tr w:rsidR="00BE2A7C" w14:paraId="6568B90B"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D053A3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Navarra</w:t>
            </w:r>
          </w:p>
        </w:tc>
        <w:tc>
          <w:tcPr>
            <w:tcW w:w="2046" w:type="dxa"/>
            <w:vAlign w:val="bottom"/>
          </w:tcPr>
          <w:p w14:paraId="6C977498"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Pamplona / Iruña</w:t>
            </w:r>
          </w:p>
        </w:tc>
        <w:tc>
          <w:tcPr>
            <w:tcW w:w="1501" w:type="dxa"/>
            <w:vAlign w:val="bottom"/>
          </w:tcPr>
          <w:p w14:paraId="0960EDE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4" w:type="dxa"/>
            <w:vAlign w:val="bottom"/>
          </w:tcPr>
          <w:p w14:paraId="66933BA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3" w:type="dxa"/>
            <w:vAlign w:val="bottom"/>
          </w:tcPr>
          <w:p w14:paraId="3963C71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72" w:type="dxa"/>
            <w:vAlign w:val="bottom"/>
          </w:tcPr>
          <w:p w14:paraId="43D88B6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r>
      <w:tr w:rsidR="00BE2A7C" w14:paraId="3C28882B"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D8FD7E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2046" w:type="dxa"/>
            <w:vAlign w:val="bottom"/>
          </w:tcPr>
          <w:p w14:paraId="125A8AE5"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Santiago de Compostela</w:t>
            </w:r>
          </w:p>
        </w:tc>
        <w:tc>
          <w:tcPr>
            <w:tcW w:w="1501" w:type="dxa"/>
            <w:vAlign w:val="bottom"/>
          </w:tcPr>
          <w:p w14:paraId="368F1BE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3,1%</w:t>
            </w:r>
          </w:p>
        </w:tc>
        <w:tc>
          <w:tcPr>
            <w:tcW w:w="1364" w:type="dxa"/>
            <w:vAlign w:val="bottom"/>
          </w:tcPr>
          <w:p w14:paraId="2B2D526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363" w:type="dxa"/>
            <w:vAlign w:val="bottom"/>
          </w:tcPr>
          <w:p w14:paraId="04BF97E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372" w:type="dxa"/>
            <w:vAlign w:val="bottom"/>
          </w:tcPr>
          <w:p w14:paraId="453277B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r>
      <w:tr w:rsidR="00BE2A7C" w14:paraId="63F8BC1E"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79FCB2C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046" w:type="dxa"/>
            <w:vAlign w:val="bottom"/>
          </w:tcPr>
          <w:p w14:paraId="6E63A8B3"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Orihuela</w:t>
            </w:r>
          </w:p>
        </w:tc>
        <w:tc>
          <w:tcPr>
            <w:tcW w:w="1501" w:type="dxa"/>
            <w:vAlign w:val="bottom"/>
          </w:tcPr>
          <w:p w14:paraId="004BD99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364" w:type="dxa"/>
            <w:vAlign w:val="bottom"/>
          </w:tcPr>
          <w:p w14:paraId="78E6FB06"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363" w:type="dxa"/>
            <w:vAlign w:val="bottom"/>
          </w:tcPr>
          <w:p w14:paraId="5039037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72" w:type="dxa"/>
            <w:vAlign w:val="bottom"/>
          </w:tcPr>
          <w:p w14:paraId="36472F9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r>
      <w:tr w:rsidR="00BE2A7C" w14:paraId="54307908"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5855C10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Málaga</w:t>
            </w:r>
          </w:p>
        </w:tc>
        <w:tc>
          <w:tcPr>
            <w:tcW w:w="2046" w:type="dxa"/>
            <w:vAlign w:val="bottom"/>
          </w:tcPr>
          <w:p w14:paraId="6CDC4772"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Marbella</w:t>
            </w:r>
          </w:p>
        </w:tc>
        <w:tc>
          <w:tcPr>
            <w:tcW w:w="1501" w:type="dxa"/>
            <w:vAlign w:val="bottom"/>
          </w:tcPr>
          <w:p w14:paraId="59ADC8F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364" w:type="dxa"/>
            <w:vAlign w:val="bottom"/>
          </w:tcPr>
          <w:p w14:paraId="7B02880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363" w:type="dxa"/>
            <w:vAlign w:val="bottom"/>
          </w:tcPr>
          <w:p w14:paraId="2B28B95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372" w:type="dxa"/>
            <w:vAlign w:val="bottom"/>
          </w:tcPr>
          <w:p w14:paraId="545B78A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r>
      <w:tr w:rsidR="00BE2A7C" w14:paraId="5787E888"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2A003F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Illes Balears</w:t>
            </w:r>
          </w:p>
        </w:tc>
        <w:tc>
          <w:tcPr>
            <w:tcW w:w="2046" w:type="dxa"/>
            <w:vAlign w:val="bottom"/>
          </w:tcPr>
          <w:p w14:paraId="2FC60A2E"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Calvià</w:t>
            </w:r>
          </w:p>
        </w:tc>
        <w:tc>
          <w:tcPr>
            <w:tcW w:w="1501" w:type="dxa"/>
            <w:vAlign w:val="bottom"/>
          </w:tcPr>
          <w:p w14:paraId="5B81578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364" w:type="dxa"/>
            <w:vAlign w:val="bottom"/>
          </w:tcPr>
          <w:p w14:paraId="0C08E26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363" w:type="dxa"/>
            <w:vAlign w:val="bottom"/>
          </w:tcPr>
          <w:p w14:paraId="4BE2D1B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372" w:type="dxa"/>
            <w:vAlign w:val="bottom"/>
          </w:tcPr>
          <w:p w14:paraId="5793AE0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r>
      <w:tr w:rsidR="00BE2A7C" w14:paraId="73C3BA8C"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3F086C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0D6EF37C"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 Cugat del Vallès</w:t>
            </w:r>
          </w:p>
        </w:tc>
        <w:tc>
          <w:tcPr>
            <w:tcW w:w="1501" w:type="dxa"/>
            <w:vAlign w:val="bottom"/>
          </w:tcPr>
          <w:p w14:paraId="747F8D3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4,3%</w:t>
            </w:r>
          </w:p>
        </w:tc>
        <w:tc>
          <w:tcPr>
            <w:tcW w:w="1364" w:type="dxa"/>
            <w:vAlign w:val="bottom"/>
          </w:tcPr>
          <w:p w14:paraId="5C58BD5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4,3%</w:t>
            </w:r>
          </w:p>
        </w:tc>
        <w:tc>
          <w:tcPr>
            <w:tcW w:w="1363" w:type="dxa"/>
            <w:vAlign w:val="bottom"/>
          </w:tcPr>
          <w:p w14:paraId="5365588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4,3%</w:t>
            </w:r>
          </w:p>
        </w:tc>
        <w:tc>
          <w:tcPr>
            <w:tcW w:w="1372" w:type="dxa"/>
            <w:vAlign w:val="bottom"/>
          </w:tcPr>
          <w:p w14:paraId="7202E2C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4,3%</w:t>
            </w:r>
          </w:p>
        </w:tc>
      </w:tr>
      <w:tr w:rsidR="00BE2A7C" w14:paraId="2C4D1A3D"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6D8723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046" w:type="dxa"/>
            <w:vAlign w:val="bottom"/>
          </w:tcPr>
          <w:p w14:paraId="28A35EDC"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Benahavís</w:t>
            </w:r>
            <w:proofErr w:type="spellEnd"/>
          </w:p>
        </w:tc>
        <w:tc>
          <w:tcPr>
            <w:tcW w:w="1501" w:type="dxa"/>
            <w:vAlign w:val="bottom"/>
          </w:tcPr>
          <w:p w14:paraId="1E7AE974"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364" w:type="dxa"/>
            <w:vAlign w:val="bottom"/>
          </w:tcPr>
          <w:p w14:paraId="6C5ABE36"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363" w:type="dxa"/>
            <w:vAlign w:val="bottom"/>
          </w:tcPr>
          <w:p w14:paraId="70400AD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5,8%</w:t>
            </w:r>
          </w:p>
        </w:tc>
        <w:tc>
          <w:tcPr>
            <w:tcW w:w="1372" w:type="dxa"/>
            <w:vAlign w:val="bottom"/>
          </w:tcPr>
          <w:p w14:paraId="63ED93D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4,1%</w:t>
            </w:r>
          </w:p>
        </w:tc>
      </w:tr>
      <w:tr w:rsidR="00BE2A7C" w14:paraId="707E627E"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24F4510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046" w:type="dxa"/>
            <w:vAlign w:val="bottom"/>
          </w:tcPr>
          <w:p w14:paraId="4BD65715"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Sitges</w:t>
            </w:r>
          </w:p>
        </w:tc>
        <w:tc>
          <w:tcPr>
            <w:tcW w:w="1501" w:type="dxa"/>
            <w:vAlign w:val="bottom"/>
          </w:tcPr>
          <w:p w14:paraId="78D7A80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3,2%</w:t>
            </w:r>
          </w:p>
        </w:tc>
        <w:tc>
          <w:tcPr>
            <w:tcW w:w="1364" w:type="dxa"/>
            <w:vAlign w:val="bottom"/>
          </w:tcPr>
          <w:p w14:paraId="045607D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363" w:type="dxa"/>
            <w:vAlign w:val="bottom"/>
          </w:tcPr>
          <w:p w14:paraId="73784B6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4,4%</w:t>
            </w:r>
          </w:p>
        </w:tc>
        <w:tc>
          <w:tcPr>
            <w:tcW w:w="1372" w:type="dxa"/>
            <w:vAlign w:val="bottom"/>
          </w:tcPr>
          <w:p w14:paraId="68F0948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r>
      <w:tr w:rsidR="00BE2A7C" w14:paraId="2EEB99A9"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3B95741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Gipuzkoa</w:t>
            </w:r>
          </w:p>
        </w:tc>
        <w:tc>
          <w:tcPr>
            <w:tcW w:w="2046" w:type="dxa"/>
            <w:vAlign w:val="bottom"/>
          </w:tcPr>
          <w:p w14:paraId="6F942538"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Donostia - San Sebastián</w:t>
            </w:r>
          </w:p>
        </w:tc>
        <w:tc>
          <w:tcPr>
            <w:tcW w:w="1501" w:type="dxa"/>
            <w:vAlign w:val="bottom"/>
          </w:tcPr>
          <w:p w14:paraId="2164C76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3,0%</w:t>
            </w:r>
          </w:p>
        </w:tc>
        <w:tc>
          <w:tcPr>
            <w:tcW w:w="1364" w:type="dxa"/>
            <w:vAlign w:val="bottom"/>
          </w:tcPr>
          <w:p w14:paraId="3241E62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3,9%</w:t>
            </w:r>
          </w:p>
        </w:tc>
        <w:tc>
          <w:tcPr>
            <w:tcW w:w="1363" w:type="dxa"/>
            <w:vAlign w:val="bottom"/>
          </w:tcPr>
          <w:p w14:paraId="2526263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3,9%</w:t>
            </w:r>
          </w:p>
        </w:tc>
        <w:tc>
          <w:tcPr>
            <w:tcW w:w="1372" w:type="dxa"/>
            <w:vAlign w:val="bottom"/>
          </w:tcPr>
          <w:p w14:paraId="439464C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r>
      <w:tr w:rsidR="00BE2A7C" w14:paraId="03B8BDA3" w14:textId="77777777" w:rsidTr="00D46F7C">
        <w:trPr>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1F72C109"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Bizkaia</w:t>
            </w:r>
          </w:p>
        </w:tc>
        <w:tc>
          <w:tcPr>
            <w:tcW w:w="2046" w:type="dxa"/>
            <w:vAlign w:val="bottom"/>
          </w:tcPr>
          <w:p w14:paraId="10644B8B" w14:textId="77777777" w:rsidR="00BE2A7C"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Getxo</w:t>
            </w:r>
          </w:p>
        </w:tc>
        <w:tc>
          <w:tcPr>
            <w:tcW w:w="1501" w:type="dxa"/>
            <w:vAlign w:val="bottom"/>
          </w:tcPr>
          <w:p w14:paraId="72B2BBB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3,4%</w:t>
            </w:r>
          </w:p>
        </w:tc>
        <w:tc>
          <w:tcPr>
            <w:tcW w:w="1364" w:type="dxa"/>
            <w:vAlign w:val="bottom"/>
          </w:tcPr>
          <w:p w14:paraId="4DD8E38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363" w:type="dxa"/>
            <w:vAlign w:val="bottom"/>
          </w:tcPr>
          <w:p w14:paraId="149D8FC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372" w:type="dxa"/>
            <w:vAlign w:val="bottom"/>
          </w:tcPr>
          <w:p w14:paraId="7BA1A80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3,9%</w:t>
            </w:r>
          </w:p>
        </w:tc>
      </w:tr>
      <w:tr w:rsidR="00BE2A7C" w14:paraId="4C0CFAC6" w14:textId="77777777" w:rsidTr="00D46F7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60" w:type="dxa"/>
            <w:vAlign w:val="bottom"/>
          </w:tcPr>
          <w:p w14:paraId="614FD1A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Illes Balears</w:t>
            </w:r>
          </w:p>
        </w:tc>
        <w:tc>
          <w:tcPr>
            <w:tcW w:w="2046" w:type="dxa"/>
            <w:vAlign w:val="bottom"/>
          </w:tcPr>
          <w:p w14:paraId="4E2A0F43" w14:textId="77777777" w:rsidR="00BE2A7C"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Eivissa</w:t>
            </w:r>
          </w:p>
        </w:tc>
        <w:tc>
          <w:tcPr>
            <w:tcW w:w="1501" w:type="dxa"/>
            <w:vAlign w:val="bottom"/>
          </w:tcPr>
          <w:p w14:paraId="3E986E4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364" w:type="dxa"/>
            <w:vAlign w:val="bottom"/>
          </w:tcPr>
          <w:p w14:paraId="78CAA98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363" w:type="dxa"/>
            <w:vAlign w:val="bottom"/>
          </w:tcPr>
          <w:p w14:paraId="11D75C5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4,1%</w:t>
            </w:r>
          </w:p>
        </w:tc>
        <w:tc>
          <w:tcPr>
            <w:tcW w:w="1372" w:type="dxa"/>
            <w:vAlign w:val="bottom"/>
          </w:tcPr>
          <w:p w14:paraId="0DFD5E0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r>
    </w:tbl>
    <w:p w14:paraId="28FD5BAB" w14:textId="77777777" w:rsidR="00BE2A7C" w:rsidRDefault="00BE2A7C">
      <w:pPr>
        <w:jc w:val="both"/>
        <w:rPr>
          <w:rFonts w:ascii="Open Sans Light" w:eastAsia="Open Sans Light" w:hAnsi="Open Sans Light" w:cs="Open Sans Light"/>
          <w:color w:val="404040"/>
        </w:rPr>
      </w:pPr>
    </w:p>
    <w:p w14:paraId="1AB26B84"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4. Rentabilidad de la vivienda por distritos de Madrid en 2018, 2022 y 2023</w:t>
      </w:r>
    </w:p>
    <w:tbl>
      <w:tblPr>
        <w:tblStyle w:val="4"/>
        <w:tblpPr w:leftFromText="141" w:rightFromText="141" w:vertAnchor="text" w:tblpY="40"/>
        <w:tblW w:w="888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44"/>
        <w:gridCol w:w="2133"/>
        <w:gridCol w:w="1956"/>
        <w:gridCol w:w="1947"/>
      </w:tblGrid>
      <w:tr w:rsidR="00BE2A7C" w14:paraId="5CCBB096" w14:textId="77777777" w:rsidTr="00BE2A7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44" w:type="dxa"/>
          </w:tcPr>
          <w:p w14:paraId="49D369DD"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Distritos de Madrid</w:t>
            </w:r>
          </w:p>
        </w:tc>
        <w:tc>
          <w:tcPr>
            <w:tcW w:w="2133" w:type="dxa"/>
          </w:tcPr>
          <w:p w14:paraId="4E9124FE"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 xml:space="preserve">Rentabilidad </w:t>
            </w:r>
          </w:p>
          <w:p w14:paraId="3144F8B8"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2018 (5 años)</w:t>
            </w:r>
          </w:p>
        </w:tc>
        <w:tc>
          <w:tcPr>
            <w:tcW w:w="1956" w:type="dxa"/>
          </w:tcPr>
          <w:p w14:paraId="3E067985"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1970B285"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2022 (1 año)</w:t>
            </w:r>
          </w:p>
        </w:tc>
        <w:tc>
          <w:tcPr>
            <w:tcW w:w="1947" w:type="dxa"/>
          </w:tcPr>
          <w:p w14:paraId="137D4B92"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48C8DCCE"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color w:val="000000"/>
                <w:sz w:val="22"/>
                <w:szCs w:val="22"/>
              </w:rPr>
            </w:pPr>
            <w:r>
              <w:rPr>
                <w:rFonts w:ascii="Open Sans" w:eastAsia="Open Sans" w:hAnsi="Open Sans" w:cs="Open Sans"/>
                <w:b w:val="0"/>
                <w:color w:val="000000"/>
                <w:sz w:val="22"/>
                <w:szCs w:val="22"/>
              </w:rPr>
              <w:t>2023</w:t>
            </w:r>
          </w:p>
        </w:tc>
      </w:tr>
      <w:tr w:rsidR="00BE2A7C" w14:paraId="24EC034A" w14:textId="77777777" w:rsidTr="00BE2A7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0D425DF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Villaverde</w:t>
            </w:r>
          </w:p>
        </w:tc>
        <w:tc>
          <w:tcPr>
            <w:tcW w:w="2133" w:type="dxa"/>
            <w:vAlign w:val="bottom"/>
          </w:tcPr>
          <w:p w14:paraId="461B565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56" w:type="dxa"/>
            <w:vAlign w:val="bottom"/>
          </w:tcPr>
          <w:p w14:paraId="21CB6B3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7,9%</w:t>
            </w:r>
          </w:p>
        </w:tc>
        <w:tc>
          <w:tcPr>
            <w:tcW w:w="1947" w:type="dxa"/>
            <w:vAlign w:val="bottom"/>
          </w:tcPr>
          <w:p w14:paraId="13DD1E9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8,9%</w:t>
            </w:r>
          </w:p>
        </w:tc>
      </w:tr>
      <w:tr w:rsidR="00BE2A7C" w14:paraId="041C1497" w14:textId="77777777" w:rsidTr="00BE2A7C">
        <w:trPr>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0D4705B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Puente de Vallecas</w:t>
            </w:r>
          </w:p>
        </w:tc>
        <w:tc>
          <w:tcPr>
            <w:tcW w:w="2133" w:type="dxa"/>
            <w:vAlign w:val="bottom"/>
          </w:tcPr>
          <w:p w14:paraId="78B2795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7,0%</w:t>
            </w:r>
          </w:p>
        </w:tc>
        <w:tc>
          <w:tcPr>
            <w:tcW w:w="1956" w:type="dxa"/>
            <w:vAlign w:val="bottom"/>
          </w:tcPr>
          <w:p w14:paraId="71E7071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c>
          <w:tcPr>
            <w:tcW w:w="1947" w:type="dxa"/>
            <w:vAlign w:val="bottom"/>
          </w:tcPr>
          <w:p w14:paraId="470774E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7,7%</w:t>
            </w:r>
          </w:p>
        </w:tc>
      </w:tr>
      <w:tr w:rsidR="00BE2A7C" w14:paraId="1D772477" w14:textId="77777777" w:rsidTr="00BE2A7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444E9C7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Latina</w:t>
            </w:r>
          </w:p>
        </w:tc>
        <w:tc>
          <w:tcPr>
            <w:tcW w:w="2133" w:type="dxa"/>
            <w:vAlign w:val="bottom"/>
          </w:tcPr>
          <w:p w14:paraId="16D4DF7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c>
          <w:tcPr>
            <w:tcW w:w="1956" w:type="dxa"/>
            <w:vAlign w:val="bottom"/>
          </w:tcPr>
          <w:p w14:paraId="7F8CA89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c>
          <w:tcPr>
            <w:tcW w:w="1947" w:type="dxa"/>
            <w:vAlign w:val="bottom"/>
          </w:tcPr>
          <w:p w14:paraId="522CD86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7,4%</w:t>
            </w:r>
          </w:p>
        </w:tc>
      </w:tr>
      <w:tr w:rsidR="00BE2A7C" w14:paraId="5640A8FE" w14:textId="77777777" w:rsidTr="00BE2A7C">
        <w:trPr>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7EBEA76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Carabanchel</w:t>
            </w:r>
          </w:p>
        </w:tc>
        <w:tc>
          <w:tcPr>
            <w:tcW w:w="2133" w:type="dxa"/>
            <w:vAlign w:val="bottom"/>
          </w:tcPr>
          <w:p w14:paraId="7329AAE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c>
          <w:tcPr>
            <w:tcW w:w="1956" w:type="dxa"/>
            <w:vAlign w:val="bottom"/>
          </w:tcPr>
          <w:p w14:paraId="208F5E6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947" w:type="dxa"/>
            <w:vAlign w:val="bottom"/>
          </w:tcPr>
          <w:p w14:paraId="3726601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7,1%</w:t>
            </w:r>
          </w:p>
        </w:tc>
      </w:tr>
      <w:tr w:rsidR="00BE2A7C" w14:paraId="1CAEF61E"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09A00E4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Usera</w:t>
            </w:r>
          </w:p>
        </w:tc>
        <w:tc>
          <w:tcPr>
            <w:tcW w:w="2133" w:type="dxa"/>
            <w:vAlign w:val="bottom"/>
          </w:tcPr>
          <w:p w14:paraId="5C50E39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1956" w:type="dxa"/>
            <w:vAlign w:val="bottom"/>
          </w:tcPr>
          <w:p w14:paraId="2637958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7,4%</w:t>
            </w:r>
          </w:p>
        </w:tc>
        <w:tc>
          <w:tcPr>
            <w:tcW w:w="1947" w:type="dxa"/>
            <w:vAlign w:val="bottom"/>
          </w:tcPr>
          <w:p w14:paraId="3D706A6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6,9%</w:t>
            </w:r>
          </w:p>
        </w:tc>
      </w:tr>
      <w:tr w:rsidR="00BE2A7C" w14:paraId="6412817B"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7F24AAAC"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Villa de Vallecas</w:t>
            </w:r>
          </w:p>
        </w:tc>
        <w:tc>
          <w:tcPr>
            <w:tcW w:w="2133" w:type="dxa"/>
            <w:vAlign w:val="bottom"/>
          </w:tcPr>
          <w:p w14:paraId="3CB4772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c>
          <w:tcPr>
            <w:tcW w:w="1956" w:type="dxa"/>
            <w:vAlign w:val="bottom"/>
          </w:tcPr>
          <w:p w14:paraId="724BF7F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947" w:type="dxa"/>
            <w:vAlign w:val="bottom"/>
          </w:tcPr>
          <w:p w14:paraId="6773E48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BE2A7C" w14:paraId="4A3EDB58"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34FE2A3E"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Vicálvaro</w:t>
            </w:r>
          </w:p>
        </w:tc>
        <w:tc>
          <w:tcPr>
            <w:tcW w:w="2133" w:type="dxa"/>
            <w:vAlign w:val="bottom"/>
          </w:tcPr>
          <w:p w14:paraId="15A76F3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56" w:type="dxa"/>
            <w:vAlign w:val="bottom"/>
          </w:tcPr>
          <w:p w14:paraId="5362003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947" w:type="dxa"/>
            <w:vAlign w:val="bottom"/>
          </w:tcPr>
          <w:p w14:paraId="71AE63F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5,7%</w:t>
            </w:r>
          </w:p>
        </w:tc>
      </w:tr>
      <w:tr w:rsidR="00BE2A7C" w14:paraId="6C1937CB"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68719150"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San Blas</w:t>
            </w:r>
          </w:p>
        </w:tc>
        <w:tc>
          <w:tcPr>
            <w:tcW w:w="2133" w:type="dxa"/>
            <w:vAlign w:val="bottom"/>
          </w:tcPr>
          <w:p w14:paraId="67E09BC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956" w:type="dxa"/>
            <w:vAlign w:val="bottom"/>
          </w:tcPr>
          <w:p w14:paraId="2EC5FD5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947" w:type="dxa"/>
            <w:vAlign w:val="bottom"/>
          </w:tcPr>
          <w:p w14:paraId="7C949B5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r>
      <w:tr w:rsidR="00BE2A7C" w14:paraId="6B8CE185"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1E7E4E13"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Ciudad Lineal</w:t>
            </w:r>
          </w:p>
        </w:tc>
        <w:tc>
          <w:tcPr>
            <w:tcW w:w="2133" w:type="dxa"/>
            <w:vAlign w:val="bottom"/>
          </w:tcPr>
          <w:p w14:paraId="6E85F4F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956" w:type="dxa"/>
            <w:vAlign w:val="bottom"/>
          </w:tcPr>
          <w:p w14:paraId="241354D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947" w:type="dxa"/>
            <w:vAlign w:val="bottom"/>
          </w:tcPr>
          <w:p w14:paraId="14AA7D1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r>
      <w:tr w:rsidR="00BE2A7C" w14:paraId="6D6D69E0"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16B49E2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Arganzuela</w:t>
            </w:r>
          </w:p>
        </w:tc>
        <w:tc>
          <w:tcPr>
            <w:tcW w:w="2133" w:type="dxa"/>
            <w:vAlign w:val="bottom"/>
          </w:tcPr>
          <w:p w14:paraId="2A25361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956" w:type="dxa"/>
            <w:vAlign w:val="bottom"/>
          </w:tcPr>
          <w:p w14:paraId="7098A8A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947" w:type="dxa"/>
            <w:vAlign w:val="bottom"/>
          </w:tcPr>
          <w:p w14:paraId="2B8A22F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r>
      <w:tr w:rsidR="00BE2A7C" w14:paraId="222BA91B"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19839D0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Tetuán</w:t>
            </w:r>
          </w:p>
        </w:tc>
        <w:tc>
          <w:tcPr>
            <w:tcW w:w="2133" w:type="dxa"/>
            <w:vAlign w:val="bottom"/>
          </w:tcPr>
          <w:p w14:paraId="692BE9A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956" w:type="dxa"/>
            <w:vAlign w:val="bottom"/>
          </w:tcPr>
          <w:p w14:paraId="54B0DE1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1947" w:type="dxa"/>
            <w:vAlign w:val="bottom"/>
          </w:tcPr>
          <w:p w14:paraId="20456B2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r>
      <w:tr w:rsidR="00BE2A7C" w14:paraId="02372091"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00033BAB"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Hortaleza</w:t>
            </w:r>
          </w:p>
        </w:tc>
        <w:tc>
          <w:tcPr>
            <w:tcW w:w="2133" w:type="dxa"/>
            <w:vAlign w:val="bottom"/>
          </w:tcPr>
          <w:p w14:paraId="1714ADD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956" w:type="dxa"/>
            <w:vAlign w:val="bottom"/>
          </w:tcPr>
          <w:p w14:paraId="0F5DFD1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947" w:type="dxa"/>
            <w:vAlign w:val="bottom"/>
          </w:tcPr>
          <w:p w14:paraId="23C2C61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4,6%</w:t>
            </w:r>
          </w:p>
        </w:tc>
      </w:tr>
      <w:tr w:rsidR="00BE2A7C" w14:paraId="3ADAA1A5"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17E9043A"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Moncloa - Aravaca</w:t>
            </w:r>
          </w:p>
        </w:tc>
        <w:tc>
          <w:tcPr>
            <w:tcW w:w="2133" w:type="dxa"/>
            <w:vAlign w:val="bottom"/>
          </w:tcPr>
          <w:p w14:paraId="6153E0F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956" w:type="dxa"/>
            <w:vAlign w:val="bottom"/>
          </w:tcPr>
          <w:p w14:paraId="69EABCF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947" w:type="dxa"/>
            <w:vAlign w:val="bottom"/>
          </w:tcPr>
          <w:p w14:paraId="6D60EFC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r>
      <w:tr w:rsidR="00BE2A7C" w14:paraId="7D6ABB30"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70780B6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Fuencarral - El Pardo</w:t>
            </w:r>
          </w:p>
        </w:tc>
        <w:tc>
          <w:tcPr>
            <w:tcW w:w="2133" w:type="dxa"/>
            <w:vAlign w:val="bottom"/>
          </w:tcPr>
          <w:p w14:paraId="4859A3A4" w14:textId="77777777" w:rsidR="00BE2A7C" w:rsidRDefault="00BE2A7C">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956" w:type="dxa"/>
            <w:vAlign w:val="bottom"/>
          </w:tcPr>
          <w:p w14:paraId="31E799E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947" w:type="dxa"/>
            <w:vAlign w:val="bottom"/>
          </w:tcPr>
          <w:p w14:paraId="1D0900A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4,3%</w:t>
            </w:r>
          </w:p>
        </w:tc>
      </w:tr>
      <w:tr w:rsidR="00BE2A7C" w14:paraId="3D0D963F"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029C2D4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Retiro</w:t>
            </w:r>
          </w:p>
        </w:tc>
        <w:tc>
          <w:tcPr>
            <w:tcW w:w="2133" w:type="dxa"/>
            <w:vAlign w:val="bottom"/>
          </w:tcPr>
          <w:p w14:paraId="3C82CF6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956" w:type="dxa"/>
            <w:vAlign w:val="bottom"/>
          </w:tcPr>
          <w:p w14:paraId="015B292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947" w:type="dxa"/>
            <w:vAlign w:val="bottom"/>
          </w:tcPr>
          <w:p w14:paraId="2147081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4,2%</w:t>
            </w:r>
          </w:p>
        </w:tc>
      </w:tr>
      <w:tr w:rsidR="00BE2A7C" w14:paraId="0B8F0BB6" w14:textId="77777777" w:rsidTr="00BE2A7C">
        <w:trPr>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4D49CFF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Chamartín</w:t>
            </w:r>
          </w:p>
        </w:tc>
        <w:tc>
          <w:tcPr>
            <w:tcW w:w="2133" w:type="dxa"/>
            <w:vAlign w:val="bottom"/>
          </w:tcPr>
          <w:p w14:paraId="23BBBCB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1956" w:type="dxa"/>
            <w:vAlign w:val="bottom"/>
          </w:tcPr>
          <w:p w14:paraId="7443F36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3,7%</w:t>
            </w:r>
          </w:p>
        </w:tc>
        <w:tc>
          <w:tcPr>
            <w:tcW w:w="1947" w:type="dxa"/>
            <w:vAlign w:val="bottom"/>
          </w:tcPr>
          <w:p w14:paraId="6DDE7DD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r>
      <w:tr w:rsidR="00BE2A7C" w14:paraId="1F6B45A9" w14:textId="77777777" w:rsidTr="00BE2A7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09C0EDC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Chamberí</w:t>
            </w:r>
          </w:p>
        </w:tc>
        <w:tc>
          <w:tcPr>
            <w:tcW w:w="2133" w:type="dxa"/>
            <w:vAlign w:val="bottom"/>
          </w:tcPr>
          <w:p w14:paraId="496FC38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956" w:type="dxa"/>
            <w:vAlign w:val="bottom"/>
          </w:tcPr>
          <w:p w14:paraId="5FAC63F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3,9%</w:t>
            </w:r>
          </w:p>
        </w:tc>
        <w:tc>
          <w:tcPr>
            <w:tcW w:w="1947" w:type="dxa"/>
            <w:vAlign w:val="bottom"/>
          </w:tcPr>
          <w:p w14:paraId="7383B95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r>
      <w:tr w:rsidR="00BE2A7C" w14:paraId="35077D75" w14:textId="77777777" w:rsidTr="00BE2A7C">
        <w:trPr>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715C1745"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Centro</w:t>
            </w:r>
          </w:p>
        </w:tc>
        <w:tc>
          <w:tcPr>
            <w:tcW w:w="2133" w:type="dxa"/>
            <w:vAlign w:val="bottom"/>
          </w:tcPr>
          <w:p w14:paraId="74F598B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956" w:type="dxa"/>
            <w:vAlign w:val="bottom"/>
          </w:tcPr>
          <w:p w14:paraId="0CF09EF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947" w:type="dxa"/>
            <w:vAlign w:val="bottom"/>
          </w:tcPr>
          <w:p w14:paraId="0610292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3,9%</w:t>
            </w:r>
          </w:p>
        </w:tc>
      </w:tr>
      <w:tr w:rsidR="00BE2A7C" w14:paraId="3D6D1AE9" w14:textId="77777777" w:rsidTr="00BE2A7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7B64C57F"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Barrio de Salamanca</w:t>
            </w:r>
          </w:p>
        </w:tc>
        <w:tc>
          <w:tcPr>
            <w:tcW w:w="2133" w:type="dxa"/>
            <w:vAlign w:val="bottom"/>
          </w:tcPr>
          <w:p w14:paraId="63F98AB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3,7%</w:t>
            </w:r>
          </w:p>
        </w:tc>
        <w:tc>
          <w:tcPr>
            <w:tcW w:w="1956" w:type="dxa"/>
            <w:vAlign w:val="bottom"/>
          </w:tcPr>
          <w:p w14:paraId="774BE97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3,5%</w:t>
            </w:r>
          </w:p>
        </w:tc>
        <w:tc>
          <w:tcPr>
            <w:tcW w:w="1947" w:type="dxa"/>
            <w:vAlign w:val="bottom"/>
          </w:tcPr>
          <w:p w14:paraId="3649848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3,2%</w:t>
            </w:r>
          </w:p>
        </w:tc>
      </w:tr>
      <w:tr w:rsidR="00BE2A7C" w14:paraId="41AE1773" w14:textId="77777777" w:rsidTr="00BE2A7C">
        <w:trPr>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1DAE3284"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Barajas</w:t>
            </w:r>
          </w:p>
        </w:tc>
        <w:tc>
          <w:tcPr>
            <w:tcW w:w="2133" w:type="dxa"/>
            <w:vAlign w:val="bottom"/>
          </w:tcPr>
          <w:p w14:paraId="3ED4AB9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56" w:type="dxa"/>
            <w:vAlign w:val="bottom"/>
          </w:tcPr>
          <w:p w14:paraId="7FC6F40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4,6%</w:t>
            </w:r>
          </w:p>
        </w:tc>
        <w:tc>
          <w:tcPr>
            <w:tcW w:w="1947" w:type="dxa"/>
          </w:tcPr>
          <w:p w14:paraId="0E8C914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r>
      <w:tr w:rsidR="00BE2A7C" w14:paraId="48C17CEF"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4EC67BA1"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Fuencarral</w:t>
            </w:r>
          </w:p>
        </w:tc>
        <w:tc>
          <w:tcPr>
            <w:tcW w:w="2133" w:type="dxa"/>
            <w:vAlign w:val="bottom"/>
          </w:tcPr>
          <w:p w14:paraId="2F81BC1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956" w:type="dxa"/>
          </w:tcPr>
          <w:p w14:paraId="1F186CD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47" w:type="dxa"/>
          </w:tcPr>
          <w:p w14:paraId="0714EC7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r>
      <w:tr w:rsidR="00BE2A7C" w14:paraId="0A618BB7" w14:textId="77777777" w:rsidTr="00BE2A7C">
        <w:trPr>
          <w:trHeight w:val="289"/>
        </w:trPr>
        <w:tc>
          <w:tcPr>
            <w:cnfStyle w:val="001000000000" w:firstRow="0" w:lastRow="0" w:firstColumn="1" w:lastColumn="0" w:oddVBand="0" w:evenVBand="0" w:oddHBand="0" w:evenHBand="0" w:firstRowFirstColumn="0" w:firstRowLastColumn="0" w:lastRowFirstColumn="0" w:lastRowLastColumn="0"/>
            <w:tcW w:w="2844" w:type="dxa"/>
            <w:vAlign w:val="bottom"/>
          </w:tcPr>
          <w:p w14:paraId="41E2AA86"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Moratalaz</w:t>
            </w:r>
          </w:p>
        </w:tc>
        <w:tc>
          <w:tcPr>
            <w:tcW w:w="2133" w:type="dxa"/>
            <w:vAlign w:val="bottom"/>
          </w:tcPr>
          <w:p w14:paraId="2FB4BE6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56" w:type="dxa"/>
            <w:vAlign w:val="bottom"/>
          </w:tcPr>
          <w:p w14:paraId="43F8781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947" w:type="dxa"/>
          </w:tcPr>
          <w:p w14:paraId="2E22DC1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r>
    </w:tbl>
    <w:p w14:paraId="5B39918B" w14:textId="77777777" w:rsidR="00BE2A7C" w:rsidRDefault="00BE2A7C">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p>
    <w:p w14:paraId="1315FA12" w14:textId="77777777" w:rsidR="00D46F7C" w:rsidRDefault="00D46F7C">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p>
    <w:p w14:paraId="4A9165D3"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lastRenderedPageBreak/>
        <w:t>Tabla 5. Rentabilidad de la vivienda por distritos de Barcelona en 2018, 2022 y 2023</w:t>
      </w:r>
    </w:p>
    <w:tbl>
      <w:tblPr>
        <w:tblStyle w:val="3"/>
        <w:tblW w:w="914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30"/>
        <w:gridCol w:w="2127"/>
        <w:gridCol w:w="2218"/>
        <w:gridCol w:w="1972"/>
      </w:tblGrid>
      <w:tr w:rsidR="00BE2A7C" w14:paraId="7985C168" w14:textId="77777777">
        <w:trPr>
          <w:trHeight w:val="559"/>
        </w:trPr>
        <w:tc>
          <w:tcPr>
            <w:tcW w:w="2830" w:type="dxa"/>
            <w:tcBorders>
              <w:top w:val="single" w:sz="4" w:space="0" w:color="FFFFFF"/>
              <w:left w:val="single" w:sz="4" w:space="0" w:color="FFFFFF"/>
              <w:right w:val="nil"/>
            </w:tcBorders>
            <w:shd w:val="clear" w:color="auto" w:fill="4472C4"/>
            <w:vAlign w:val="center"/>
          </w:tcPr>
          <w:p w14:paraId="46FC31CF"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Distritos de Barcelona</w:t>
            </w:r>
          </w:p>
        </w:tc>
        <w:tc>
          <w:tcPr>
            <w:tcW w:w="2127" w:type="dxa"/>
            <w:tcBorders>
              <w:top w:val="single" w:sz="4" w:space="0" w:color="FFFFFF"/>
              <w:left w:val="nil"/>
              <w:right w:val="nil"/>
            </w:tcBorders>
            <w:shd w:val="clear" w:color="auto" w:fill="4472C4"/>
          </w:tcPr>
          <w:p w14:paraId="540FAA17"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 xml:space="preserve">Rentabilidad </w:t>
            </w:r>
          </w:p>
          <w:p w14:paraId="77FD10AA"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2018 (5 años)</w:t>
            </w:r>
          </w:p>
        </w:tc>
        <w:tc>
          <w:tcPr>
            <w:tcW w:w="2218" w:type="dxa"/>
            <w:tcBorders>
              <w:top w:val="single" w:sz="4" w:space="0" w:color="FFFFFF"/>
              <w:left w:val="nil"/>
              <w:right w:val="nil"/>
            </w:tcBorders>
            <w:shd w:val="clear" w:color="auto" w:fill="4472C4"/>
          </w:tcPr>
          <w:p w14:paraId="42754191"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2761429A"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2022 (1 año)</w:t>
            </w:r>
          </w:p>
        </w:tc>
        <w:tc>
          <w:tcPr>
            <w:tcW w:w="1972" w:type="dxa"/>
            <w:tcBorders>
              <w:top w:val="single" w:sz="4" w:space="0" w:color="FFFFFF"/>
              <w:left w:val="nil"/>
              <w:right w:val="single" w:sz="4" w:space="0" w:color="FFFFFF"/>
            </w:tcBorders>
            <w:shd w:val="clear" w:color="auto" w:fill="4472C4"/>
          </w:tcPr>
          <w:p w14:paraId="5944C923" w14:textId="77777777" w:rsidR="00BE2A7C"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3EE53096" w14:textId="77777777" w:rsidR="00BE2A7C" w:rsidRDefault="00000000">
            <w:pPr>
              <w:pBdr>
                <w:top w:val="nil"/>
                <w:left w:val="nil"/>
                <w:bottom w:val="nil"/>
                <w:right w:val="nil"/>
                <w:between w:val="nil"/>
              </w:pBdr>
              <w:jc w:val="center"/>
              <w:rPr>
                <w:rFonts w:ascii="Open Sans" w:eastAsia="Open Sans" w:hAnsi="Open Sans" w:cs="Open Sans"/>
                <w:i/>
                <w:color w:val="FFFFFF"/>
                <w:sz w:val="22"/>
                <w:szCs w:val="22"/>
              </w:rPr>
            </w:pPr>
            <w:r>
              <w:rPr>
                <w:rFonts w:ascii="Open Sans" w:eastAsia="Open Sans" w:hAnsi="Open Sans" w:cs="Open Sans"/>
                <w:color w:val="FFFFFF"/>
                <w:sz w:val="22"/>
                <w:szCs w:val="22"/>
              </w:rPr>
              <w:t>2023</w:t>
            </w:r>
          </w:p>
        </w:tc>
      </w:tr>
      <w:tr w:rsidR="00BE2A7C" w14:paraId="1CDF428D" w14:textId="77777777">
        <w:trPr>
          <w:trHeight w:val="279"/>
        </w:trPr>
        <w:tc>
          <w:tcPr>
            <w:tcW w:w="2830" w:type="dxa"/>
            <w:tcBorders>
              <w:left w:val="single" w:sz="4" w:space="0" w:color="FFFFFF"/>
            </w:tcBorders>
            <w:shd w:val="clear" w:color="auto" w:fill="4472C4"/>
            <w:vAlign w:val="bottom"/>
          </w:tcPr>
          <w:p w14:paraId="1B59A799"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 xml:space="preserve">Nou </w:t>
            </w:r>
            <w:proofErr w:type="spellStart"/>
            <w:r>
              <w:rPr>
                <w:rFonts w:ascii="Open Sans" w:eastAsia="Open Sans" w:hAnsi="Open Sans" w:cs="Open Sans"/>
                <w:color w:val="FFFFFF"/>
                <w:sz w:val="22"/>
                <w:szCs w:val="22"/>
              </w:rPr>
              <w:t>Barris</w:t>
            </w:r>
            <w:proofErr w:type="spellEnd"/>
          </w:p>
        </w:tc>
        <w:tc>
          <w:tcPr>
            <w:tcW w:w="2127" w:type="dxa"/>
            <w:shd w:val="clear" w:color="auto" w:fill="B4C6E7"/>
            <w:vAlign w:val="bottom"/>
          </w:tcPr>
          <w:p w14:paraId="597F52F3"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2218" w:type="dxa"/>
            <w:shd w:val="clear" w:color="auto" w:fill="B4C6E7"/>
            <w:vAlign w:val="bottom"/>
          </w:tcPr>
          <w:p w14:paraId="049E213A"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6,5%</w:t>
            </w:r>
          </w:p>
        </w:tc>
        <w:tc>
          <w:tcPr>
            <w:tcW w:w="1972" w:type="dxa"/>
            <w:shd w:val="clear" w:color="auto" w:fill="B4C6E7"/>
            <w:vAlign w:val="bottom"/>
          </w:tcPr>
          <w:p w14:paraId="416D6598"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7,7%</w:t>
            </w:r>
          </w:p>
        </w:tc>
      </w:tr>
      <w:tr w:rsidR="00BE2A7C" w14:paraId="22DFD743" w14:textId="77777777">
        <w:trPr>
          <w:trHeight w:val="279"/>
        </w:trPr>
        <w:tc>
          <w:tcPr>
            <w:tcW w:w="2830" w:type="dxa"/>
            <w:tcBorders>
              <w:left w:val="single" w:sz="4" w:space="0" w:color="FFFFFF"/>
            </w:tcBorders>
            <w:shd w:val="clear" w:color="auto" w:fill="4472C4"/>
            <w:vAlign w:val="bottom"/>
          </w:tcPr>
          <w:p w14:paraId="3C08D5E4"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Sants - Montjuïc</w:t>
            </w:r>
          </w:p>
        </w:tc>
        <w:tc>
          <w:tcPr>
            <w:tcW w:w="2127" w:type="dxa"/>
            <w:shd w:val="clear" w:color="auto" w:fill="D9E2F3"/>
            <w:vAlign w:val="bottom"/>
          </w:tcPr>
          <w:p w14:paraId="3A026E49"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2218" w:type="dxa"/>
            <w:shd w:val="clear" w:color="auto" w:fill="D9E2F3"/>
            <w:vAlign w:val="bottom"/>
          </w:tcPr>
          <w:p w14:paraId="0A4DB3ED"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1972" w:type="dxa"/>
            <w:shd w:val="clear" w:color="auto" w:fill="D9E2F3"/>
            <w:vAlign w:val="bottom"/>
          </w:tcPr>
          <w:p w14:paraId="61FC308F"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6,8%</w:t>
            </w:r>
          </w:p>
        </w:tc>
      </w:tr>
      <w:tr w:rsidR="00BE2A7C" w14:paraId="70AB1EE2" w14:textId="77777777">
        <w:trPr>
          <w:trHeight w:val="294"/>
        </w:trPr>
        <w:tc>
          <w:tcPr>
            <w:tcW w:w="2830" w:type="dxa"/>
            <w:tcBorders>
              <w:left w:val="single" w:sz="4" w:space="0" w:color="FFFFFF"/>
            </w:tcBorders>
            <w:shd w:val="clear" w:color="auto" w:fill="4472C4"/>
            <w:vAlign w:val="bottom"/>
          </w:tcPr>
          <w:p w14:paraId="0051DBBE"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Sant Martí</w:t>
            </w:r>
          </w:p>
        </w:tc>
        <w:tc>
          <w:tcPr>
            <w:tcW w:w="2127" w:type="dxa"/>
            <w:shd w:val="clear" w:color="auto" w:fill="B4C6E7"/>
            <w:vAlign w:val="bottom"/>
          </w:tcPr>
          <w:p w14:paraId="5F67B68D"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2218" w:type="dxa"/>
            <w:shd w:val="clear" w:color="auto" w:fill="B4C6E7"/>
            <w:vAlign w:val="bottom"/>
          </w:tcPr>
          <w:p w14:paraId="28D337B6"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6,2%</w:t>
            </w:r>
          </w:p>
        </w:tc>
        <w:tc>
          <w:tcPr>
            <w:tcW w:w="1972" w:type="dxa"/>
            <w:shd w:val="clear" w:color="auto" w:fill="B4C6E7"/>
            <w:vAlign w:val="bottom"/>
          </w:tcPr>
          <w:p w14:paraId="4A0D05FA"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BE2A7C" w14:paraId="1D2B4905" w14:textId="77777777">
        <w:trPr>
          <w:trHeight w:val="279"/>
        </w:trPr>
        <w:tc>
          <w:tcPr>
            <w:tcW w:w="2830" w:type="dxa"/>
            <w:tcBorders>
              <w:left w:val="single" w:sz="4" w:space="0" w:color="FFFFFF"/>
            </w:tcBorders>
            <w:shd w:val="clear" w:color="auto" w:fill="4472C4"/>
            <w:vAlign w:val="bottom"/>
          </w:tcPr>
          <w:p w14:paraId="6FCCC6D9"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Sant Andreu</w:t>
            </w:r>
          </w:p>
        </w:tc>
        <w:tc>
          <w:tcPr>
            <w:tcW w:w="2127" w:type="dxa"/>
            <w:shd w:val="clear" w:color="auto" w:fill="D9E2F3"/>
            <w:vAlign w:val="bottom"/>
          </w:tcPr>
          <w:p w14:paraId="1DF571B0"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2218" w:type="dxa"/>
            <w:shd w:val="clear" w:color="auto" w:fill="D9E2F3"/>
            <w:vAlign w:val="bottom"/>
          </w:tcPr>
          <w:p w14:paraId="6C173458"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5,7%</w:t>
            </w:r>
          </w:p>
        </w:tc>
        <w:tc>
          <w:tcPr>
            <w:tcW w:w="1972" w:type="dxa"/>
            <w:shd w:val="clear" w:color="auto" w:fill="D9E2F3"/>
            <w:vAlign w:val="bottom"/>
          </w:tcPr>
          <w:p w14:paraId="513FF1C7"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6,2%</w:t>
            </w:r>
          </w:p>
        </w:tc>
      </w:tr>
      <w:tr w:rsidR="00BE2A7C" w14:paraId="082039A6" w14:textId="77777777">
        <w:trPr>
          <w:trHeight w:val="279"/>
        </w:trPr>
        <w:tc>
          <w:tcPr>
            <w:tcW w:w="2830" w:type="dxa"/>
            <w:tcBorders>
              <w:left w:val="single" w:sz="4" w:space="0" w:color="FFFFFF"/>
            </w:tcBorders>
            <w:shd w:val="clear" w:color="auto" w:fill="4472C4"/>
            <w:vAlign w:val="bottom"/>
          </w:tcPr>
          <w:p w14:paraId="209D039C"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Horta - Guinardó</w:t>
            </w:r>
          </w:p>
        </w:tc>
        <w:tc>
          <w:tcPr>
            <w:tcW w:w="2127" w:type="dxa"/>
            <w:shd w:val="clear" w:color="auto" w:fill="B4C6E7"/>
            <w:vAlign w:val="bottom"/>
          </w:tcPr>
          <w:p w14:paraId="42A03364"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2218" w:type="dxa"/>
            <w:shd w:val="clear" w:color="auto" w:fill="B4C6E7"/>
            <w:vAlign w:val="bottom"/>
          </w:tcPr>
          <w:p w14:paraId="16E05441"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6,0%</w:t>
            </w:r>
          </w:p>
        </w:tc>
        <w:tc>
          <w:tcPr>
            <w:tcW w:w="1972" w:type="dxa"/>
            <w:shd w:val="clear" w:color="auto" w:fill="B4C6E7"/>
            <w:vAlign w:val="bottom"/>
          </w:tcPr>
          <w:p w14:paraId="370CFBAF"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5,9%</w:t>
            </w:r>
          </w:p>
        </w:tc>
      </w:tr>
      <w:tr w:rsidR="00BE2A7C" w14:paraId="0B4EB516" w14:textId="77777777">
        <w:trPr>
          <w:trHeight w:val="279"/>
        </w:trPr>
        <w:tc>
          <w:tcPr>
            <w:tcW w:w="2830" w:type="dxa"/>
            <w:tcBorders>
              <w:left w:val="single" w:sz="4" w:space="0" w:color="FFFFFF"/>
            </w:tcBorders>
            <w:shd w:val="clear" w:color="auto" w:fill="4472C4"/>
            <w:vAlign w:val="bottom"/>
          </w:tcPr>
          <w:p w14:paraId="57505D4F" w14:textId="77777777" w:rsidR="00BE2A7C" w:rsidRDefault="00000000">
            <w:pPr>
              <w:rPr>
                <w:rFonts w:ascii="Open Sans" w:eastAsia="Open Sans" w:hAnsi="Open Sans" w:cs="Open Sans"/>
                <w:color w:val="FFFFFF"/>
                <w:sz w:val="22"/>
                <w:szCs w:val="22"/>
              </w:rPr>
            </w:pPr>
            <w:proofErr w:type="spellStart"/>
            <w:r>
              <w:rPr>
                <w:rFonts w:ascii="Open Sans" w:eastAsia="Open Sans" w:hAnsi="Open Sans" w:cs="Open Sans"/>
                <w:color w:val="FFFFFF"/>
                <w:sz w:val="22"/>
                <w:szCs w:val="22"/>
              </w:rPr>
              <w:t>Ciutat</w:t>
            </w:r>
            <w:proofErr w:type="spellEnd"/>
            <w:r>
              <w:rPr>
                <w:rFonts w:ascii="Open Sans" w:eastAsia="Open Sans" w:hAnsi="Open Sans" w:cs="Open Sans"/>
                <w:color w:val="FFFFFF"/>
                <w:sz w:val="22"/>
                <w:szCs w:val="22"/>
              </w:rPr>
              <w:t xml:space="preserve"> Vella</w:t>
            </w:r>
          </w:p>
        </w:tc>
        <w:tc>
          <w:tcPr>
            <w:tcW w:w="2127" w:type="dxa"/>
            <w:shd w:val="clear" w:color="auto" w:fill="D9E2F3"/>
            <w:vAlign w:val="bottom"/>
          </w:tcPr>
          <w:p w14:paraId="41188EE5"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2218" w:type="dxa"/>
            <w:shd w:val="clear" w:color="auto" w:fill="D9E2F3"/>
            <w:vAlign w:val="bottom"/>
          </w:tcPr>
          <w:p w14:paraId="662EAFF2"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5,6%</w:t>
            </w:r>
          </w:p>
        </w:tc>
        <w:tc>
          <w:tcPr>
            <w:tcW w:w="1972" w:type="dxa"/>
            <w:shd w:val="clear" w:color="auto" w:fill="D9E2F3"/>
            <w:vAlign w:val="bottom"/>
          </w:tcPr>
          <w:p w14:paraId="2820BF11"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5,6%</w:t>
            </w:r>
          </w:p>
        </w:tc>
      </w:tr>
      <w:tr w:rsidR="00BE2A7C" w14:paraId="1B617899" w14:textId="77777777">
        <w:trPr>
          <w:trHeight w:val="279"/>
        </w:trPr>
        <w:tc>
          <w:tcPr>
            <w:tcW w:w="2830" w:type="dxa"/>
            <w:tcBorders>
              <w:left w:val="single" w:sz="4" w:space="0" w:color="FFFFFF"/>
            </w:tcBorders>
            <w:shd w:val="clear" w:color="auto" w:fill="4472C4"/>
            <w:vAlign w:val="bottom"/>
          </w:tcPr>
          <w:p w14:paraId="6585D286"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Gràcia</w:t>
            </w:r>
          </w:p>
        </w:tc>
        <w:tc>
          <w:tcPr>
            <w:tcW w:w="2127" w:type="dxa"/>
            <w:shd w:val="clear" w:color="auto" w:fill="B4C6E7"/>
            <w:vAlign w:val="bottom"/>
          </w:tcPr>
          <w:p w14:paraId="59EA4E19"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2218" w:type="dxa"/>
            <w:shd w:val="clear" w:color="auto" w:fill="B4C6E7"/>
            <w:vAlign w:val="bottom"/>
          </w:tcPr>
          <w:p w14:paraId="0CC2F2BF"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972" w:type="dxa"/>
            <w:shd w:val="clear" w:color="auto" w:fill="B4C6E7"/>
            <w:vAlign w:val="bottom"/>
          </w:tcPr>
          <w:p w14:paraId="2DE73ED0"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4,9%</w:t>
            </w:r>
          </w:p>
        </w:tc>
      </w:tr>
      <w:tr w:rsidR="00BE2A7C" w14:paraId="43C80DD8" w14:textId="77777777">
        <w:trPr>
          <w:trHeight w:val="279"/>
        </w:trPr>
        <w:tc>
          <w:tcPr>
            <w:tcW w:w="2830" w:type="dxa"/>
            <w:tcBorders>
              <w:left w:val="single" w:sz="4" w:space="0" w:color="FFFFFF"/>
            </w:tcBorders>
            <w:shd w:val="clear" w:color="auto" w:fill="4472C4"/>
            <w:vAlign w:val="bottom"/>
          </w:tcPr>
          <w:p w14:paraId="055C408E"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Les Corts</w:t>
            </w:r>
          </w:p>
        </w:tc>
        <w:tc>
          <w:tcPr>
            <w:tcW w:w="2127" w:type="dxa"/>
            <w:shd w:val="clear" w:color="auto" w:fill="D9E2F3"/>
            <w:vAlign w:val="bottom"/>
          </w:tcPr>
          <w:p w14:paraId="3F253930"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2218" w:type="dxa"/>
            <w:shd w:val="clear" w:color="auto" w:fill="D9E2F3"/>
            <w:vAlign w:val="bottom"/>
          </w:tcPr>
          <w:p w14:paraId="120FC9B8"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972" w:type="dxa"/>
            <w:shd w:val="clear" w:color="auto" w:fill="D9E2F3"/>
            <w:vAlign w:val="bottom"/>
          </w:tcPr>
          <w:p w14:paraId="02BA652C"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4,8%</w:t>
            </w:r>
          </w:p>
        </w:tc>
      </w:tr>
      <w:tr w:rsidR="00BE2A7C" w14:paraId="1A4C26CB" w14:textId="77777777">
        <w:trPr>
          <w:trHeight w:val="294"/>
        </w:trPr>
        <w:tc>
          <w:tcPr>
            <w:tcW w:w="2830" w:type="dxa"/>
            <w:tcBorders>
              <w:left w:val="single" w:sz="4" w:space="0" w:color="FFFFFF"/>
            </w:tcBorders>
            <w:shd w:val="clear" w:color="auto" w:fill="4472C4"/>
            <w:vAlign w:val="bottom"/>
          </w:tcPr>
          <w:p w14:paraId="6CC7EE89"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Eixample</w:t>
            </w:r>
          </w:p>
        </w:tc>
        <w:tc>
          <w:tcPr>
            <w:tcW w:w="2127" w:type="dxa"/>
            <w:shd w:val="clear" w:color="auto" w:fill="B4C6E7"/>
            <w:vAlign w:val="bottom"/>
          </w:tcPr>
          <w:p w14:paraId="4D16F129"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2218" w:type="dxa"/>
            <w:shd w:val="clear" w:color="auto" w:fill="B4C6E7"/>
            <w:vAlign w:val="bottom"/>
          </w:tcPr>
          <w:p w14:paraId="042E813F"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972" w:type="dxa"/>
            <w:shd w:val="clear" w:color="auto" w:fill="B4C6E7"/>
            <w:vAlign w:val="bottom"/>
          </w:tcPr>
          <w:p w14:paraId="07210F14"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4,6%</w:t>
            </w:r>
          </w:p>
        </w:tc>
      </w:tr>
      <w:tr w:rsidR="00BE2A7C" w14:paraId="6A94807B" w14:textId="77777777">
        <w:trPr>
          <w:trHeight w:val="279"/>
        </w:trPr>
        <w:tc>
          <w:tcPr>
            <w:tcW w:w="2830" w:type="dxa"/>
            <w:tcBorders>
              <w:left w:val="single" w:sz="4" w:space="0" w:color="FFFFFF"/>
              <w:bottom w:val="single" w:sz="4" w:space="0" w:color="FFFFFF"/>
            </w:tcBorders>
            <w:shd w:val="clear" w:color="auto" w:fill="4472C4"/>
            <w:vAlign w:val="bottom"/>
          </w:tcPr>
          <w:p w14:paraId="7678F9E2" w14:textId="77777777" w:rsidR="00BE2A7C"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Sarrià - Sant Gervasi</w:t>
            </w:r>
          </w:p>
        </w:tc>
        <w:tc>
          <w:tcPr>
            <w:tcW w:w="2127" w:type="dxa"/>
            <w:shd w:val="clear" w:color="auto" w:fill="D9E2F3"/>
            <w:vAlign w:val="bottom"/>
          </w:tcPr>
          <w:p w14:paraId="1A173F87"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2218" w:type="dxa"/>
            <w:shd w:val="clear" w:color="auto" w:fill="D9E2F3"/>
            <w:vAlign w:val="bottom"/>
          </w:tcPr>
          <w:p w14:paraId="08ECCB3A"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972" w:type="dxa"/>
            <w:shd w:val="clear" w:color="auto" w:fill="D9E2F3"/>
            <w:vAlign w:val="bottom"/>
          </w:tcPr>
          <w:p w14:paraId="7F3D37D9" w14:textId="77777777" w:rsidR="00BE2A7C"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4,2%</w:t>
            </w:r>
          </w:p>
        </w:tc>
      </w:tr>
    </w:tbl>
    <w:p w14:paraId="5E11EA3D" w14:textId="77777777" w:rsidR="00BE2A7C" w:rsidRDefault="00BE2A7C">
      <w:pPr>
        <w:spacing w:line="276" w:lineRule="auto"/>
        <w:ind w:right="-574"/>
        <w:jc w:val="right"/>
        <w:rPr>
          <w:rFonts w:ascii="Open Sans Light" w:eastAsia="Open Sans Light" w:hAnsi="Open Sans Light" w:cs="Open Sans Light"/>
          <w:b/>
          <w:color w:val="303AB2"/>
        </w:rPr>
      </w:pPr>
    </w:p>
    <w:p w14:paraId="70541427"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6. Rentabilidad de la vivienda por barrios de Madrid en 2018, 2022 y 2023</w:t>
      </w:r>
    </w:p>
    <w:tbl>
      <w:tblPr>
        <w:tblStyle w:val="2"/>
        <w:tblpPr w:leftFromText="141" w:rightFromText="141" w:vertAnchor="text" w:tblpY="40"/>
        <w:tblW w:w="920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44"/>
        <w:gridCol w:w="2133"/>
        <w:gridCol w:w="1956"/>
        <w:gridCol w:w="2276"/>
      </w:tblGrid>
      <w:tr w:rsidR="00BE2A7C" w14:paraId="14D2AAF0" w14:textId="77777777" w:rsidTr="00BE2A7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44" w:type="dxa"/>
          </w:tcPr>
          <w:p w14:paraId="64960EE2"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Distritos de Madrid</w:t>
            </w:r>
          </w:p>
        </w:tc>
        <w:tc>
          <w:tcPr>
            <w:tcW w:w="2133" w:type="dxa"/>
          </w:tcPr>
          <w:p w14:paraId="6BC5D189"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 xml:space="preserve">Rentabilidad </w:t>
            </w:r>
          </w:p>
          <w:p w14:paraId="1F046204"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2018 (5 años)</w:t>
            </w:r>
          </w:p>
        </w:tc>
        <w:tc>
          <w:tcPr>
            <w:tcW w:w="1956" w:type="dxa"/>
          </w:tcPr>
          <w:p w14:paraId="06310701"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21E652C9"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2022 (1 año)</w:t>
            </w:r>
          </w:p>
        </w:tc>
        <w:tc>
          <w:tcPr>
            <w:tcW w:w="2276" w:type="dxa"/>
          </w:tcPr>
          <w:p w14:paraId="1C029CF3"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2B4BC509"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color w:val="000000"/>
                <w:sz w:val="22"/>
                <w:szCs w:val="22"/>
              </w:rPr>
            </w:pPr>
            <w:r>
              <w:rPr>
                <w:rFonts w:ascii="Open Sans" w:eastAsia="Open Sans" w:hAnsi="Open Sans" w:cs="Open Sans"/>
                <w:b w:val="0"/>
                <w:color w:val="000000"/>
                <w:sz w:val="22"/>
                <w:szCs w:val="22"/>
              </w:rPr>
              <w:t>2023</w:t>
            </w:r>
          </w:p>
        </w:tc>
      </w:tr>
      <w:tr w:rsidR="00BE2A7C" w14:paraId="3B96AC41" w14:textId="77777777" w:rsidTr="00BE2A7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tcPr>
          <w:p w14:paraId="70F4634B" w14:textId="77777777" w:rsidR="00BE2A7C" w:rsidRDefault="00000000">
            <w:pPr>
              <w:rPr>
                <w:rFonts w:ascii="Open Sans" w:eastAsia="Open Sans" w:hAnsi="Open Sans" w:cs="Open Sans"/>
                <w:sz w:val="22"/>
                <w:szCs w:val="22"/>
              </w:rPr>
            </w:pPr>
            <w:r>
              <w:rPr>
                <w:rFonts w:ascii="Open Sans" w:eastAsia="Open Sans" w:hAnsi="Open Sans" w:cs="Open Sans"/>
                <w:b w:val="0"/>
              </w:rPr>
              <w:t>Embajadores - Lavapiés</w:t>
            </w:r>
          </w:p>
        </w:tc>
        <w:tc>
          <w:tcPr>
            <w:tcW w:w="2133" w:type="dxa"/>
            <w:vAlign w:val="bottom"/>
          </w:tcPr>
          <w:p w14:paraId="6A92379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956" w:type="dxa"/>
            <w:vAlign w:val="bottom"/>
          </w:tcPr>
          <w:p w14:paraId="066BAC1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c>
          <w:tcPr>
            <w:tcW w:w="2276" w:type="dxa"/>
            <w:vAlign w:val="bottom"/>
          </w:tcPr>
          <w:p w14:paraId="6BB5E17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r>
      <w:tr w:rsidR="00BE2A7C" w14:paraId="4A28008D" w14:textId="77777777" w:rsidTr="00BE2A7C">
        <w:trPr>
          <w:trHeight w:val="289"/>
        </w:trPr>
        <w:tc>
          <w:tcPr>
            <w:cnfStyle w:val="001000000000" w:firstRow="0" w:lastRow="0" w:firstColumn="1" w:lastColumn="0" w:oddVBand="0" w:evenVBand="0" w:oddHBand="0" w:evenHBand="0" w:firstRowFirstColumn="0" w:firstRowLastColumn="0" w:lastRowFirstColumn="0" w:lastRowLastColumn="0"/>
            <w:tcW w:w="2844" w:type="dxa"/>
          </w:tcPr>
          <w:p w14:paraId="1E5B0B5D" w14:textId="77777777" w:rsidR="00BE2A7C" w:rsidRDefault="00000000">
            <w:pPr>
              <w:rPr>
                <w:rFonts w:ascii="Open Sans" w:eastAsia="Open Sans" w:hAnsi="Open Sans" w:cs="Open Sans"/>
                <w:sz w:val="22"/>
                <w:szCs w:val="22"/>
              </w:rPr>
            </w:pPr>
            <w:r>
              <w:rPr>
                <w:rFonts w:ascii="Open Sans" w:eastAsia="Open Sans" w:hAnsi="Open Sans" w:cs="Open Sans"/>
                <w:b w:val="0"/>
              </w:rPr>
              <w:t>Guindalera</w:t>
            </w:r>
          </w:p>
        </w:tc>
        <w:tc>
          <w:tcPr>
            <w:tcW w:w="2133" w:type="dxa"/>
            <w:vAlign w:val="bottom"/>
          </w:tcPr>
          <w:p w14:paraId="25CFA8C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956" w:type="dxa"/>
            <w:vAlign w:val="bottom"/>
          </w:tcPr>
          <w:p w14:paraId="2A8ACAC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2276" w:type="dxa"/>
            <w:vAlign w:val="bottom"/>
          </w:tcPr>
          <w:p w14:paraId="299166F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r>
      <w:tr w:rsidR="00BE2A7C" w14:paraId="22ABDADD" w14:textId="77777777" w:rsidTr="00BE2A7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tcPr>
          <w:p w14:paraId="7BA9ED7F" w14:textId="77777777" w:rsidR="00BE2A7C" w:rsidRDefault="00000000">
            <w:pPr>
              <w:rPr>
                <w:rFonts w:ascii="Open Sans" w:eastAsia="Open Sans" w:hAnsi="Open Sans" w:cs="Open Sans"/>
                <w:sz w:val="22"/>
                <w:szCs w:val="22"/>
              </w:rPr>
            </w:pPr>
            <w:r>
              <w:rPr>
                <w:rFonts w:ascii="Open Sans" w:eastAsia="Open Sans" w:hAnsi="Open Sans" w:cs="Open Sans"/>
                <w:b w:val="0"/>
              </w:rPr>
              <w:t>Palacio</w:t>
            </w:r>
          </w:p>
        </w:tc>
        <w:tc>
          <w:tcPr>
            <w:tcW w:w="2133" w:type="dxa"/>
            <w:vAlign w:val="bottom"/>
          </w:tcPr>
          <w:p w14:paraId="41091DE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956" w:type="dxa"/>
            <w:vAlign w:val="bottom"/>
          </w:tcPr>
          <w:p w14:paraId="15CC9E4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2276" w:type="dxa"/>
            <w:vAlign w:val="bottom"/>
          </w:tcPr>
          <w:p w14:paraId="65E1CE1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r>
      <w:tr w:rsidR="00BE2A7C" w14:paraId="1387865D" w14:textId="77777777" w:rsidTr="00BE2A7C">
        <w:trPr>
          <w:trHeight w:val="289"/>
        </w:trPr>
        <w:tc>
          <w:tcPr>
            <w:cnfStyle w:val="001000000000" w:firstRow="0" w:lastRow="0" w:firstColumn="1" w:lastColumn="0" w:oddVBand="0" w:evenVBand="0" w:oddHBand="0" w:evenHBand="0" w:firstRowFirstColumn="0" w:firstRowLastColumn="0" w:lastRowFirstColumn="0" w:lastRowLastColumn="0"/>
            <w:tcW w:w="2844" w:type="dxa"/>
          </w:tcPr>
          <w:p w14:paraId="35F824F4" w14:textId="77777777" w:rsidR="00BE2A7C" w:rsidRDefault="00000000">
            <w:pPr>
              <w:rPr>
                <w:rFonts w:ascii="Open Sans" w:eastAsia="Open Sans" w:hAnsi="Open Sans" w:cs="Open Sans"/>
                <w:sz w:val="22"/>
                <w:szCs w:val="22"/>
              </w:rPr>
            </w:pPr>
            <w:r>
              <w:rPr>
                <w:rFonts w:ascii="Open Sans" w:eastAsia="Open Sans" w:hAnsi="Open Sans" w:cs="Open Sans"/>
                <w:b w:val="0"/>
              </w:rPr>
              <w:t>Argüelles</w:t>
            </w:r>
          </w:p>
        </w:tc>
        <w:tc>
          <w:tcPr>
            <w:tcW w:w="2133" w:type="dxa"/>
            <w:vAlign w:val="bottom"/>
          </w:tcPr>
          <w:p w14:paraId="0BAE8839" w14:textId="77777777" w:rsidR="00BE2A7C" w:rsidRDefault="00BE2A7C">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956" w:type="dxa"/>
            <w:vAlign w:val="bottom"/>
          </w:tcPr>
          <w:p w14:paraId="41ACB58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2276" w:type="dxa"/>
            <w:vAlign w:val="bottom"/>
          </w:tcPr>
          <w:p w14:paraId="19BD703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r>
      <w:tr w:rsidR="00BE2A7C" w14:paraId="3E6FC97F"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513A6C16" w14:textId="77777777" w:rsidR="00BE2A7C" w:rsidRDefault="00000000">
            <w:pPr>
              <w:rPr>
                <w:rFonts w:ascii="Open Sans" w:eastAsia="Open Sans" w:hAnsi="Open Sans" w:cs="Open Sans"/>
                <w:sz w:val="22"/>
                <w:szCs w:val="22"/>
              </w:rPr>
            </w:pPr>
            <w:r>
              <w:rPr>
                <w:rFonts w:ascii="Open Sans" w:eastAsia="Open Sans" w:hAnsi="Open Sans" w:cs="Open Sans"/>
                <w:b w:val="0"/>
              </w:rPr>
              <w:t>Ríos Rosas - Nuevos Ministerios</w:t>
            </w:r>
          </w:p>
        </w:tc>
        <w:tc>
          <w:tcPr>
            <w:tcW w:w="2133" w:type="dxa"/>
            <w:vAlign w:val="bottom"/>
          </w:tcPr>
          <w:p w14:paraId="49515AB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956" w:type="dxa"/>
            <w:vAlign w:val="bottom"/>
          </w:tcPr>
          <w:p w14:paraId="5111E65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2276" w:type="dxa"/>
            <w:vAlign w:val="bottom"/>
          </w:tcPr>
          <w:p w14:paraId="36BE528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r>
      <w:tr w:rsidR="00BE2A7C" w14:paraId="7858BC96"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6191F489" w14:textId="77777777" w:rsidR="00BE2A7C" w:rsidRDefault="00000000">
            <w:pPr>
              <w:rPr>
                <w:rFonts w:ascii="Open Sans" w:eastAsia="Open Sans" w:hAnsi="Open Sans" w:cs="Open Sans"/>
                <w:sz w:val="22"/>
                <w:szCs w:val="22"/>
              </w:rPr>
            </w:pPr>
            <w:r>
              <w:rPr>
                <w:rFonts w:ascii="Open Sans" w:eastAsia="Open Sans" w:hAnsi="Open Sans" w:cs="Open Sans"/>
                <w:b w:val="0"/>
              </w:rPr>
              <w:t>El Viso</w:t>
            </w:r>
          </w:p>
        </w:tc>
        <w:tc>
          <w:tcPr>
            <w:tcW w:w="2133" w:type="dxa"/>
            <w:vAlign w:val="bottom"/>
          </w:tcPr>
          <w:p w14:paraId="375F1F1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3,4%</w:t>
            </w:r>
          </w:p>
        </w:tc>
        <w:tc>
          <w:tcPr>
            <w:tcW w:w="1956" w:type="dxa"/>
            <w:vAlign w:val="bottom"/>
          </w:tcPr>
          <w:p w14:paraId="5738575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3,3%</w:t>
            </w:r>
          </w:p>
        </w:tc>
        <w:tc>
          <w:tcPr>
            <w:tcW w:w="2276" w:type="dxa"/>
            <w:vAlign w:val="bottom"/>
          </w:tcPr>
          <w:p w14:paraId="277CC32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r>
      <w:tr w:rsidR="00BE2A7C" w14:paraId="11BBB8D6"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7F47B083" w14:textId="77777777" w:rsidR="00BE2A7C" w:rsidRDefault="00000000">
            <w:pPr>
              <w:rPr>
                <w:rFonts w:ascii="Open Sans" w:eastAsia="Open Sans" w:hAnsi="Open Sans" w:cs="Open Sans"/>
                <w:sz w:val="22"/>
                <w:szCs w:val="22"/>
              </w:rPr>
            </w:pPr>
            <w:r>
              <w:rPr>
                <w:rFonts w:ascii="Open Sans" w:eastAsia="Open Sans" w:hAnsi="Open Sans" w:cs="Open Sans"/>
                <w:b w:val="0"/>
              </w:rPr>
              <w:t>Hispanoamérica - Bernabéu</w:t>
            </w:r>
          </w:p>
        </w:tc>
        <w:tc>
          <w:tcPr>
            <w:tcW w:w="2133" w:type="dxa"/>
            <w:vAlign w:val="bottom"/>
          </w:tcPr>
          <w:p w14:paraId="7C4B92B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1956" w:type="dxa"/>
            <w:vAlign w:val="bottom"/>
          </w:tcPr>
          <w:p w14:paraId="7A4768F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2276" w:type="dxa"/>
            <w:vAlign w:val="bottom"/>
          </w:tcPr>
          <w:p w14:paraId="2091BAE5"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3,6%</w:t>
            </w:r>
          </w:p>
        </w:tc>
      </w:tr>
      <w:tr w:rsidR="00BE2A7C" w14:paraId="540D32A6"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69AEB4D1" w14:textId="77777777" w:rsidR="00BE2A7C" w:rsidRDefault="00000000">
            <w:pPr>
              <w:rPr>
                <w:rFonts w:ascii="Open Sans" w:eastAsia="Open Sans" w:hAnsi="Open Sans" w:cs="Open Sans"/>
                <w:sz w:val="22"/>
                <w:szCs w:val="22"/>
              </w:rPr>
            </w:pPr>
            <w:r>
              <w:rPr>
                <w:rFonts w:ascii="Open Sans" w:eastAsia="Open Sans" w:hAnsi="Open Sans" w:cs="Open Sans"/>
                <w:b w:val="0"/>
              </w:rPr>
              <w:t>Almagro</w:t>
            </w:r>
          </w:p>
        </w:tc>
        <w:tc>
          <w:tcPr>
            <w:tcW w:w="2133" w:type="dxa"/>
            <w:vAlign w:val="bottom"/>
          </w:tcPr>
          <w:p w14:paraId="6E5BB64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3,5%</w:t>
            </w:r>
          </w:p>
        </w:tc>
        <w:tc>
          <w:tcPr>
            <w:tcW w:w="1956" w:type="dxa"/>
            <w:vAlign w:val="bottom"/>
          </w:tcPr>
          <w:p w14:paraId="4F6CA16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3,6%</w:t>
            </w:r>
          </w:p>
        </w:tc>
        <w:tc>
          <w:tcPr>
            <w:tcW w:w="2276" w:type="dxa"/>
            <w:vAlign w:val="bottom"/>
          </w:tcPr>
          <w:p w14:paraId="1578BD9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3,6%</w:t>
            </w:r>
          </w:p>
        </w:tc>
      </w:tr>
      <w:tr w:rsidR="00BE2A7C" w14:paraId="3896F2C6"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195CF561" w14:textId="77777777" w:rsidR="00BE2A7C" w:rsidRDefault="00000000">
            <w:pPr>
              <w:rPr>
                <w:rFonts w:ascii="Open Sans" w:eastAsia="Open Sans" w:hAnsi="Open Sans" w:cs="Open Sans"/>
                <w:sz w:val="22"/>
                <w:szCs w:val="22"/>
              </w:rPr>
            </w:pPr>
            <w:r>
              <w:rPr>
                <w:rFonts w:ascii="Open Sans" w:eastAsia="Open Sans" w:hAnsi="Open Sans" w:cs="Open Sans"/>
                <w:b w:val="0"/>
              </w:rPr>
              <w:t>Universidad - Malasaña</w:t>
            </w:r>
          </w:p>
        </w:tc>
        <w:tc>
          <w:tcPr>
            <w:tcW w:w="2133" w:type="dxa"/>
            <w:vAlign w:val="bottom"/>
          </w:tcPr>
          <w:p w14:paraId="1E3E535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956" w:type="dxa"/>
            <w:vAlign w:val="bottom"/>
          </w:tcPr>
          <w:p w14:paraId="581121C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2276" w:type="dxa"/>
            <w:vAlign w:val="bottom"/>
          </w:tcPr>
          <w:p w14:paraId="2449A6F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3,6%</w:t>
            </w:r>
          </w:p>
        </w:tc>
      </w:tr>
      <w:tr w:rsidR="00BE2A7C" w14:paraId="15C06817"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11EC73BE" w14:textId="77777777" w:rsidR="00BE2A7C" w:rsidRDefault="00000000">
            <w:pPr>
              <w:rPr>
                <w:rFonts w:ascii="Open Sans" w:eastAsia="Open Sans" w:hAnsi="Open Sans" w:cs="Open Sans"/>
                <w:sz w:val="22"/>
                <w:szCs w:val="22"/>
              </w:rPr>
            </w:pPr>
            <w:r>
              <w:rPr>
                <w:rFonts w:ascii="Open Sans" w:eastAsia="Open Sans" w:hAnsi="Open Sans" w:cs="Open Sans"/>
                <w:b w:val="0"/>
              </w:rPr>
              <w:t>Sol</w:t>
            </w:r>
          </w:p>
        </w:tc>
        <w:tc>
          <w:tcPr>
            <w:tcW w:w="2133" w:type="dxa"/>
            <w:vAlign w:val="bottom"/>
          </w:tcPr>
          <w:p w14:paraId="3721036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956" w:type="dxa"/>
            <w:vAlign w:val="bottom"/>
          </w:tcPr>
          <w:p w14:paraId="088BABC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2276" w:type="dxa"/>
            <w:vAlign w:val="bottom"/>
          </w:tcPr>
          <w:p w14:paraId="7148ED3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3,5%</w:t>
            </w:r>
          </w:p>
        </w:tc>
      </w:tr>
      <w:tr w:rsidR="00BE2A7C" w14:paraId="3BA63511"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1165F46E" w14:textId="77777777" w:rsidR="00BE2A7C" w:rsidRDefault="00000000">
            <w:pPr>
              <w:rPr>
                <w:rFonts w:ascii="Open Sans" w:eastAsia="Open Sans" w:hAnsi="Open Sans" w:cs="Open Sans"/>
                <w:sz w:val="22"/>
                <w:szCs w:val="22"/>
              </w:rPr>
            </w:pPr>
            <w:r>
              <w:rPr>
                <w:rFonts w:ascii="Open Sans" w:eastAsia="Open Sans" w:hAnsi="Open Sans" w:cs="Open Sans"/>
                <w:b w:val="0"/>
              </w:rPr>
              <w:t>Justicia - Chueca</w:t>
            </w:r>
          </w:p>
        </w:tc>
        <w:tc>
          <w:tcPr>
            <w:tcW w:w="2133" w:type="dxa"/>
            <w:vAlign w:val="bottom"/>
          </w:tcPr>
          <w:p w14:paraId="0F5ECAA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956" w:type="dxa"/>
            <w:vAlign w:val="bottom"/>
          </w:tcPr>
          <w:p w14:paraId="4291F07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2276" w:type="dxa"/>
            <w:vAlign w:val="bottom"/>
          </w:tcPr>
          <w:p w14:paraId="73C3DA9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3,4%</w:t>
            </w:r>
          </w:p>
        </w:tc>
      </w:tr>
      <w:tr w:rsidR="00BE2A7C" w14:paraId="6DBCE2D0"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724E8F09" w14:textId="77777777" w:rsidR="00BE2A7C" w:rsidRDefault="00000000">
            <w:pPr>
              <w:rPr>
                <w:rFonts w:ascii="Open Sans" w:eastAsia="Open Sans" w:hAnsi="Open Sans" w:cs="Open Sans"/>
                <w:sz w:val="22"/>
                <w:szCs w:val="22"/>
              </w:rPr>
            </w:pPr>
            <w:r>
              <w:rPr>
                <w:rFonts w:ascii="Open Sans" w:eastAsia="Open Sans" w:hAnsi="Open Sans" w:cs="Open Sans"/>
                <w:b w:val="0"/>
              </w:rPr>
              <w:t>Goya</w:t>
            </w:r>
          </w:p>
        </w:tc>
        <w:tc>
          <w:tcPr>
            <w:tcW w:w="2133" w:type="dxa"/>
            <w:vAlign w:val="bottom"/>
          </w:tcPr>
          <w:p w14:paraId="4AD23F8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1956" w:type="dxa"/>
            <w:vAlign w:val="bottom"/>
          </w:tcPr>
          <w:p w14:paraId="7EDB462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3,3%</w:t>
            </w:r>
          </w:p>
        </w:tc>
        <w:tc>
          <w:tcPr>
            <w:tcW w:w="2276" w:type="dxa"/>
            <w:vAlign w:val="bottom"/>
          </w:tcPr>
          <w:p w14:paraId="3D1F1D8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3,4%</w:t>
            </w:r>
          </w:p>
        </w:tc>
      </w:tr>
      <w:tr w:rsidR="00BE2A7C" w14:paraId="6413A1DB"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025641CC" w14:textId="77777777" w:rsidR="00BE2A7C" w:rsidRDefault="00000000">
            <w:pPr>
              <w:rPr>
                <w:rFonts w:ascii="Open Sans" w:eastAsia="Open Sans" w:hAnsi="Open Sans" w:cs="Open Sans"/>
                <w:sz w:val="22"/>
                <w:szCs w:val="22"/>
              </w:rPr>
            </w:pPr>
            <w:r>
              <w:rPr>
                <w:rFonts w:ascii="Open Sans" w:eastAsia="Open Sans" w:hAnsi="Open Sans" w:cs="Open Sans"/>
                <w:b w:val="0"/>
              </w:rPr>
              <w:t>Lista</w:t>
            </w:r>
          </w:p>
        </w:tc>
        <w:tc>
          <w:tcPr>
            <w:tcW w:w="2133" w:type="dxa"/>
            <w:vAlign w:val="bottom"/>
          </w:tcPr>
          <w:p w14:paraId="4226E8E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1956" w:type="dxa"/>
            <w:vAlign w:val="bottom"/>
          </w:tcPr>
          <w:p w14:paraId="69C0DB4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3,6%</w:t>
            </w:r>
          </w:p>
        </w:tc>
        <w:tc>
          <w:tcPr>
            <w:tcW w:w="2276" w:type="dxa"/>
            <w:vAlign w:val="bottom"/>
          </w:tcPr>
          <w:p w14:paraId="26AA087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2,9%</w:t>
            </w:r>
          </w:p>
        </w:tc>
      </w:tr>
      <w:tr w:rsidR="00BE2A7C" w14:paraId="6031AB32" w14:textId="77777777" w:rsidTr="00BE2A7C">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60354C96" w14:textId="77777777" w:rsidR="00BE2A7C" w:rsidRDefault="00000000">
            <w:pPr>
              <w:rPr>
                <w:rFonts w:ascii="Open Sans" w:eastAsia="Open Sans" w:hAnsi="Open Sans" w:cs="Open Sans"/>
                <w:sz w:val="22"/>
                <w:szCs w:val="22"/>
              </w:rPr>
            </w:pPr>
            <w:r>
              <w:rPr>
                <w:rFonts w:ascii="Open Sans" w:eastAsia="Open Sans" w:hAnsi="Open Sans" w:cs="Open Sans"/>
                <w:b w:val="0"/>
              </w:rPr>
              <w:t>Recoletos</w:t>
            </w:r>
          </w:p>
        </w:tc>
        <w:tc>
          <w:tcPr>
            <w:tcW w:w="2133" w:type="dxa"/>
            <w:vAlign w:val="bottom"/>
          </w:tcPr>
          <w:p w14:paraId="77C8044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2,8%</w:t>
            </w:r>
          </w:p>
        </w:tc>
        <w:tc>
          <w:tcPr>
            <w:tcW w:w="1956" w:type="dxa"/>
            <w:vAlign w:val="bottom"/>
          </w:tcPr>
          <w:p w14:paraId="4F585C2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3,0%</w:t>
            </w:r>
          </w:p>
        </w:tc>
        <w:tc>
          <w:tcPr>
            <w:tcW w:w="2276" w:type="dxa"/>
            <w:vAlign w:val="bottom"/>
          </w:tcPr>
          <w:p w14:paraId="0BD4078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2,7%</w:t>
            </w:r>
          </w:p>
        </w:tc>
      </w:tr>
      <w:tr w:rsidR="00BE2A7C" w14:paraId="1EA4681B" w14:textId="77777777" w:rsidTr="00BE2A7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6C817F3E" w14:textId="77777777" w:rsidR="00BE2A7C" w:rsidRDefault="00000000">
            <w:pPr>
              <w:rPr>
                <w:rFonts w:ascii="Open Sans" w:eastAsia="Open Sans" w:hAnsi="Open Sans" w:cs="Open Sans"/>
                <w:sz w:val="22"/>
                <w:szCs w:val="22"/>
              </w:rPr>
            </w:pPr>
            <w:r>
              <w:rPr>
                <w:rFonts w:ascii="Open Sans" w:eastAsia="Open Sans" w:hAnsi="Open Sans" w:cs="Open Sans"/>
                <w:b w:val="0"/>
              </w:rPr>
              <w:t>Castellana</w:t>
            </w:r>
          </w:p>
        </w:tc>
        <w:tc>
          <w:tcPr>
            <w:tcW w:w="2133" w:type="dxa"/>
            <w:vAlign w:val="bottom"/>
          </w:tcPr>
          <w:p w14:paraId="3EFB64C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3,1%</w:t>
            </w:r>
          </w:p>
        </w:tc>
        <w:tc>
          <w:tcPr>
            <w:tcW w:w="1956" w:type="dxa"/>
            <w:vAlign w:val="bottom"/>
          </w:tcPr>
          <w:p w14:paraId="4D5739A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3,0%</w:t>
            </w:r>
          </w:p>
        </w:tc>
        <w:tc>
          <w:tcPr>
            <w:tcW w:w="2276" w:type="dxa"/>
            <w:vAlign w:val="bottom"/>
          </w:tcPr>
          <w:p w14:paraId="264ACCE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2,7%</w:t>
            </w:r>
          </w:p>
        </w:tc>
      </w:tr>
    </w:tbl>
    <w:p w14:paraId="243A9CA4" w14:textId="77777777" w:rsidR="00BE2A7C" w:rsidRDefault="00BE2A7C">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rPr>
      </w:pPr>
    </w:p>
    <w:p w14:paraId="774EA415" w14:textId="77777777" w:rsidR="00D46F7C" w:rsidRDefault="00D46F7C">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rPr>
      </w:pPr>
    </w:p>
    <w:p w14:paraId="77980855" w14:textId="77777777" w:rsidR="00BE2A7C"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lastRenderedPageBreak/>
        <w:t>Tabla 7. Rentabilidad de la vivienda por barrios de Barcelona en 2018, 2022 y 2023</w:t>
      </w:r>
    </w:p>
    <w:tbl>
      <w:tblPr>
        <w:tblStyle w:val="1"/>
        <w:tblpPr w:leftFromText="141" w:rightFromText="141" w:vertAnchor="text" w:tblpY="40"/>
        <w:tblW w:w="901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326"/>
        <w:gridCol w:w="1804"/>
        <w:gridCol w:w="1804"/>
        <w:gridCol w:w="2081"/>
      </w:tblGrid>
      <w:tr w:rsidR="00BE2A7C" w14:paraId="08C4DF20" w14:textId="77777777" w:rsidTr="00D46F7C">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326" w:type="dxa"/>
          </w:tcPr>
          <w:p w14:paraId="1E848D08" w14:textId="77777777" w:rsidR="00BE2A7C" w:rsidRDefault="00000000">
            <w:pPr>
              <w:rPr>
                <w:rFonts w:ascii="Open Sans" w:eastAsia="Open Sans" w:hAnsi="Open Sans" w:cs="Open Sans"/>
                <w:sz w:val="22"/>
                <w:szCs w:val="22"/>
              </w:rPr>
            </w:pPr>
            <w:r>
              <w:rPr>
                <w:rFonts w:ascii="Open Sans" w:eastAsia="Open Sans" w:hAnsi="Open Sans" w:cs="Open Sans"/>
                <w:b w:val="0"/>
                <w:sz w:val="22"/>
                <w:szCs w:val="22"/>
              </w:rPr>
              <w:t>Distritos de Madrid</w:t>
            </w:r>
          </w:p>
        </w:tc>
        <w:tc>
          <w:tcPr>
            <w:tcW w:w="1804" w:type="dxa"/>
          </w:tcPr>
          <w:p w14:paraId="5E2331F6"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 xml:space="preserve">Rentabilidad </w:t>
            </w:r>
          </w:p>
          <w:p w14:paraId="0740A434"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2018 (5 años)</w:t>
            </w:r>
          </w:p>
        </w:tc>
        <w:tc>
          <w:tcPr>
            <w:tcW w:w="1804" w:type="dxa"/>
          </w:tcPr>
          <w:p w14:paraId="55E81FB4"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45151ACD"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2022 (1 año)</w:t>
            </w:r>
          </w:p>
        </w:tc>
        <w:tc>
          <w:tcPr>
            <w:tcW w:w="2081" w:type="dxa"/>
          </w:tcPr>
          <w:p w14:paraId="55B1FF37"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2898CB88" w14:textId="77777777" w:rsidR="00BE2A7C"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color w:val="000000"/>
                <w:sz w:val="22"/>
                <w:szCs w:val="22"/>
              </w:rPr>
            </w:pPr>
            <w:r>
              <w:rPr>
                <w:rFonts w:ascii="Open Sans" w:eastAsia="Open Sans" w:hAnsi="Open Sans" w:cs="Open Sans"/>
                <w:b w:val="0"/>
                <w:color w:val="000000"/>
                <w:sz w:val="22"/>
                <w:szCs w:val="22"/>
              </w:rPr>
              <w:t>2023</w:t>
            </w:r>
          </w:p>
        </w:tc>
      </w:tr>
      <w:tr w:rsidR="00BE2A7C" w14:paraId="58B54945"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03B08361" w14:textId="77777777" w:rsidR="00BE2A7C" w:rsidRDefault="00000000">
            <w:pPr>
              <w:rPr>
                <w:rFonts w:ascii="Open Sans" w:eastAsia="Open Sans" w:hAnsi="Open Sans" w:cs="Open Sans"/>
                <w:sz w:val="22"/>
                <w:szCs w:val="22"/>
              </w:rPr>
            </w:pPr>
            <w:r>
              <w:rPr>
                <w:rFonts w:ascii="Open Sans" w:eastAsia="Open Sans" w:hAnsi="Open Sans" w:cs="Open Sans"/>
                <w:b w:val="0"/>
              </w:rPr>
              <w:t xml:space="preserve">El Poble </w:t>
            </w:r>
            <w:proofErr w:type="spellStart"/>
            <w:r>
              <w:rPr>
                <w:rFonts w:ascii="Open Sans" w:eastAsia="Open Sans" w:hAnsi="Open Sans" w:cs="Open Sans"/>
                <w:b w:val="0"/>
              </w:rPr>
              <w:t>Sec</w:t>
            </w:r>
            <w:proofErr w:type="spellEnd"/>
            <w:r>
              <w:rPr>
                <w:rFonts w:ascii="Open Sans" w:eastAsia="Open Sans" w:hAnsi="Open Sans" w:cs="Open Sans"/>
                <w:b w:val="0"/>
              </w:rPr>
              <w:t xml:space="preserve"> - </w:t>
            </w:r>
            <w:proofErr w:type="spellStart"/>
            <w:r>
              <w:rPr>
                <w:rFonts w:ascii="Open Sans" w:eastAsia="Open Sans" w:hAnsi="Open Sans" w:cs="Open Sans"/>
                <w:b w:val="0"/>
              </w:rPr>
              <w:t>Parc</w:t>
            </w:r>
            <w:proofErr w:type="spellEnd"/>
            <w:r>
              <w:rPr>
                <w:rFonts w:ascii="Open Sans" w:eastAsia="Open Sans" w:hAnsi="Open Sans" w:cs="Open Sans"/>
                <w:b w:val="0"/>
              </w:rPr>
              <w:t xml:space="preserve"> de Montjuïc</w:t>
            </w:r>
          </w:p>
        </w:tc>
        <w:tc>
          <w:tcPr>
            <w:tcW w:w="1804" w:type="dxa"/>
            <w:vAlign w:val="bottom"/>
          </w:tcPr>
          <w:p w14:paraId="25ACCEE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804" w:type="dxa"/>
            <w:vAlign w:val="bottom"/>
          </w:tcPr>
          <w:p w14:paraId="718AED6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7,4%</w:t>
            </w:r>
          </w:p>
        </w:tc>
        <w:tc>
          <w:tcPr>
            <w:tcW w:w="2081" w:type="dxa"/>
            <w:vAlign w:val="bottom"/>
          </w:tcPr>
          <w:p w14:paraId="79C3698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BE2A7C" w14:paraId="6DCAF9BA"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3DC8D06E" w14:textId="77777777" w:rsidR="00BE2A7C" w:rsidRDefault="00000000">
            <w:pPr>
              <w:rPr>
                <w:rFonts w:ascii="Open Sans" w:eastAsia="Open Sans" w:hAnsi="Open Sans" w:cs="Open Sans"/>
                <w:sz w:val="22"/>
                <w:szCs w:val="22"/>
              </w:rPr>
            </w:pPr>
            <w:r>
              <w:rPr>
                <w:rFonts w:ascii="Open Sans" w:eastAsia="Open Sans" w:hAnsi="Open Sans" w:cs="Open Sans"/>
                <w:b w:val="0"/>
              </w:rPr>
              <w:t>El Raval</w:t>
            </w:r>
          </w:p>
        </w:tc>
        <w:tc>
          <w:tcPr>
            <w:tcW w:w="1804" w:type="dxa"/>
            <w:vAlign w:val="bottom"/>
          </w:tcPr>
          <w:p w14:paraId="5BF0E92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804" w:type="dxa"/>
            <w:vAlign w:val="bottom"/>
          </w:tcPr>
          <w:p w14:paraId="442E155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c>
          <w:tcPr>
            <w:tcW w:w="2081" w:type="dxa"/>
            <w:vAlign w:val="bottom"/>
          </w:tcPr>
          <w:p w14:paraId="36F4F0E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BE2A7C" w14:paraId="0209A742"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1EDB41AB" w14:textId="77777777" w:rsidR="00BE2A7C" w:rsidRDefault="00000000">
            <w:pPr>
              <w:rPr>
                <w:rFonts w:ascii="Open Sans" w:eastAsia="Open Sans" w:hAnsi="Open Sans" w:cs="Open Sans"/>
                <w:sz w:val="22"/>
                <w:szCs w:val="22"/>
              </w:rPr>
            </w:pPr>
            <w:r>
              <w:rPr>
                <w:rFonts w:ascii="Open Sans" w:eastAsia="Open Sans" w:hAnsi="Open Sans" w:cs="Open Sans"/>
                <w:b w:val="0"/>
              </w:rPr>
              <w:t xml:space="preserve">El Camp de </w:t>
            </w:r>
            <w:proofErr w:type="spellStart"/>
            <w:r>
              <w:rPr>
                <w:rFonts w:ascii="Open Sans" w:eastAsia="Open Sans" w:hAnsi="Open Sans" w:cs="Open Sans"/>
                <w:b w:val="0"/>
              </w:rPr>
              <w:t>l'Arpa</w:t>
            </w:r>
            <w:proofErr w:type="spellEnd"/>
            <w:r>
              <w:rPr>
                <w:rFonts w:ascii="Open Sans" w:eastAsia="Open Sans" w:hAnsi="Open Sans" w:cs="Open Sans"/>
                <w:b w:val="0"/>
              </w:rPr>
              <w:t xml:space="preserve"> del Clot</w:t>
            </w:r>
          </w:p>
        </w:tc>
        <w:tc>
          <w:tcPr>
            <w:tcW w:w="1804" w:type="dxa"/>
            <w:vAlign w:val="bottom"/>
          </w:tcPr>
          <w:p w14:paraId="5C730294"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804" w:type="dxa"/>
            <w:vAlign w:val="bottom"/>
          </w:tcPr>
          <w:p w14:paraId="4336D03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2081" w:type="dxa"/>
            <w:vAlign w:val="bottom"/>
          </w:tcPr>
          <w:p w14:paraId="28DEAFC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BE2A7C" w14:paraId="4F0E988F"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4762332B" w14:textId="77777777" w:rsidR="00BE2A7C" w:rsidRDefault="00000000">
            <w:pPr>
              <w:rPr>
                <w:rFonts w:ascii="Open Sans" w:eastAsia="Open Sans" w:hAnsi="Open Sans" w:cs="Open Sans"/>
              </w:rPr>
            </w:pPr>
            <w:r>
              <w:rPr>
                <w:rFonts w:ascii="Open Sans" w:eastAsia="Open Sans" w:hAnsi="Open Sans" w:cs="Open Sans"/>
                <w:b w:val="0"/>
              </w:rPr>
              <w:t>Sant Antoni</w:t>
            </w:r>
          </w:p>
        </w:tc>
        <w:tc>
          <w:tcPr>
            <w:tcW w:w="1804" w:type="dxa"/>
            <w:vAlign w:val="bottom"/>
          </w:tcPr>
          <w:p w14:paraId="1D51C83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804" w:type="dxa"/>
            <w:vAlign w:val="bottom"/>
          </w:tcPr>
          <w:p w14:paraId="657A134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c>
          <w:tcPr>
            <w:tcW w:w="2081" w:type="dxa"/>
            <w:vAlign w:val="bottom"/>
          </w:tcPr>
          <w:p w14:paraId="1741B6C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5,7%</w:t>
            </w:r>
          </w:p>
        </w:tc>
      </w:tr>
      <w:tr w:rsidR="00BE2A7C" w14:paraId="572F15B9"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7DFF87BA" w14:textId="77777777" w:rsidR="00BE2A7C" w:rsidRDefault="00000000">
            <w:pPr>
              <w:rPr>
                <w:rFonts w:ascii="Open Sans" w:eastAsia="Open Sans" w:hAnsi="Open Sans" w:cs="Open Sans"/>
              </w:rPr>
            </w:pPr>
            <w:r>
              <w:rPr>
                <w:rFonts w:ascii="Open Sans" w:eastAsia="Open Sans" w:hAnsi="Open Sans" w:cs="Open Sans"/>
                <w:b w:val="0"/>
              </w:rPr>
              <w:t>Sants</w:t>
            </w:r>
          </w:p>
        </w:tc>
        <w:tc>
          <w:tcPr>
            <w:tcW w:w="1804" w:type="dxa"/>
            <w:vAlign w:val="bottom"/>
          </w:tcPr>
          <w:p w14:paraId="4F06EC5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804" w:type="dxa"/>
            <w:vAlign w:val="bottom"/>
          </w:tcPr>
          <w:p w14:paraId="57A5DCE2"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2081" w:type="dxa"/>
            <w:vAlign w:val="bottom"/>
          </w:tcPr>
          <w:p w14:paraId="1117C00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5,7%</w:t>
            </w:r>
          </w:p>
        </w:tc>
      </w:tr>
      <w:tr w:rsidR="00BE2A7C" w14:paraId="0FF054B5"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44614F18" w14:textId="77777777" w:rsidR="00BE2A7C" w:rsidRDefault="00000000">
            <w:pPr>
              <w:rPr>
                <w:rFonts w:ascii="Open Sans" w:eastAsia="Open Sans" w:hAnsi="Open Sans" w:cs="Open Sans"/>
              </w:rPr>
            </w:pPr>
            <w:r>
              <w:rPr>
                <w:rFonts w:ascii="Open Sans" w:eastAsia="Open Sans" w:hAnsi="Open Sans" w:cs="Open Sans"/>
                <w:b w:val="0"/>
              </w:rPr>
              <w:t xml:space="preserve">Sagrada </w:t>
            </w:r>
            <w:proofErr w:type="spellStart"/>
            <w:r>
              <w:rPr>
                <w:rFonts w:ascii="Open Sans" w:eastAsia="Open Sans" w:hAnsi="Open Sans" w:cs="Open Sans"/>
                <w:b w:val="0"/>
              </w:rPr>
              <w:t>Família</w:t>
            </w:r>
            <w:proofErr w:type="spellEnd"/>
          </w:p>
        </w:tc>
        <w:tc>
          <w:tcPr>
            <w:tcW w:w="1804" w:type="dxa"/>
            <w:vAlign w:val="bottom"/>
          </w:tcPr>
          <w:p w14:paraId="6424335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804" w:type="dxa"/>
            <w:vAlign w:val="bottom"/>
          </w:tcPr>
          <w:p w14:paraId="5BD298D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5,4%</w:t>
            </w:r>
          </w:p>
        </w:tc>
        <w:tc>
          <w:tcPr>
            <w:tcW w:w="2081" w:type="dxa"/>
            <w:vAlign w:val="bottom"/>
          </w:tcPr>
          <w:p w14:paraId="393DB90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5,5%</w:t>
            </w:r>
          </w:p>
        </w:tc>
      </w:tr>
      <w:tr w:rsidR="00BE2A7C" w14:paraId="4AF61607"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11EE4D58" w14:textId="77777777" w:rsidR="00BE2A7C" w:rsidRDefault="00000000">
            <w:pPr>
              <w:rPr>
                <w:rFonts w:ascii="Open Sans" w:eastAsia="Open Sans" w:hAnsi="Open Sans" w:cs="Open Sans"/>
              </w:rPr>
            </w:pPr>
            <w:r>
              <w:rPr>
                <w:rFonts w:ascii="Open Sans" w:eastAsia="Open Sans" w:hAnsi="Open Sans" w:cs="Open Sans"/>
                <w:b w:val="0"/>
              </w:rPr>
              <w:t xml:space="preserve">El Camp </w:t>
            </w:r>
            <w:proofErr w:type="spellStart"/>
            <w:r>
              <w:rPr>
                <w:rFonts w:ascii="Open Sans" w:eastAsia="Open Sans" w:hAnsi="Open Sans" w:cs="Open Sans"/>
                <w:b w:val="0"/>
              </w:rPr>
              <w:t>d'en</w:t>
            </w:r>
            <w:proofErr w:type="spellEnd"/>
            <w:r>
              <w:rPr>
                <w:rFonts w:ascii="Open Sans" w:eastAsia="Open Sans" w:hAnsi="Open Sans" w:cs="Open Sans"/>
                <w:b w:val="0"/>
              </w:rPr>
              <w:t xml:space="preserve"> </w:t>
            </w:r>
            <w:proofErr w:type="spellStart"/>
            <w:r>
              <w:rPr>
                <w:rFonts w:ascii="Open Sans" w:eastAsia="Open Sans" w:hAnsi="Open Sans" w:cs="Open Sans"/>
                <w:b w:val="0"/>
              </w:rPr>
              <w:t>Grassot</w:t>
            </w:r>
            <w:proofErr w:type="spellEnd"/>
            <w:r>
              <w:rPr>
                <w:rFonts w:ascii="Open Sans" w:eastAsia="Open Sans" w:hAnsi="Open Sans" w:cs="Open Sans"/>
                <w:b w:val="0"/>
              </w:rPr>
              <w:t xml:space="preserve"> i Gràcia Nova</w:t>
            </w:r>
          </w:p>
        </w:tc>
        <w:tc>
          <w:tcPr>
            <w:tcW w:w="1804" w:type="dxa"/>
            <w:vAlign w:val="bottom"/>
          </w:tcPr>
          <w:p w14:paraId="7E19D52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804" w:type="dxa"/>
            <w:vAlign w:val="bottom"/>
          </w:tcPr>
          <w:p w14:paraId="4013FFA1"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5,7%</w:t>
            </w:r>
          </w:p>
        </w:tc>
        <w:tc>
          <w:tcPr>
            <w:tcW w:w="2081" w:type="dxa"/>
            <w:vAlign w:val="bottom"/>
          </w:tcPr>
          <w:p w14:paraId="5A42AD1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r>
      <w:tr w:rsidR="00BE2A7C" w14:paraId="3FD525C1"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5DB7F4DD" w14:textId="77777777" w:rsidR="00BE2A7C" w:rsidRDefault="00000000">
            <w:pPr>
              <w:rPr>
                <w:rFonts w:ascii="Open Sans" w:eastAsia="Open Sans" w:hAnsi="Open Sans" w:cs="Open Sans"/>
              </w:rPr>
            </w:pPr>
            <w:proofErr w:type="spellStart"/>
            <w:r>
              <w:rPr>
                <w:rFonts w:ascii="Open Sans" w:eastAsia="Open Sans" w:hAnsi="Open Sans" w:cs="Open Sans"/>
                <w:b w:val="0"/>
              </w:rPr>
              <w:t>Barri</w:t>
            </w:r>
            <w:proofErr w:type="spellEnd"/>
            <w:r>
              <w:rPr>
                <w:rFonts w:ascii="Open Sans" w:eastAsia="Open Sans" w:hAnsi="Open Sans" w:cs="Open Sans"/>
                <w:b w:val="0"/>
              </w:rPr>
              <w:t xml:space="preserve"> </w:t>
            </w:r>
            <w:proofErr w:type="spellStart"/>
            <w:r>
              <w:rPr>
                <w:rFonts w:ascii="Open Sans" w:eastAsia="Open Sans" w:hAnsi="Open Sans" w:cs="Open Sans"/>
                <w:b w:val="0"/>
              </w:rPr>
              <w:t>Gòtic</w:t>
            </w:r>
            <w:proofErr w:type="spellEnd"/>
          </w:p>
        </w:tc>
        <w:tc>
          <w:tcPr>
            <w:tcW w:w="1804" w:type="dxa"/>
            <w:vAlign w:val="bottom"/>
          </w:tcPr>
          <w:p w14:paraId="7539B8D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804" w:type="dxa"/>
            <w:vAlign w:val="bottom"/>
          </w:tcPr>
          <w:p w14:paraId="427437C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2081" w:type="dxa"/>
            <w:vAlign w:val="bottom"/>
          </w:tcPr>
          <w:p w14:paraId="7F8C2E3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r>
      <w:tr w:rsidR="00BE2A7C" w14:paraId="34BE550E"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6F164509" w14:textId="77777777" w:rsidR="00BE2A7C" w:rsidRDefault="00000000">
            <w:pPr>
              <w:rPr>
                <w:rFonts w:ascii="Open Sans" w:eastAsia="Open Sans" w:hAnsi="Open Sans" w:cs="Open Sans"/>
              </w:rPr>
            </w:pPr>
            <w:proofErr w:type="spellStart"/>
            <w:r>
              <w:rPr>
                <w:rFonts w:ascii="Open Sans" w:eastAsia="Open Sans" w:hAnsi="Open Sans" w:cs="Open Sans"/>
                <w:b w:val="0"/>
              </w:rPr>
              <w:t>Barri</w:t>
            </w:r>
            <w:proofErr w:type="spellEnd"/>
            <w:r>
              <w:rPr>
                <w:rFonts w:ascii="Open Sans" w:eastAsia="Open Sans" w:hAnsi="Open Sans" w:cs="Open Sans"/>
                <w:b w:val="0"/>
              </w:rPr>
              <w:t xml:space="preserve"> de les Corts</w:t>
            </w:r>
          </w:p>
        </w:tc>
        <w:tc>
          <w:tcPr>
            <w:tcW w:w="1804" w:type="dxa"/>
            <w:vAlign w:val="bottom"/>
          </w:tcPr>
          <w:p w14:paraId="4463680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1804" w:type="dxa"/>
            <w:vAlign w:val="bottom"/>
          </w:tcPr>
          <w:p w14:paraId="34999A0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2081" w:type="dxa"/>
            <w:vAlign w:val="bottom"/>
          </w:tcPr>
          <w:p w14:paraId="03B7943B"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r>
      <w:tr w:rsidR="00BE2A7C" w14:paraId="6FA34CC7"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04D1C7B7" w14:textId="77777777" w:rsidR="00BE2A7C" w:rsidRDefault="00000000">
            <w:pPr>
              <w:rPr>
                <w:rFonts w:ascii="Open Sans" w:eastAsia="Open Sans" w:hAnsi="Open Sans" w:cs="Open Sans"/>
              </w:rPr>
            </w:pPr>
            <w:r>
              <w:rPr>
                <w:rFonts w:ascii="Open Sans" w:eastAsia="Open Sans" w:hAnsi="Open Sans" w:cs="Open Sans"/>
                <w:b w:val="0"/>
              </w:rPr>
              <w:t>El Poblenou</w:t>
            </w:r>
          </w:p>
        </w:tc>
        <w:tc>
          <w:tcPr>
            <w:tcW w:w="1804" w:type="dxa"/>
            <w:vAlign w:val="bottom"/>
          </w:tcPr>
          <w:p w14:paraId="7EE771D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804" w:type="dxa"/>
            <w:vAlign w:val="bottom"/>
          </w:tcPr>
          <w:p w14:paraId="10077EC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c>
          <w:tcPr>
            <w:tcW w:w="2081" w:type="dxa"/>
            <w:vAlign w:val="bottom"/>
          </w:tcPr>
          <w:p w14:paraId="0A97765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r>
      <w:tr w:rsidR="00BE2A7C" w14:paraId="14D9266C"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66C56D72" w14:textId="77777777" w:rsidR="00BE2A7C" w:rsidRDefault="00000000">
            <w:pPr>
              <w:rPr>
                <w:rFonts w:ascii="Open Sans" w:eastAsia="Open Sans" w:hAnsi="Open Sans" w:cs="Open Sans"/>
              </w:rPr>
            </w:pPr>
            <w:r>
              <w:rPr>
                <w:rFonts w:ascii="Open Sans" w:eastAsia="Open Sans" w:hAnsi="Open Sans" w:cs="Open Sans"/>
                <w:b w:val="0"/>
              </w:rPr>
              <w:t>Vila de Gràcia</w:t>
            </w:r>
          </w:p>
        </w:tc>
        <w:tc>
          <w:tcPr>
            <w:tcW w:w="1804" w:type="dxa"/>
            <w:vAlign w:val="bottom"/>
          </w:tcPr>
          <w:p w14:paraId="3F0491B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804" w:type="dxa"/>
            <w:vAlign w:val="bottom"/>
          </w:tcPr>
          <w:p w14:paraId="2D5626F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c>
          <w:tcPr>
            <w:tcW w:w="2081" w:type="dxa"/>
            <w:vAlign w:val="bottom"/>
          </w:tcPr>
          <w:p w14:paraId="5D22A32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r>
      <w:tr w:rsidR="00BE2A7C" w14:paraId="1E2D67D5"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69A3B341" w14:textId="77777777" w:rsidR="00BE2A7C" w:rsidRDefault="00000000">
            <w:pPr>
              <w:rPr>
                <w:rFonts w:ascii="Open Sans" w:eastAsia="Open Sans" w:hAnsi="Open Sans" w:cs="Open Sans"/>
              </w:rPr>
            </w:pPr>
            <w:r>
              <w:rPr>
                <w:rFonts w:ascii="Open Sans" w:eastAsia="Open Sans" w:hAnsi="Open Sans" w:cs="Open Sans"/>
                <w:b w:val="0"/>
              </w:rPr>
              <w:t>Sant Pere, Sta. Caterina i la Ribera</w:t>
            </w:r>
          </w:p>
        </w:tc>
        <w:tc>
          <w:tcPr>
            <w:tcW w:w="1804" w:type="dxa"/>
            <w:vAlign w:val="bottom"/>
          </w:tcPr>
          <w:p w14:paraId="4820C36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804" w:type="dxa"/>
            <w:vAlign w:val="bottom"/>
          </w:tcPr>
          <w:p w14:paraId="2BF4BA0E"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c>
          <w:tcPr>
            <w:tcW w:w="2081" w:type="dxa"/>
            <w:vAlign w:val="bottom"/>
          </w:tcPr>
          <w:p w14:paraId="6692860C"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r>
      <w:tr w:rsidR="00BE2A7C" w14:paraId="5D7AD5B5"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4EF51851" w14:textId="77777777" w:rsidR="00BE2A7C" w:rsidRDefault="00000000">
            <w:pPr>
              <w:rPr>
                <w:rFonts w:ascii="Open Sans" w:eastAsia="Open Sans" w:hAnsi="Open Sans" w:cs="Open Sans"/>
              </w:rPr>
            </w:pPr>
            <w:r>
              <w:rPr>
                <w:rFonts w:ascii="Open Sans" w:eastAsia="Open Sans" w:hAnsi="Open Sans" w:cs="Open Sans"/>
                <w:b w:val="0"/>
              </w:rPr>
              <w:t>La Nova Esquerra de l'Eixample</w:t>
            </w:r>
          </w:p>
        </w:tc>
        <w:tc>
          <w:tcPr>
            <w:tcW w:w="1804" w:type="dxa"/>
            <w:vAlign w:val="bottom"/>
          </w:tcPr>
          <w:p w14:paraId="2BB2AF4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804" w:type="dxa"/>
            <w:vAlign w:val="bottom"/>
          </w:tcPr>
          <w:p w14:paraId="00FACDB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c>
          <w:tcPr>
            <w:tcW w:w="2081" w:type="dxa"/>
            <w:vAlign w:val="bottom"/>
          </w:tcPr>
          <w:p w14:paraId="30B2FC0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r>
      <w:tr w:rsidR="00BE2A7C" w14:paraId="11139F9C"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4C656532" w14:textId="77777777" w:rsidR="00BE2A7C" w:rsidRDefault="00000000">
            <w:pPr>
              <w:rPr>
                <w:rFonts w:ascii="Open Sans" w:eastAsia="Open Sans" w:hAnsi="Open Sans" w:cs="Open Sans"/>
              </w:rPr>
            </w:pPr>
            <w:proofErr w:type="spellStart"/>
            <w:r>
              <w:rPr>
                <w:rFonts w:ascii="Open Sans" w:eastAsia="Open Sans" w:hAnsi="Open Sans" w:cs="Open Sans"/>
                <w:b w:val="0"/>
              </w:rPr>
              <w:t>L'Antiga</w:t>
            </w:r>
            <w:proofErr w:type="spellEnd"/>
            <w:r>
              <w:rPr>
                <w:rFonts w:ascii="Open Sans" w:eastAsia="Open Sans" w:hAnsi="Open Sans" w:cs="Open Sans"/>
                <w:b w:val="0"/>
              </w:rPr>
              <w:t xml:space="preserve"> Esquerra de l'Eixample</w:t>
            </w:r>
          </w:p>
        </w:tc>
        <w:tc>
          <w:tcPr>
            <w:tcW w:w="1804" w:type="dxa"/>
            <w:vAlign w:val="bottom"/>
          </w:tcPr>
          <w:p w14:paraId="68E808A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1804" w:type="dxa"/>
            <w:vAlign w:val="bottom"/>
          </w:tcPr>
          <w:p w14:paraId="289FDDA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2081" w:type="dxa"/>
            <w:vAlign w:val="bottom"/>
          </w:tcPr>
          <w:p w14:paraId="18084A3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r>
      <w:tr w:rsidR="00BE2A7C" w14:paraId="7619C910"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38DEDAAC" w14:textId="77777777" w:rsidR="00BE2A7C" w:rsidRDefault="00000000">
            <w:pPr>
              <w:rPr>
                <w:rFonts w:ascii="Open Sans" w:eastAsia="Open Sans" w:hAnsi="Open Sans" w:cs="Open Sans"/>
              </w:rPr>
            </w:pPr>
            <w:r>
              <w:rPr>
                <w:rFonts w:ascii="Open Sans" w:eastAsia="Open Sans" w:hAnsi="Open Sans" w:cs="Open Sans"/>
                <w:b w:val="0"/>
              </w:rPr>
              <w:t xml:space="preserve">Diagonal Mar i el Front </w:t>
            </w:r>
            <w:proofErr w:type="spellStart"/>
            <w:r>
              <w:rPr>
                <w:rFonts w:ascii="Open Sans" w:eastAsia="Open Sans" w:hAnsi="Open Sans" w:cs="Open Sans"/>
                <w:b w:val="0"/>
              </w:rPr>
              <w:t>Marítim</w:t>
            </w:r>
            <w:proofErr w:type="spellEnd"/>
            <w:r>
              <w:rPr>
                <w:rFonts w:ascii="Open Sans" w:eastAsia="Open Sans" w:hAnsi="Open Sans" w:cs="Open Sans"/>
                <w:b w:val="0"/>
              </w:rPr>
              <w:t xml:space="preserve"> del Poblenou</w:t>
            </w:r>
          </w:p>
        </w:tc>
        <w:tc>
          <w:tcPr>
            <w:tcW w:w="1804" w:type="dxa"/>
            <w:vAlign w:val="bottom"/>
          </w:tcPr>
          <w:p w14:paraId="5877B86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3,3%</w:t>
            </w:r>
          </w:p>
        </w:tc>
        <w:tc>
          <w:tcPr>
            <w:tcW w:w="1804" w:type="dxa"/>
            <w:vAlign w:val="bottom"/>
          </w:tcPr>
          <w:p w14:paraId="03E9F89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3,5%</w:t>
            </w:r>
          </w:p>
        </w:tc>
        <w:tc>
          <w:tcPr>
            <w:tcW w:w="2081" w:type="dxa"/>
            <w:vAlign w:val="bottom"/>
          </w:tcPr>
          <w:p w14:paraId="41F1D8D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r>
      <w:tr w:rsidR="00BE2A7C" w14:paraId="6C74CCC6"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564353C9" w14:textId="77777777" w:rsidR="00BE2A7C" w:rsidRDefault="00000000">
            <w:pPr>
              <w:rPr>
                <w:rFonts w:ascii="Open Sans" w:eastAsia="Open Sans" w:hAnsi="Open Sans" w:cs="Open Sans"/>
              </w:rPr>
            </w:pPr>
            <w:proofErr w:type="spellStart"/>
            <w:r>
              <w:rPr>
                <w:rFonts w:ascii="Open Sans" w:eastAsia="Open Sans" w:hAnsi="Open Sans" w:cs="Open Sans"/>
                <w:b w:val="0"/>
              </w:rPr>
              <w:t>Dreta</w:t>
            </w:r>
            <w:proofErr w:type="spellEnd"/>
            <w:r>
              <w:rPr>
                <w:rFonts w:ascii="Open Sans" w:eastAsia="Open Sans" w:hAnsi="Open Sans" w:cs="Open Sans"/>
                <w:b w:val="0"/>
              </w:rPr>
              <w:t xml:space="preserve"> de l'Eixample</w:t>
            </w:r>
          </w:p>
        </w:tc>
        <w:tc>
          <w:tcPr>
            <w:tcW w:w="1804" w:type="dxa"/>
            <w:vAlign w:val="bottom"/>
          </w:tcPr>
          <w:p w14:paraId="6FF2324A"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3,5%</w:t>
            </w:r>
          </w:p>
        </w:tc>
        <w:tc>
          <w:tcPr>
            <w:tcW w:w="1804" w:type="dxa"/>
            <w:vAlign w:val="bottom"/>
          </w:tcPr>
          <w:p w14:paraId="39802CC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c>
          <w:tcPr>
            <w:tcW w:w="2081" w:type="dxa"/>
            <w:vAlign w:val="bottom"/>
          </w:tcPr>
          <w:p w14:paraId="0542BDB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3,8%</w:t>
            </w:r>
          </w:p>
        </w:tc>
      </w:tr>
      <w:tr w:rsidR="00BE2A7C" w14:paraId="443F9054"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57E0CA14" w14:textId="77777777" w:rsidR="00BE2A7C" w:rsidRDefault="00000000">
            <w:pPr>
              <w:rPr>
                <w:rFonts w:ascii="Open Sans" w:eastAsia="Open Sans" w:hAnsi="Open Sans" w:cs="Open Sans"/>
              </w:rPr>
            </w:pPr>
            <w:r>
              <w:rPr>
                <w:rFonts w:ascii="Open Sans" w:eastAsia="Open Sans" w:hAnsi="Open Sans" w:cs="Open Sans"/>
                <w:b w:val="0"/>
              </w:rPr>
              <w:t xml:space="preserve">El Poble </w:t>
            </w:r>
            <w:proofErr w:type="spellStart"/>
            <w:r>
              <w:rPr>
                <w:rFonts w:ascii="Open Sans" w:eastAsia="Open Sans" w:hAnsi="Open Sans" w:cs="Open Sans"/>
                <w:b w:val="0"/>
              </w:rPr>
              <w:t>Sec</w:t>
            </w:r>
            <w:proofErr w:type="spellEnd"/>
            <w:r>
              <w:rPr>
                <w:rFonts w:ascii="Open Sans" w:eastAsia="Open Sans" w:hAnsi="Open Sans" w:cs="Open Sans"/>
                <w:b w:val="0"/>
              </w:rPr>
              <w:t xml:space="preserve"> - </w:t>
            </w:r>
            <w:proofErr w:type="spellStart"/>
            <w:r>
              <w:rPr>
                <w:rFonts w:ascii="Open Sans" w:eastAsia="Open Sans" w:hAnsi="Open Sans" w:cs="Open Sans"/>
                <w:b w:val="0"/>
              </w:rPr>
              <w:t>Parc</w:t>
            </w:r>
            <w:proofErr w:type="spellEnd"/>
            <w:r>
              <w:rPr>
                <w:rFonts w:ascii="Open Sans" w:eastAsia="Open Sans" w:hAnsi="Open Sans" w:cs="Open Sans"/>
                <w:b w:val="0"/>
              </w:rPr>
              <w:t xml:space="preserve"> de Montjuïc</w:t>
            </w:r>
          </w:p>
        </w:tc>
        <w:tc>
          <w:tcPr>
            <w:tcW w:w="1804" w:type="dxa"/>
            <w:vAlign w:val="bottom"/>
          </w:tcPr>
          <w:p w14:paraId="65B54EB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804" w:type="dxa"/>
            <w:vAlign w:val="bottom"/>
          </w:tcPr>
          <w:p w14:paraId="779A6A9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7,4%</w:t>
            </w:r>
          </w:p>
        </w:tc>
        <w:tc>
          <w:tcPr>
            <w:tcW w:w="2081" w:type="dxa"/>
            <w:vAlign w:val="bottom"/>
          </w:tcPr>
          <w:p w14:paraId="79F8436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6,9%</w:t>
            </w:r>
          </w:p>
        </w:tc>
      </w:tr>
      <w:tr w:rsidR="00BE2A7C" w14:paraId="5E6101B6"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5590B75D" w14:textId="77777777" w:rsidR="00BE2A7C" w:rsidRDefault="00000000">
            <w:pPr>
              <w:rPr>
                <w:rFonts w:ascii="Open Sans" w:eastAsia="Open Sans" w:hAnsi="Open Sans" w:cs="Open Sans"/>
              </w:rPr>
            </w:pPr>
            <w:r>
              <w:rPr>
                <w:rFonts w:ascii="Open Sans" w:eastAsia="Open Sans" w:hAnsi="Open Sans" w:cs="Open Sans"/>
                <w:b w:val="0"/>
              </w:rPr>
              <w:t>El Raval</w:t>
            </w:r>
          </w:p>
        </w:tc>
        <w:tc>
          <w:tcPr>
            <w:tcW w:w="1804" w:type="dxa"/>
            <w:vAlign w:val="bottom"/>
          </w:tcPr>
          <w:p w14:paraId="2BD74440"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804" w:type="dxa"/>
            <w:vAlign w:val="bottom"/>
          </w:tcPr>
          <w:p w14:paraId="7C622071"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6,6%</w:t>
            </w:r>
          </w:p>
        </w:tc>
        <w:tc>
          <w:tcPr>
            <w:tcW w:w="2081" w:type="dxa"/>
            <w:vAlign w:val="bottom"/>
          </w:tcPr>
          <w:p w14:paraId="5B837D0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6,9%</w:t>
            </w:r>
          </w:p>
        </w:tc>
      </w:tr>
      <w:tr w:rsidR="00BE2A7C" w14:paraId="6423700F"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4A8B807A" w14:textId="77777777" w:rsidR="00BE2A7C" w:rsidRDefault="00000000">
            <w:pPr>
              <w:rPr>
                <w:rFonts w:ascii="Open Sans" w:eastAsia="Open Sans" w:hAnsi="Open Sans" w:cs="Open Sans"/>
              </w:rPr>
            </w:pPr>
            <w:r>
              <w:rPr>
                <w:rFonts w:ascii="Open Sans" w:eastAsia="Open Sans" w:hAnsi="Open Sans" w:cs="Open Sans"/>
                <w:b w:val="0"/>
              </w:rPr>
              <w:t xml:space="preserve">El Camp de </w:t>
            </w:r>
            <w:proofErr w:type="spellStart"/>
            <w:r>
              <w:rPr>
                <w:rFonts w:ascii="Open Sans" w:eastAsia="Open Sans" w:hAnsi="Open Sans" w:cs="Open Sans"/>
                <w:b w:val="0"/>
              </w:rPr>
              <w:t>l'Arpa</w:t>
            </w:r>
            <w:proofErr w:type="spellEnd"/>
            <w:r>
              <w:rPr>
                <w:rFonts w:ascii="Open Sans" w:eastAsia="Open Sans" w:hAnsi="Open Sans" w:cs="Open Sans"/>
                <w:b w:val="0"/>
              </w:rPr>
              <w:t xml:space="preserve"> del Clot</w:t>
            </w:r>
          </w:p>
        </w:tc>
        <w:tc>
          <w:tcPr>
            <w:tcW w:w="1804" w:type="dxa"/>
            <w:vAlign w:val="bottom"/>
          </w:tcPr>
          <w:p w14:paraId="64CCAE9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804" w:type="dxa"/>
            <w:vAlign w:val="bottom"/>
          </w:tcPr>
          <w:p w14:paraId="1B52FB1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6,2%</w:t>
            </w:r>
          </w:p>
        </w:tc>
        <w:tc>
          <w:tcPr>
            <w:tcW w:w="2081" w:type="dxa"/>
            <w:vAlign w:val="bottom"/>
          </w:tcPr>
          <w:p w14:paraId="5977CDE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6,8%</w:t>
            </w:r>
          </w:p>
        </w:tc>
      </w:tr>
      <w:tr w:rsidR="00BE2A7C" w14:paraId="1F0D5AA7"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3E8ED86D" w14:textId="77777777" w:rsidR="00BE2A7C" w:rsidRDefault="00000000">
            <w:pPr>
              <w:rPr>
                <w:rFonts w:ascii="Open Sans" w:eastAsia="Open Sans" w:hAnsi="Open Sans" w:cs="Open Sans"/>
              </w:rPr>
            </w:pPr>
            <w:r>
              <w:rPr>
                <w:rFonts w:ascii="Open Sans" w:eastAsia="Open Sans" w:hAnsi="Open Sans" w:cs="Open Sans"/>
                <w:b w:val="0"/>
              </w:rPr>
              <w:t>Sant Antoni</w:t>
            </w:r>
          </w:p>
        </w:tc>
        <w:tc>
          <w:tcPr>
            <w:tcW w:w="1804" w:type="dxa"/>
            <w:vAlign w:val="bottom"/>
          </w:tcPr>
          <w:p w14:paraId="0911936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804" w:type="dxa"/>
            <w:vAlign w:val="bottom"/>
          </w:tcPr>
          <w:p w14:paraId="0251C7E5"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c>
          <w:tcPr>
            <w:tcW w:w="2081" w:type="dxa"/>
            <w:vAlign w:val="bottom"/>
          </w:tcPr>
          <w:p w14:paraId="166E430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5,7%</w:t>
            </w:r>
          </w:p>
        </w:tc>
      </w:tr>
      <w:tr w:rsidR="00BE2A7C" w14:paraId="575D0BFE"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5E5B889D" w14:textId="77777777" w:rsidR="00BE2A7C" w:rsidRDefault="00000000">
            <w:pPr>
              <w:rPr>
                <w:rFonts w:ascii="Open Sans" w:eastAsia="Open Sans" w:hAnsi="Open Sans" w:cs="Open Sans"/>
              </w:rPr>
            </w:pPr>
            <w:r>
              <w:rPr>
                <w:rFonts w:ascii="Open Sans" w:eastAsia="Open Sans" w:hAnsi="Open Sans" w:cs="Open Sans"/>
                <w:b w:val="0"/>
              </w:rPr>
              <w:t>Sants</w:t>
            </w:r>
          </w:p>
        </w:tc>
        <w:tc>
          <w:tcPr>
            <w:tcW w:w="1804" w:type="dxa"/>
            <w:vAlign w:val="bottom"/>
          </w:tcPr>
          <w:p w14:paraId="7894E7F7"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804" w:type="dxa"/>
            <w:vAlign w:val="bottom"/>
          </w:tcPr>
          <w:p w14:paraId="0393F561" w14:textId="77777777" w:rsidR="00BE2A7C" w:rsidRDefault="00BE2A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2081" w:type="dxa"/>
            <w:vAlign w:val="bottom"/>
          </w:tcPr>
          <w:p w14:paraId="5E394D7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5,7%</w:t>
            </w:r>
          </w:p>
        </w:tc>
      </w:tr>
      <w:tr w:rsidR="00BE2A7C" w14:paraId="3CA75F8E"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27A1F999" w14:textId="77777777" w:rsidR="00BE2A7C" w:rsidRDefault="00000000">
            <w:pPr>
              <w:rPr>
                <w:rFonts w:ascii="Open Sans" w:eastAsia="Open Sans" w:hAnsi="Open Sans" w:cs="Open Sans"/>
              </w:rPr>
            </w:pPr>
            <w:r>
              <w:rPr>
                <w:rFonts w:ascii="Open Sans" w:eastAsia="Open Sans" w:hAnsi="Open Sans" w:cs="Open Sans"/>
                <w:b w:val="0"/>
              </w:rPr>
              <w:t xml:space="preserve">Sagrada </w:t>
            </w:r>
            <w:proofErr w:type="spellStart"/>
            <w:r>
              <w:rPr>
                <w:rFonts w:ascii="Open Sans" w:eastAsia="Open Sans" w:hAnsi="Open Sans" w:cs="Open Sans"/>
                <w:b w:val="0"/>
              </w:rPr>
              <w:t>Família</w:t>
            </w:r>
            <w:proofErr w:type="spellEnd"/>
          </w:p>
        </w:tc>
        <w:tc>
          <w:tcPr>
            <w:tcW w:w="1804" w:type="dxa"/>
            <w:vAlign w:val="bottom"/>
          </w:tcPr>
          <w:p w14:paraId="0BF132C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804" w:type="dxa"/>
            <w:vAlign w:val="bottom"/>
          </w:tcPr>
          <w:p w14:paraId="3F34FD9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5,4%</w:t>
            </w:r>
          </w:p>
        </w:tc>
        <w:tc>
          <w:tcPr>
            <w:tcW w:w="2081" w:type="dxa"/>
            <w:vAlign w:val="bottom"/>
          </w:tcPr>
          <w:p w14:paraId="6EF15DC6"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5,5%</w:t>
            </w:r>
          </w:p>
        </w:tc>
      </w:tr>
      <w:tr w:rsidR="00BE2A7C" w14:paraId="2DA6C394"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7C099057" w14:textId="77777777" w:rsidR="00BE2A7C" w:rsidRDefault="00000000">
            <w:pPr>
              <w:rPr>
                <w:rFonts w:ascii="Open Sans" w:eastAsia="Open Sans" w:hAnsi="Open Sans" w:cs="Open Sans"/>
              </w:rPr>
            </w:pPr>
            <w:r>
              <w:rPr>
                <w:rFonts w:ascii="Open Sans" w:eastAsia="Open Sans" w:hAnsi="Open Sans" w:cs="Open Sans"/>
                <w:b w:val="0"/>
              </w:rPr>
              <w:t xml:space="preserve">El Camp </w:t>
            </w:r>
            <w:proofErr w:type="spellStart"/>
            <w:r>
              <w:rPr>
                <w:rFonts w:ascii="Open Sans" w:eastAsia="Open Sans" w:hAnsi="Open Sans" w:cs="Open Sans"/>
                <w:b w:val="0"/>
              </w:rPr>
              <w:t>d'en</w:t>
            </w:r>
            <w:proofErr w:type="spellEnd"/>
            <w:r>
              <w:rPr>
                <w:rFonts w:ascii="Open Sans" w:eastAsia="Open Sans" w:hAnsi="Open Sans" w:cs="Open Sans"/>
                <w:b w:val="0"/>
              </w:rPr>
              <w:t xml:space="preserve"> </w:t>
            </w:r>
            <w:proofErr w:type="spellStart"/>
            <w:r>
              <w:rPr>
                <w:rFonts w:ascii="Open Sans" w:eastAsia="Open Sans" w:hAnsi="Open Sans" w:cs="Open Sans"/>
                <w:b w:val="0"/>
              </w:rPr>
              <w:t>Grassot</w:t>
            </w:r>
            <w:proofErr w:type="spellEnd"/>
            <w:r>
              <w:rPr>
                <w:rFonts w:ascii="Open Sans" w:eastAsia="Open Sans" w:hAnsi="Open Sans" w:cs="Open Sans"/>
                <w:b w:val="0"/>
              </w:rPr>
              <w:t xml:space="preserve"> i Gràcia Nova</w:t>
            </w:r>
          </w:p>
        </w:tc>
        <w:tc>
          <w:tcPr>
            <w:tcW w:w="1804" w:type="dxa"/>
            <w:vAlign w:val="bottom"/>
          </w:tcPr>
          <w:p w14:paraId="15F35DE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804" w:type="dxa"/>
            <w:vAlign w:val="bottom"/>
          </w:tcPr>
          <w:p w14:paraId="346744E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5,7%</w:t>
            </w:r>
          </w:p>
        </w:tc>
        <w:tc>
          <w:tcPr>
            <w:tcW w:w="2081" w:type="dxa"/>
            <w:vAlign w:val="bottom"/>
          </w:tcPr>
          <w:p w14:paraId="78CB6320"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r>
      <w:tr w:rsidR="00BE2A7C" w14:paraId="328977B4"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71A9CF77" w14:textId="77777777" w:rsidR="00BE2A7C" w:rsidRDefault="00000000">
            <w:pPr>
              <w:rPr>
                <w:rFonts w:ascii="Open Sans" w:eastAsia="Open Sans" w:hAnsi="Open Sans" w:cs="Open Sans"/>
              </w:rPr>
            </w:pPr>
            <w:proofErr w:type="spellStart"/>
            <w:r>
              <w:rPr>
                <w:rFonts w:ascii="Open Sans" w:eastAsia="Open Sans" w:hAnsi="Open Sans" w:cs="Open Sans"/>
                <w:b w:val="0"/>
              </w:rPr>
              <w:t>Barri</w:t>
            </w:r>
            <w:proofErr w:type="spellEnd"/>
            <w:r>
              <w:rPr>
                <w:rFonts w:ascii="Open Sans" w:eastAsia="Open Sans" w:hAnsi="Open Sans" w:cs="Open Sans"/>
                <w:b w:val="0"/>
              </w:rPr>
              <w:t xml:space="preserve"> </w:t>
            </w:r>
            <w:proofErr w:type="spellStart"/>
            <w:r>
              <w:rPr>
                <w:rFonts w:ascii="Open Sans" w:eastAsia="Open Sans" w:hAnsi="Open Sans" w:cs="Open Sans"/>
                <w:b w:val="0"/>
              </w:rPr>
              <w:t>Gòtic</w:t>
            </w:r>
            <w:proofErr w:type="spellEnd"/>
          </w:p>
        </w:tc>
        <w:tc>
          <w:tcPr>
            <w:tcW w:w="1804" w:type="dxa"/>
            <w:vAlign w:val="bottom"/>
          </w:tcPr>
          <w:p w14:paraId="1A890C1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804" w:type="dxa"/>
            <w:vAlign w:val="bottom"/>
          </w:tcPr>
          <w:p w14:paraId="16A235A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2081" w:type="dxa"/>
            <w:vAlign w:val="bottom"/>
          </w:tcPr>
          <w:p w14:paraId="67F163A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r>
      <w:tr w:rsidR="00BE2A7C" w14:paraId="46B5B667" w14:textId="77777777" w:rsidTr="00D46F7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326" w:type="dxa"/>
          </w:tcPr>
          <w:p w14:paraId="5EC21366" w14:textId="77777777" w:rsidR="00BE2A7C" w:rsidRDefault="00000000">
            <w:pPr>
              <w:rPr>
                <w:rFonts w:ascii="Open Sans" w:eastAsia="Open Sans" w:hAnsi="Open Sans" w:cs="Open Sans"/>
              </w:rPr>
            </w:pPr>
            <w:proofErr w:type="spellStart"/>
            <w:r>
              <w:rPr>
                <w:rFonts w:ascii="Open Sans" w:eastAsia="Open Sans" w:hAnsi="Open Sans" w:cs="Open Sans"/>
                <w:b w:val="0"/>
              </w:rPr>
              <w:t>Barri</w:t>
            </w:r>
            <w:proofErr w:type="spellEnd"/>
            <w:r>
              <w:rPr>
                <w:rFonts w:ascii="Open Sans" w:eastAsia="Open Sans" w:hAnsi="Open Sans" w:cs="Open Sans"/>
                <w:b w:val="0"/>
              </w:rPr>
              <w:t xml:space="preserve"> de les Corts</w:t>
            </w:r>
          </w:p>
        </w:tc>
        <w:tc>
          <w:tcPr>
            <w:tcW w:w="1804" w:type="dxa"/>
            <w:vAlign w:val="bottom"/>
          </w:tcPr>
          <w:p w14:paraId="566F162E"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1804" w:type="dxa"/>
            <w:vAlign w:val="bottom"/>
          </w:tcPr>
          <w:p w14:paraId="7EB2D2A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2081" w:type="dxa"/>
            <w:vAlign w:val="bottom"/>
          </w:tcPr>
          <w:p w14:paraId="2D4838B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r>
      <w:tr w:rsidR="00BE2A7C" w14:paraId="09BFAF33" w14:textId="77777777" w:rsidTr="00D46F7C">
        <w:trPr>
          <w:trHeight w:val="286"/>
        </w:trPr>
        <w:tc>
          <w:tcPr>
            <w:cnfStyle w:val="001000000000" w:firstRow="0" w:lastRow="0" w:firstColumn="1" w:lastColumn="0" w:oddVBand="0" w:evenVBand="0" w:oddHBand="0" w:evenHBand="0" w:firstRowFirstColumn="0" w:firstRowLastColumn="0" w:lastRowFirstColumn="0" w:lastRowLastColumn="0"/>
            <w:tcW w:w="3326" w:type="dxa"/>
          </w:tcPr>
          <w:p w14:paraId="44235E0A" w14:textId="77777777" w:rsidR="00BE2A7C" w:rsidRDefault="00000000">
            <w:pPr>
              <w:rPr>
                <w:rFonts w:ascii="Open Sans" w:eastAsia="Open Sans" w:hAnsi="Open Sans" w:cs="Open Sans"/>
                <w:sz w:val="22"/>
                <w:szCs w:val="22"/>
              </w:rPr>
            </w:pPr>
            <w:r>
              <w:rPr>
                <w:rFonts w:ascii="Open Sans" w:eastAsia="Open Sans" w:hAnsi="Open Sans" w:cs="Open Sans"/>
                <w:b w:val="0"/>
              </w:rPr>
              <w:t>El Poblenou</w:t>
            </w:r>
          </w:p>
        </w:tc>
        <w:tc>
          <w:tcPr>
            <w:tcW w:w="1804" w:type="dxa"/>
            <w:vAlign w:val="bottom"/>
          </w:tcPr>
          <w:p w14:paraId="1BDB908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804" w:type="dxa"/>
            <w:vAlign w:val="bottom"/>
          </w:tcPr>
          <w:p w14:paraId="5145792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2081" w:type="dxa"/>
            <w:vAlign w:val="bottom"/>
          </w:tcPr>
          <w:p w14:paraId="714546F2"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r>
      <w:tr w:rsidR="00BE2A7C" w14:paraId="5171B16D" w14:textId="77777777" w:rsidTr="00D46F7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26" w:type="dxa"/>
          </w:tcPr>
          <w:p w14:paraId="19B0DF9E" w14:textId="77777777" w:rsidR="00BE2A7C" w:rsidRDefault="00000000">
            <w:pPr>
              <w:rPr>
                <w:rFonts w:ascii="Open Sans" w:eastAsia="Open Sans" w:hAnsi="Open Sans" w:cs="Open Sans"/>
                <w:sz w:val="22"/>
                <w:szCs w:val="22"/>
              </w:rPr>
            </w:pPr>
            <w:r>
              <w:rPr>
                <w:rFonts w:ascii="Open Sans" w:eastAsia="Open Sans" w:hAnsi="Open Sans" w:cs="Open Sans"/>
                <w:b w:val="0"/>
              </w:rPr>
              <w:t>Vila de Gràcia</w:t>
            </w:r>
          </w:p>
        </w:tc>
        <w:tc>
          <w:tcPr>
            <w:tcW w:w="1804" w:type="dxa"/>
            <w:vAlign w:val="bottom"/>
          </w:tcPr>
          <w:p w14:paraId="317F6AB2"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804" w:type="dxa"/>
            <w:vAlign w:val="bottom"/>
          </w:tcPr>
          <w:p w14:paraId="002CEE48"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2081" w:type="dxa"/>
            <w:vAlign w:val="bottom"/>
          </w:tcPr>
          <w:p w14:paraId="56BDFBCC"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r>
      <w:tr w:rsidR="00BE2A7C" w14:paraId="05F4CAC1" w14:textId="77777777" w:rsidTr="00D46F7C">
        <w:trPr>
          <w:trHeight w:val="301"/>
        </w:trPr>
        <w:tc>
          <w:tcPr>
            <w:cnfStyle w:val="001000000000" w:firstRow="0" w:lastRow="0" w:firstColumn="1" w:lastColumn="0" w:oddVBand="0" w:evenVBand="0" w:oddHBand="0" w:evenHBand="0" w:firstRowFirstColumn="0" w:firstRowLastColumn="0" w:lastRowFirstColumn="0" w:lastRowLastColumn="0"/>
            <w:tcW w:w="3326" w:type="dxa"/>
          </w:tcPr>
          <w:p w14:paraId="11B0958A" w14:textId="77777777" w:rsidR="00BE2A7C" w:rsidRDefault="00000000">
            <w:pPr>
              <w:rPr>
                <w:rFonts w:ascii="Open Sans" w:eastAsia="Open Sans" w:hAnsi="Open Sans" w:cs="Open Sans"/>
                <w:sz w:val="22"/>
                <w:szCs w:val="22"/>
              </w:rPr>
            </w:pPr>
            <w:r>
              <w:rPr>
                <w:rFonts w:ascii="Open Sans" w:eastAsia="Open Sans" w:hAnsi="Open Sans" w:cs="Open Sans"/>
                <w:b w:val="0"/>
              </w:rPr>
              <w:t>Sant Pere, Sta. Caterina i la Ribera</w:t>
            </w:r>
          </w:p>
        </w:tc>
        <w:tc>
          <w:tcPr>
            <w:tcW w:w="1804" w:type="dxa"/>
            <w:vAlign w:val="bottom"/>
          </w:tcPr>
          <w:p w14:paraId="3E659B09"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804" w:type="dxa"/>
            <w:vAlign w:val="bottom"/>
          </w:tcPr>
          <w:p w14:paraId="5AF9822F"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2081" w:type="dxa"/>
            <w:vAlign w:val="bottom"/>
          </w:tcPr>
          <w:p w14:paraId="31041DB7"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r>
      <w:tr w:rsidR="00BE2A7C" w14:paraId="249E2AA1" w14:textId="77777777" w:rsidTr="00D46F7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26" w:type="dxa"/>
          </w:tcPr>
          <w:p w14:paraId="1B12F65A" w14:textId="77777777" w:rsidR="00BE2A7C" w:rsidRDefault="00000000">
            <w:pPr>
              <w:rPr>
                <w:rFonts w:ascii="Open Sans" w:eastAsia="Open Sans" w:hAnsi="Open Sans" w:cs="Open Sans"/>
                <w:sz w:val="22"/>
                <w:szCs w:val="22"/>
              </w:rPr>
            </w:pPr>
            <w:r>
              <w:rPr>
                <w:rFonts w:ascii="Open Sans" w:eastAsia="Open Sans" w:hAnsi="Open Sans" w:cs="Open Sans"/>
                <w:b w:val="0"/>
              </w:rPr>
              <w:lastRenderedPageBreak/>
              <w:t>La Nova Esquerra de l'Eixample</w:t>
            </w:r>
          </w:p>
        </w:tc>
        <w:tc>
          <w:tcPr>
            <w:tcW w:w="1804" w:type="dxa"/>
            <w:vAlign w:val="bottom"/>
          </w:tcPr>
          <w:p w14:paraId="4181A2ED"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804" w:type="dxa"/>
            <w:vAlign w:val="bottom"/>
          </w:tcPr>
          <w:p w14:paraId="25543BD6"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2081" w:type="dxa"/>
            <w:vAlign w:val="bottom"/>
          </w:tcPr>
          <w:p w14:paraId="2B883D23"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r>
      <w:tr w:rsidR="00BE2A7C" w14:paraId="0E4AF42C" w14:textId="77777777" w:rsidTr="00D46F7C">
        <w:trPr>
          <w:trHeight w:val="301"/>
        </w:trPr>
        <w:tc>
          <w:tcPr>
            <w:cnfStyle w:val="001000000000" w:firstRow="0" w:lastRow="0" w:firstColumn="1" w:lastColumn="0" w:oddVBand="0" w:evenVBand="0" w:oddHBand="0" w:evenHBand="0" w:firstRowFirstColumn="0" w:firstRowLastColumn="0" w:lastRowFirstColumn="0" w:lastRowLastColumn="0"/>
            <w:tcW w:w="3326" w:type="dxa"/>
          </w:tcPr>
          <w:p w14:paraId="62D61DD4" w14:textId="77777777" w:rsidR="00BE2A7C" w:rsidRDefault="00000000">
            <w:pPr>
              <w:rPr>
                <w:rFonts w:ascii="Open Sans" w:eastAsia="Open Sans" w:hAnsi="Open Sans" w:cs="Open Sans"/>
                <w:sz w:val="22"/>
                <w:szCs w:val="22"/>
              </w:rPr>
            </w:pPr>
            <w:proofErr w:type="spellStart"/>
            <w:r>
              <w:rPr>
                <w:rFonts w:ascii="Open Sans" w:eastAsia="Open Sans" w:hAnsi="Open Sans" w:cs="Open Sans"/>
                <w:b w:val="0"/>
              </w:rPr>
              <w:t>L'Antiga</w:t>
            </w:r>
            <w:proofErr w:type="spellEnd"/>
            <w:r>
              <w:rPr>
                <w:rFonts w:ascii="Open Sans" w:eastAsia="Open Sans" w:hAnsi="Open Sans" w:cs="Open Sans"/>
                <w:b w:val="0"/>
              </w:rPr>
              <w:t xml:space="preserve"> Esquerra de l'Eixample</w:t>
            </w:r>
          </w:p>
        </w:tc>
        <w:tc>
          <w:tcPr>
            <w:tcW w:w="1804" w:type="dxa"/>
            <w:vAlign w:val="bottom"/>
          </w:tcPr>
          <w:p w14:paraId="4B4348D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1804" w:type="dxa"/>
            <w:vAlign w:val="bottom"/>
          </w:tcPr>
          <w:p w14:paraId="6F4D9553"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2081" w:type="dxa"/>
            <w:vAlign w:val="bottom"/>
          </w:tcPr>
          <w:p w14:paraId="0E6686B8"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r>
      <w:tr w:rsidR="00BE2A7C" w14:paraId="636520DE" w14:textId="77777777" w:rsidTr="00D46F7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26" w:type="dxa"/>
          </w:tcPr>
          <w:p w14:paraId="6C85FFB8" w14:textId="77777777" w:rsidR="00BE2A7C" w:rsidRDefault="00000000">
            <w:pPr>
              <w:rPr>
                <w:rFonts w:ascii="Open Sans" w:eastAsia="Open Sans" w:hAnsi="Open Sans" w:cs="Open Sans"/>
                <w:sz w:val="22"/>
                <w:szCs w:val="22"/>
              </w:rPr>
            </w:pPr>
            <w:r>
              <w:rPr>
                <w:rFonts w:ascii="Open Sans" w:eastAsia="Open Sans" w:hAnsi="Open Sans" w:cs="Open Sans"/>
                <w:b w:val="0"/>
              </w:rPr>
              <w:t xml:space="preserve">Diagonal Mar i el Front </w:t>
            </w:r>
            <w:proofErr w:type="spellStart"/>
            <w:r>
              <w:rPr>
                <w:rFonts w:ascii="Open Sans" w:eastAsia="Open Sans" w:hAnsi="Open Sans" w:cs="Open Sans"/>
                <w:b w:val="0"/>
              </w:rPr>
              <w:t>Marítim</w:t>
            </w:r>
            <w:proofErr w:type="spellEnd"/>
            <w:r>
              <w:rPr>
                <w:rFonts w:ascii="Open Sans" w:eastAsia="Open Sans" w:hAnsi="Open Sans" w:cs="Open Sans"/>
                <w:b w:val="0"/>
              </w:rPr>
              <w:t xml:space="preserve"> del Poblenou</w:t>
            </w:r>
          </w:p>
        </w:tc>
        <w:tc>
          <w:tcPr>
            <w:tcW w:w="1804" w:type="dxa"/>
            <w:vAlign w:val="bottom"/>
          </w:tcPr>
          <w:p w14:paraId="6BB01779"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3,3%</w:t>
            </w:r>
          </w:p>
        </w:tc>
        <w:tc>
          <w:tcPr>
            <w:tcW w:w="1804" w:type="dxa"/>
            <w:vAlign w:val="bottom"/>
          </w:tcPr>
          <w:p w14:paraId="5D8170DF"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3,5%</w:t>
            </w:r>
          </w:p>
        </w:tc>
        <w:tc>
          <w:tcPr>
            <w:tcW w:w="2081" w:type="dxa"/>
            <w:vAlign w:val="bottom"/>
          </w:tcPr>
          <w:p w14:paraId="49D3F4DA" w14:textId="77777777" w:rsidR="00BE2A7C"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r>
      <w:tr w:rsidR="00BE2A7C" w14:paraId="05B9118A" w14:textId="77777777" w:rsidTr="00D46F7C">
        <w:trPr>
          <w:trHeight w:val="301"/>
        </w:trPr>
        <w:tc>
          <w:tcPr>
            <w:cnfStyle w:val="001000000000" w:firstRow="0" w:lastRow="0" w:firstColumn="1" w:lastColumn="0" w:oddVBand="0" w:evenVBand="0" w:oddHBand="0" w:evenHBand="0" w:firstRowFirstColumn="0" w:firstRowLastColumn="0" w:lastRowFirstColumn="0" w:lastRowLastColumn="0"/>
            <w:tcW w:w="3326" w:type="dxa"/>
          </w:tcPr>
          <w:p w14:paraId="39AABE0A" w14:textId="77777777" w:rsidR="00BE2A7C" w:rsidRDefault="00000000">
            <w:pPr>
              <w:rPr>
                <w:rFonts w:ascii="Open Sans" w:eastAsia="Open Sans" w:hAnsi="Open Sans" w:cs="Open Sans"/>
                <w:sz w:val="22"/>
                <w:szCs w:val="22"/>
              </w:rPr>
            </w:pPr>
            <w:proofErr w:type="spellStart"/>
            <w:r>
              <w:rPr>
                <w:rFonts w:ascii="Open Sans" w:eastAsia="Open Sans" w:hAnsi="Open Sans" w:cs="Open Sans"/>
                <w:b w:val="0"/>
              </w:rPr>
              <w:t>Dreta</w:t>
            </w:r>
            <w:proofErr w:type="spellEnd"/>
            <w:r>
              <w:rPr>
                <w:rFonts w:ascii="Open Sans" w:eastAsia="Open Sans" w:hAnsi="Open Sans" w:cs="Open Sans"/>
                <w:b w:val="0"/>
              </w:rPr>
              <w:t xml:space="preserve"> de l'Eixample</w:t>
            </w:r>
          </w:p>
        </w:tc>
        <w:tc>
          <w:tcPr>
            <w:tcW w:w="1804" w:type="dxa"/>
            <w:vAlign w:val="bottom"/>
          </w:tcPr>
          <w:p w14:paraId="664953DB"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3,5%</w:t>
            </w:r>
          </w:p>
        </w:tc>
        <w:tc>
          <w:tcPr>
            <w:tcW w:w="1804" w:type="dxa"/>
            <w:vAlign w:val="bottom"/>
          </w:tcPr>
          <w:p w14:paraId="2622EAAD"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2081" w:type="dxa"/>
            <w:vAlign w:val="bottom"/>
          </w:tcPr>
          <w:p w14:paraId="2491BAD4" w14:textId="77777777" w:rsidR="00BE2A7C"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r>
    </w:tbl>
    <w:p w14:paraId="27E2894A" w14:textId="77777777" w:rsidR="00BE2A7C" w:rsidRDefault="00BE2A7C">
      <w:pPr>
        <w:spacing w:line="276" w:lineRule="auto"/>
        <w:ind w:right="-574"/>
        <w:jc w:val="right"/>
        <w:rPr>
          <w:rFonts w:ascii="Open Sans Light" w:eastAsia="Open Sans Light" w:hAnsi="Open Sans Light" w:cs="Open Sans Light"/>
          <w:b/>
          <w:color w:val="303AB2"/>
        </w:rPr>
      </w:pPr>
    </w:p>
    <w:p w14:paraId="38B9B187" w14:textId="77777777" w:rsidR="00BE2A7C" w:rsidRDefault="00BE2A7C">
      <w:pPr>
        <w:spacing w:line="276" w:lineRule="auto"/>
        <w:ind w:right="-716"/>
        <w:jc w:val="right"/>
        <w:rPr>
          <w:rFonts w:ascii="Open Sans Light" w:eastAsia="Open Sans Light" w:hAnsi="Open Sans Light" w:cs="Open Sans Light"/>
          <w:b/>
          <w:color w:val="303AB2"/>
        </w:rPr>
      </w:pPr>
    </w:p>
    <w:p w14:paraId="428FC4DC" w14:textId="77777777" w:rsidR="00BE2A7C" w:rsidRDefault="00000000" w:rsidP="00D46F7C">
      <w:pPr>
        <w:spacing w:line="276" w:lineRule="auto"/>
        <w:ind w:right="-574"/>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207FFD12" w14:textId="77777777" w:rsidR="00BE2A7C" w:rsidRDefault="00000000" w:rsidP="00D46F7C">
      <w:pP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25">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26">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4" w:name="_heading=h.2s8eyo1" w:colFirst="0" w:colLast="0"/>
    <w:bookmarkEnd w:id="4"/>
    <w:p w14:paraId="691C6A83" w14:textId="77777777" w:rsidR="00BE2A7C" w:rsidRDefault="00000000" w:rsidP="00D46F7C">
      <w:pPr>
        <w:shd w:val="clear" w:color="auto" w:fill="FFFFFF"/>
        <w:spacing w:before="280" w:after="280" w:line="276" w:lineRule="auto"/>
        <w:ind w:right="-574"/>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p>
    <w:p w14:paraId="022F0EAB" w14:textId="77777777" w:rsidR="00BE2A7C" w:rsidRDefault="00000000" w:rsidP="00D46F7C">
      <w:pPr>
        <w:shd w:val="clear" w:color="auto" w:fill="FFFFFF"/>
        <w:spacing w:before="280" w:after="280" w:line="276" w:lineRule="auto"/>
        <w:ind w:right="-574"/>
        <w:jc w:val="both"/>
        <w:rPr>
          <w:rFonts w:ascii="Open Sans" w:eastAsia="Open Sans" w:hAnsi="Open Sans" w:cs="Open Sans"/>
          <w:color w:val="000000"/>
          <w:sz w:val="22"/>
          <w:szCs w:val="22"/>
        </w:rPr>
      </w:pPr>
      <w:hyperlink r:id="rId27">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625258E3" w14:textId="77777777" w:rsidR="00BE2A7C" w:rsidRDefault="00BE2A7C" w:rsidP="00D46F7C">
      <w:pPr>
        <w:spacing w:line="276" w:lineRule="auto"/>
        <w:ind w:right="-574"/>
        <w:jc w:val="right"/>
        <w:rPr>
          <w:rFonts w:ascii="Open Sans Light" w:eastAsia="Open Sans Light" w:hAnsi="Open Sans Light" w:cs="Open Sans Light"/>
          <w:b/>
          <w:color w:val="303AB2"/>
        </w:rPr>
      </w:pPr>
    </w:p>
    <w:p w14:paraId="0C28E119" w14:textId="77777777" w:rsidR="00BE2A7C" w:rsidRDefault="00000000" w:rsidP="00D46F7C">
      <w:pPr>
        <w:spacing w:line="276" w:lineRule="auto"/>
        <w:ind w:right="-574"/>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17504464" w14:textId="77777777" w:rsidR="00BE2A7C" w:rsidRDefault="00000000" w:rsidP="00D46F7C">
      <w:pPr>
        <w:spacing w:before="143" w:after="200"/>
        <w:ind w:right="-574"/>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28">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9">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30">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31">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32">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7D5C6EAA" w14:textId="77777777" w:rsidR="00BE2A7C" w:rsidRDefault="00000000" w:rsidP="00D46F7C">
      <w:pPr>
        <w:spacing w:before="143" w:after="200"/>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5E0E74C1" w14:textId="77777777" w:rsidR="00BE2A7C" w:rsidRDefault="00000000" w:rsidP="00D46F7C">
      <w:pPr>
        <w:spacing w:before="143" w:after="200"/>
        <w:ind w:right="-574"/>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tiene presencia mundial en 10 países. El conjunto de sus plataformas locales recibe un promedio de 3.000 millones de visitas cada mes. </w:t>
      </w:r>
    </w:p>
    <w:p w14:paraId="6BA1F9D6" w14:textId="77777777" w:rsidR="00BE2A7C" w:rsidRDefault="00000000" w:rsidP="00D46F7C">
      <w:pPr>
        <w:spacing w:after="160"/>
        <w:ind w:right="-574"/>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33">
        <w:r>
          <w:rPr>
            <w:rFonts w:ascii="Open Sans" w:eastAsia="Open Sans" w:hAnsi="Open Sans" w:cs="Open Sans"/>
            <w:color w:val="1155CC"/>
            <w:sz w:val="22"/>
            <w:szCs w:val="22"/>
            <w:u w:val="single"/>
          </w:rPr>
          <w:t>adevinta.es</w:t>
        </w:r>
      </w:hyperlink>
    </w:p>
    <w:p w14:paraId="3FFA6BE5" w14:textId="77777777" w:rsidR="00BE2A7C" w:rsidRDefault="00BE2A7C" w:rsidP="00D46F7C">
      <w:pPr>
        <w:spacing w:after="160"/>
        <w:ind w:right="-574"/>
        <w:jc w:val="both"/>
        <w:rPr>
          <w:rFonts w:ascii="Open Sans" w:eastAsia="Open Sans" w:hAnsi="Open Sans" w:cs="Open Sans"/>
        </w:rPr>
      </w:pPr>
    </w:p>
    <w:p w14:paraId="050A126D" w14:textId="77777777" w:rsidR="00BE2A7C" w:rsidRDefault="00000000" w:rsidP="00D46F7C">
      <w:pPr>
        <w:spacing w:line="276" w:lineRule="auto"/>
        <w:ind w:right="-574"/>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lastRenderedPageBreak/>
        <w:t>Departamento Comunicación Fotocasa</w:t>
      </w:r>
    </w:p>
    <w:p w14:paraId="6E719817" w14:textId="77777777" w:rsidR="00BE2A7C" w:rsidRDefault="00000000" w:rsidP="00D46F7C">
      <w:pPr>
        <w:shd w:val="clear" w:color="auto" w:fill="FFFFFF"/>
        <w:spacing w:line="276" w:lineRule="auto"/>
        <w:ind w:right="-574"/>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16E4A8EA" w14:textId="77777777" w:rsidR="00BE2A7C" w:rsidRDefault="00000000" w:rsidP="00D46F7C">
      <w:pPr>
        <w:shd w:val="clear" w:color="auto" w:fill="FFFFFF"/>
        <w:spacing w:line="276" w:lineRule="auto"/>
        <w:ind w:right="-574"/>
        <w:rPr>
          <w:rFonts w:ascii="Open Sans" w:eastAsia="Open Sans" w:hAnsi="Open Sans" w:cs="Open Sans"/>
          <w:color w:val="0000FF"/>
          <w:sz w:val="22"/>
          <w:szCs w:val="22"/>
          <w:u w:val="single"/>
        </w:rPr>
      </w:pPr>
      <w:hyperlink r:id="rId34">
        <w:r>
          <w:rPr>
            <w:rFonts w:ascii="Open Sans" w:eastAsia="Open Sans" w:hAnsi="Open Sans" w:cs="Open Sans"/>
            <w:color w:val="0000FF"/>
            <w:sz w:val="22"/>
            <w:szCs w:val="22"/>
            <w:u w:val="single"/>
          </w:rPr>
          <w:t>comunicacion@fotocasa.es</w:t>
        </w:r>
      </w:hyperlink>
    </w:p>
    <w:p w14:paraId="5D30C48A" w14:textId="77777777" w:rsidR="00BE2A7C" w:rsidRDefault="00000000" w:rsidP="00D46F7C">
      <w:pPr>
        <w:shd w:val="clear" w:color="auto" w:fill="FFFFFF"/>
        <w:spacing w:line="276" w:lineRule="auto"/>
        <w:ind w:right="-574"/>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32F0D06E" w14:textId="77777777" w:rsidR="00BE2A7C" w:rsidRDefault="00BE2A7C" w:rsidP="00D46F7C">
      <w:pPr>
        <w:spacing w:line="276" w:lineRule="auto"/>
        <w:ind w:right="-574"/>
        <w:rPr>
          <w:rFonts w:ascii="Open Sans Light" w:eastAsia="Open Sans Light" w:hAnsi="Open Sans Light" w:cs="Open Sans Light"/>
          <w:b/>
          <w:color w:val="303AB2"/>
          <w:sz w:val="22"/>
          <w:szCs w:val="22"/>
        </w:rPr>
      </w:pPr>
    </w:p>
    <w:p w14:paraId="5B78CDD2" w14:textId="77777777" w:rsidR="00BE2A7C" w:rsidRDefault="00000000" w:rsidP="00D46F7C">
      <w:pPr>
        <w:spacing w:line="276" w:lineRule="auto"/>
        <w:ind w:right="-574"/>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447CE487" w14:textId="77777777" w:rsidR="00BE2A7C" w:rsidRDefault="00000000" w:rsidP="00D46F7C">
      <w:pPr>
        <w:shd w:val="clear" w:color="auto" w:fill="FFFFFF"/>
        <w:spacing w:line="276" w:lineRule="auto"/>
        <w:ind w:right="-574"/>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0657F6D3" w14:textId="77777777" w:rsidR="00BE2A7C" w:rsidRPr="002534FD" w:rsidRDefault="00000000" w:rsidP="00D46F7C">
      <w:pPr>
        <w:shd w:val="clear" w:color="auto" w:fill="FFFFFF"/>
        <w:spacing w:line="276" w:lineRule="auto"/>
        <w:ind w:right="-574"/>
        <w:rPr>
          <w:rFonts w:ascii="Open Sans" w:eastAsia="Open Sans" w:hAnsi="Open Sans" w:cs="Open Sans"/>
          <w:color w:val="0000FF"/>
          <w:sz w:val="22"/>
          <w:szCs w:val="22"/>
          <w:u w:val="single"/>
          <w:lang w:val="en-US"/>
        </w:rPr>
      </w:pPr>
      <w:hyperlink r:id="rId35">
        <w:r w:rsidRPr="002534FD">
          <w:rPr>
            <w:rFonts w:ascii="Open Sans" w:eastAsia="Open Sans" w:hAnsi="Open Sans" w:cs="Open Sans"/>
            <w:color w:val="0000FF"/>
            <w:sz w:val="22"/>
            <w:szCs w:val="22"/>
            <w:u w:val="single"/>
            <w:lang w:val="en-US"/>
          </w:rPr>
          <w:t>rtorne@llorenteycuenca.com</w:t>
        </w:r>
      </w:hyperlink>
      <w:r w:rsidRPr="002534FD">
        <w:rPr>
          <w:rFonts w:ascii="Open Sans" w:eastAsia="Open Sans" w:hAnsi="Open Sans" w:cs="Open Sans"/>
          <w:color w:val="0000FF"/>
          <w:sz w:val="22"/>
          <w:szCs w:val="22"/>
          <w:lang w:val="en-US"/>
        </w:rPr>
        <w:tab/>
      </w:r>
      <w:r w:rsidRPr="002534FD">
        <w:rPr>
          <w:rFonts w:ascii="Open Sans" w:eastAsia="Open Sans" w:hAnsi="Open Sans" w:cs="Open Sans"/>
          <w:color w:val="0000FF"/>
          <w:sz w:val="22"/>
          <w:szCs w:val="22"/>
          <w:lang w:val="en-US"/>
        </w:rPr>
        <w:tab/>
      </w:r>
      <w:r w:rsidRPr="002534FD">
        <w:rPr>
          <w:rFonts w:ascii="Open Sans" w:eastAsia="Open Sans" w:hAnsi="Open Sans" w:cs="Open Sans"/>
          <w:color w:val="0000FF"/>
          <w:sz w:val="22"/>
          <w:szCs w:val="22"/>
          <w:lang w:val="en-US"/>
        </w:rPr>
        <w:tab/>
      </w:r>
    </w:p>
    <w:p w14:paraId="0E235B17" w14:textId="77777777" w:rsidR="00D46F7C" w:rsidRDefault="00000000" w:rsidP="00D46F7C">
      <w:pPr>
        <w:shd w:val="clear" w:color="auto" w:fill="FFFFFF"/>
        <w:spacing w:line="276" w:lineRule="auto"/>
        <w:ind w:right="-574"/>
        <w:rPr>
          <w:rFonts w:ascii="Open Sans" w:eastAsia="Open Sans" w:hAnsi="Open Sans" w:cs="Open Sans"/>
          <w:color w:val="000000"/>
          <w:sz w:val="22"/>
          <w:szCs w:val="22"/>
          <w:lang w:val="en-US"/>
        </w:rPr>
      </w:pPr>
      <w:r w:rsidRPr="002534FD">
        <w:rPr>
          <w:rFonts w:ascii="Open Sans" w:eastAsia="Open Sans" w:hAnsi="Open Sans" w:cs="Open Sans"/>
          <w:color w:val="000000"/>
          <w:sz w:val="22"/>
          <w:szCs w:val="22"/>
          <w:lang w:val="en-US"/>
        </w:rPr>
        <w:t xml:space="preserve">638 68 19 85      </w:t>
      </w:r>
      <w:r w:rsidRPr="002534FD">
        <w:rPr>
          <w:rFonts w:ascii="Open Sans" w:eastAsia="Open Sans" w:hAnsi="Open Sans" w:cs="Open Sans"/>
          <w:color w:val="000000"/>
          <w:sz w:val="22"/>
          <w:szCs w:val="22"/>
          <w:lang w:val="en-US"/>
        </w:rPr>
        <w:tab/>
      </w:r>
    </w:p>
    <w:p w14:paraId="77A49FB7" w14:textId="53C6D698" w:rsidR="00BE2A7C" w:rsidRPr="002534FD" w:rsidRDefault="00000000" w:rsidP="00D46F7C">
      <w:pPr>
        <w:shd w:val="clear" w:color="auto" w:fill="FFFFFF"/>
        <w:spacing w:line="276" w:lineRule="auto"/>
        <w:ind w:right="-574"/>
        <w:rPr>
          <w:rFonts w:ascii="Open Sans" w:eastAsia="Open Sans" w:hAnsi="Open Sans" w:cs="Open Sans"/>
          <w:color w:val="000000"/>
          <w:sz w:val="22"/>
          <w:szCs w:val="22"/>
          <w:lang w:val="en-US"/>
        </w:rPr>
      </w:pPr>
      <w:r w:rsidRPr="002534FD">
        <w:rPr>
          <w:rFonts w:ascii="Open Sans" w:eastAsia="Open Sans" w:hAnsi="Open Sans" w:cs="Open Sans"/>
          <w:color w:val="000000"/>
          <w:sz w:val="22"/>
          <w:szCs w:val="22"/>
          <w:lang w:val="en-US"/>
        </w:rPr>
        <w:tab/>
      </w:r>
      <w:r w:rsidRPr="002534FD">
        <w:rPr>
          <w:rFonts w:ascii="Open Sans" w:eastAsia="Open Sans" w:hAnsi="Open Sans" w:cs="Open Sans"/>
          <w:color w:val="000000"/>
          <w:sz w:val="22"/>
          <w:szCs w:val="22"/>
          <w:lang w:val="en-US"/>
        </w:rPr>
        <w:tab/>
      </w:r>
      <w:r w:rsidRPr="002534FD">
        <w:rPr>
          <w:rFonts w:ascii="Open Sans" w:eastAsia="Open Sans" w:hAnsi="Open Sans" w:cs="Open Sans"/>
          <w:color w:val="000000"/>
          <w:sz w:val="22"/>
          <w:szCs w:val="22"/>
          <w:lang w:val="en-US"/>
        </w:rPr>
        <w:tab/>
      </w:r>
      <w:r w:rsidRPr="002534FD">
        <w:rPr>
          <w:rFonts w:ascii="Open Sans" w:eastAsia="Open Sans" w:hAnsi="Open Sans" w:cs="Open Sans"/>
          <w:color w:val="000000"/>
          <w:sz w:val="22"/>
          <w:szCs w:val="22"/>
          <w:lang w:val="en-US"/>
        </w:rPr>
        <w:tab/>
      </w:r>
      <w:r w:rsidRPr="002534FD">
        <w:rPr>
          <w:rFonts w:ascii="Open Sans" w:eastAsia="Open Sans" w:hAnsi="Open Sans" w:cs="Open Sans"/>
          <w:color w:val="000000"/>
          <w:sz w:val="22"/>
          <w:szCs w:val="22"/>
          <w:lang w:val="en-US"/>
        </w:rPr>
        <w:tab/>
      </w:r>
      <w:r w:rsidRPr="002534FD">
        <w:rPr>
          <w:rFonts w:ascii="Open Sans" w:eastAsia="Open Sans" w:hAnsi="Open Sans" w:cs="Open Sans"/>
          <w:color w:val="000000"/>
          <w:sz w:val="22"/>
          <w:szCs w:val="22"/>
          <w:lang w:val="en-US"/>
        </w:rPr>
        <w:tab/>
      </w:r>
      <w:r w:rsidRPr="002534FD">
        <w:rPr>
          <w:rFonts w:ascii="Open Sans" w:eastAsia="Open Sans" w:hAnsi="Open Sans" w:cs="Open Sans"/>
          <w:color w:val="000000"/>
          <w:sz w:val="22"/>
          <w:szCs w:val="22"/>
          <w:lang w:val="en-US"/>
        </w:rPr>
        <w:tab/>
      </w:r>
      <w:r w:rsidRPr="002534FD">
        <w:rPr>
          <w:rFonts w:ascii="Arial" w:eastAsia="Arial" w:hAnsi="Arial" w:cs="Arial"/>
          <w:color w:val="222222"/>
          <w:sz w:val="22"/>
          <w:szCs w:val="22"/>
          <w:lang w:val="en-US"/>
        </w:rPr>
        <w:tab/>
      </w:r>
      <w:r w:rsidRPr="002534FD">
        <w:rPr>
          <w:rFonts w:ascii="Arial" w:eastAsia="Arial" w:hAnsi="Arial" w:cs="Arial"/>
          <w:color w:val="222222"/>
          <w:sz w:val="22"/>
          <w:szCs w:val="22"/>
          <w:lang w:val="en-US"/>
        </w:rPr>
        <w:tab/>
        <w:t xml:space="preserve">     </w:t>
      </w:r>
    </w:p>
    <w:p w14:paraId="01902FFD" w14:textId="77777777" w:rsidR="00BE2A7C" w:rsidRPr="002534FD" w:rsidRDefault="00000000" w:rsidP="00D46F7C">
      <w:pPr>
        <w:shd w:val="clear" w:color="auto" w:fill="FFFFFF"/>
        <w:ind w:right="-574"/>
        <w:rPr>
          <w:rFonts w:ascii="Open Sans" w:eastAsia="Open Sans" w:hAnsi="Open Sans" w:cs="Open Sans"/>
          <w:b/>
          <w:color w:val="000000"/>
          <w:sz w:val="22"/>
          <w:szCs w:val="22"/>
          <w:lang w:val="en-US"/>
        </w:rPr>
      </w:pPr>
      <w:r w:rsidRPr="002534FD">
        <w:rPr>
          <w:rFonts w:ascii="Open Sans" w:eastAsia="Open Sans" w:hAnsi="Open Sans" w:cs="Open Sans"/>
          <w:b/>
          <w:color w:val="000000"/>
          <w:sz w:val="22"/>
          <w:szCs w:val="22"/>
          <w:lang w:val="en-US"/>
        </w:rPr>
        <w:t>Fanny Merino</w:t>
      </w:r>
    </w:p>
    <w:p w14:paraId="138D9DCF" w14:textId="77777777" w:rsidR="00BE2A7C" w:rsidRPr="002534FD" w:rsidRDefault="00000000" w:rsidP="00D46F7C">
      <w:pPr>
        <w:shd w:val="clear" w:color="auto" w:fill="FFFFFF"/>
        <w:ind w:right="-574"/>
        <w:rPr>
          <w:rFonts w:ascii="Open Sans" w:eastAsia="Open Sans" w:hAnsi="Open Sans" w:cs="Open Sans"/>
          <w:b/>
          <w:color w:val="000000"/>
          <w:sz w:val="22"/>
          <w:szCs w:val="22"/>
          <w:lang w:val="en-US"/>
        </w:rPr>
      </w:pPr>
      <w:hyperlink r:id="rId36">
        <w:r w:rsidRPr="002534FD">
          <w:rPr>
            <w:rFonts w:ascii="Open Sans" w:eastAsia="Open Sans" w:hAnsi="Open Sans" w:cs="Open Sans"/>
            <w:color w:val="0000FF"/>
            <w:sz w:val="22"/>
            <w:szCs w:val="22"/>
            <w:u w:val="single"/>
            <w:lang w:val="en-US"/>
          </w:rPr>
          <w:t>emerino@llorenteycuenca.com</w:t>
        </w:r>
      </w:hyperlink>
      <w:r w:rsidRPr="002534FD">
        <w:rPr>
          <w:rFonts w:ascii="Open Sans" w:eastAsia="Open Sans" w:hAnsi="Open Sans" w:cs="Open Sans"/>
          <w:color w:val="0000FF"/>
          <w:sz w:val="22"/>
          <w:szCs w:val="22"/>
          <w:lang w:val="en-US"/>
        </w:rPr>
        <w:tab/>
      </w:r>
      <w:r w:rsidRPr="002534FD">
        <w:rPr>
          <w:rFonts w:ascii="Open Sans" w:eastAsia="Open Sans" w:hAnsi="Open Sans" w:cs="Open Sans"/>
          <w:color w:val="0000FF"/>
          <w:sz w:val="22"/>
          <w:szCs w:val="22"/>
          <w:lang w:val="en-US"/>
        </w:rPr>
        <w:tab/>
      </w:r>
    </w:p>
    <w:p w14:paraId="3AEBB7B6" w14:textId="77777777" w:rsidR="00BE2A7C" w:rsidRDefault="00000000" w:rsidP="00D46F7C">
      <w:pPr>
        <w:shd w:val="clear" w:color="auto" w:fill="FFFFFF"/>
        <w:ind w:right="-574"/>
        <w:rPr>
          <w:rFonts w:ascii="Open Sans" w:eastAsia="Open Sans" w:hAnsi="Open Sans" w:cs="Open Sans"/>
          <w:color w:val="000000"/>
          <w:sz w:val="22"/>
          <w:szCs w:val="22"/>
        </w:rPr>
      </w:pPr>
      <w:r>
        <w:rPr>
          <w:rFonts w:ascii="Open Sans" w:eastAsia="Open Sans" w:hAnsi="Open Sans" w:cs="Open Sans"/>
          <w:color w:val="000000"/>
          <w:sz w:val="22"/>
          <w:szCs w:val="22"/>
        </w:rPr>
        <w:t>663 35 69 75 </w:t>
      </w:r>
    </w:p>
    <w:p w14:paraId="7FF39838" w14:textId="77777777" w:rsidR="00BE2A7C" w:rsidRDefault="00BE2A7C" w:rsidP="00D46F7C">
      <w:pPr>
        <w:shd w:val="clear" w:color="auto" w:fill="FFFFFF"/>
        <w:ind w:right="-574"/>
        <w:rPr>
          <w:rFonts w:ascii="Open Sans" w:eastAsia="Open Sans" w:hAnsi="Open Sans" w:cs="Open Sans"/>
          <w:color w:val="000000"/>
          <w:sz w:val="22"/>
          <w:szCs w:val="22"/>
        </w:rPr>
      </w:pPr>
    </w:p>
    <w:p w14:paraId="3F238F6F" w14:textId="77777777" w:rsidR="00BE2A7C" w:rsidRDefault="00BE2A7C" w:rsidP="00D46F7C">
      <w:pPr>
        <w:shd w:val="clear" w:color="auto" w:fill="FFFFFF"/>
        <w:ind w:right="-574"/>
        <w:rPr>
          <w:rFonts w:ascii="Open Sans" w:eastAsia="Open Sans" w:hAnsi="Open Sans" w:cs="Open Sans"/>
          <w:color w:val="000000"/>
          <w:sz w:val="22"/>
          <w:szCs w:val="22"/>
        </w:rPr>
      </w:pPr>
    </w:p>
    <w:p w14:paraId="52426F2A" w14:textId="77777777" w:rsidR="00BE2A7C" w:rsidRDefault="00BE2A7C" w:rsidP="00D46F7C">
      <w:pPr>
        <w:spacing w:line="276" w:lineRule="auto"/>
        <w:ind w:right="-574"/>
        <w:jc w:val="right"/>
      </w:pPr>
    </w:p>
    <w:p w14:paraId="59AF6FEE" w14:textId="77777777" w:rsidR="00BE2A7C" w:rsidRDefault="00BE2A7C">
      <w:pPr>
        <w:spacing w:line="276" w:lineRule="auto"/>
        <w:ind w:right="-574"/>
        <w:jc w:val="right"/>
        <w:rPr>
          <w:rFonts w:ascii="Open Sans" w:eastAsia="Open Sans" w:hAnsi="Open Sans" w:cs="Open Sans"/>
          <w:color w:val="000000"/>
          <w:sz w:val="21"/>
          <w:szCs w:val="21"/>
        </w:rPr>
      </w:pPr>
    </w:p>
    <w:sectPr w:rsidR="00BE2A7C">
      <w:footerReference w:type="default" r:id="rId37"/>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52F8" w14:textId="77777777" w:rsidR="00B9031A" w:rsidRDefault="00B9031A">
      <w:r>
        <w:separator/>
      </w:r>
    </w:p>
  </w:endnote>
  <w:endnote w:type="continuationSeparator" w:id="0">
    <w:p w14:paraId="5567DA42" w14:textId="77777777" w:rsidR="00B9031A" w:rsidRDefault="00B9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8F6B" w14:textId="77777777" w:rsidR="00BE2A7C" w:rsidRDefault="00000000">
    <w:pPr>
      <w:pBdr>
        <w:top w:val="nil"/>
        <w:left w:val="nil"/>
        <w:bottom w:val="nil"/>
        <w:right w:val="nil"/>
        <w:between w:val="nil"/>
      </w:pBdr>
      <w:tabs>
        <w:tab w:val="center" w:pos="4252"/>
        <w:tab w:val="right" w:pos="8504"/>
      </w:tabs>
      <w:jc w:val="right"/>
      <w:rPr>
        <w:color w:val="000000"/>
      </w:rPr>
    </w:pPr>
    <w:r>
      <w:rPr>
        <w:color w:val="4472C4"/>
        <w:sz w:val="20"/>
        <w:szCs w:val="20"/>
      </w:rPr>
      <w:t xml:space="preserve">pág. </w:t>
    </w:r>
    <w:r>
      <w:rPr>
        <w:color w:val="4472C4"/>
        <w:sz w:val="20"/>
        <w:szCs w:val="20"/>
      </w:rPr>
      <w:fldChar w:fldCharType="begin"/>
    </w:r>
    <w:r>
      <w:rPr>
        <w:color w:val="4472C4"/>
        <w:sz w:val="20"/>
        <w:szCs w:val="20"/>
      </w:rPr>
      <w:instrText>PAGE</w:instrText>
    </w:r>
    <w:r>
      <w:rPr>
        <w:color w:val="4472C4"/>
        <w:sz w:val="20"/>
        <w:szCs w:val="20"/>
      </w:rPr>
      <w:fldChar w:fldCharType="separate"/>
    </w:r>
    <w:r w:rsidR="002534FD">
      <w:rPr>
        <w:noProof/>
        <w:color w:val="4472C4"/>
        <w:sz w:val="20"/>
        <w:szCs w:val="20"/>
      </w:rPr>
      <w:t>1</w:t>
    </w:r>
    <w:r>
      <w:rPr>
        <w:color w:val="4472C4"/>
        <w:sz w:val="20"/>
        <w:szCs w:val="20"/>
      </w:rPr>
      <w:fldChar w:fldCharType="end"/>
    </w:r>
  </w:p>
  <w:p w14:paraId="568BD064" w14:textId="77777777" w:rsidR="00BE2A7C" w:rsidRDefault="00BE2A7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94B6" w14:textId="77777777" w:rsidR="00B9031A" w:rsidRDefault="00B9031A">
      <w:r>
        <w:separator/>
      </w:r>
    </w:p>
  </w:footnote>
  <w:footnote w:type="continuationSeparator" w:id="0">
    <w:p w14:paraId="18536BA2" w14:textId="77777777" w:rsidR="00B9031A" w:rsidRDefault="00B9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48A0"/>
    <w:multiLevelType w:val="multilevel"/>
    <w:tmpl w:val="CF604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309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7C"/>
    <w:rsid w:val="002534FD"/>
    <w:rsid w:val="00673F92"/>
    <w:rsid w:val="00B9031A"/>
    <w:rsid w:val="00BE2A7C"/>
    <w:rsid w:val="00D46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4729"/>
  <w15:docId w15:val="{66234ED8-4742-417E-B47C-CA7A358E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CA"/>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Refdecomentario">
    <w:name w:val="annotation reference"/>
    <w:uiPriority w:val="99"/>
    <w:semiHidden/>
    <w:unhideWhenUsed/>
    <w:rsid w:val="00964BED"/>
    <w:rPr>
      <w:sz w:val="16"/>
      <w:szCs w:val="16"/>
    </w:rPr>
  </w:style>
  <w:style w:type="paragraph" w:styleId="Textocomentario">
    <w:name w:val="annotation text"/>
    <w:basedOn w:val="Normal"/>
    <w:link w:val="TextocomentarioCar"/>
    <w:uiPriority w:val="99"/>
    <w:semiHidden/>
    <w:unhideWhenUsed/>
    <w:rsid w:val="00964BED"/>
    <w:rPr>
      <w:sz w:val="20"/>
      <w:szCs w:val="20"/>
    </w:rPr>
  </w:style>
  <w:style w:type="character" w:customStyle="1" w:styleId="TextocomentarioCar">
    <w:name w:val="Texto comentario Car"/>
    <w:link w:val="Textocomentario"/>
    <w:uiPriority w:val="99"/>
    <w:semiHidden/>
    <w:rsid w:val="00964BED"/>
    <w:rPr>
      <w:sz w:val="20"/>
      <w:szCs w:val="20"/>
    </w:rPr>
  </w:style>
  <w:style w:type="character" w:styleId="Mencinsinresolver">
    <w:name w:val="Unresolved Mention"/>
    <w:uiPriority w:val="99"/>
    <w:semiHidden/>
    <w:unhideWhenUsed/>
    <w:rsid w:val="00E84EE3"/>
    <w:rPr>
      <w:color w:val="605E5C"/>
      <w:shd w:val="clear" w:color="auto" w:fill="E1DFDD"/>
    </w:rPr>
  </w:style>
  <w:style w:type="paragraph" w:customStyle="1" w:styleId="Cuerpo">
    <w:name w:val="Cuerpo"/>
    <w:rsid w:val="0014415E"/>
    <w:rPr>
      <w:rFonts w:ascii="Times New Roman" w:eastAsia="Arial Unicode MS" w:hAnsi="Times New Roman" w:cs="Arial Unicode MS"/>
      <w:color w:val="000000"/>
      <w:u w:color="000000"/>
      <w:lang w:val="en-US" w:eastAsia="en-US"/>
    </w:rPr>
  </w:style>
  <w:style w:type="character" w:customStyle="1" w:styleId="Ninguno">
    <w:name w:val="Ninguno"/>
    <w:rsid w:val="0014415E"/>
    <w:rPr>
      <w:lang w:val="es-ES_tradnl"/>
    </w:rPr>
  </w:style>
  <w:style w:type="table" w:styleId="Tablaconcuadrcula5oscura-nfasis1">
    <w:name w:val="Grid Table 5 Dark Accent 1"/>
    <w:basedOn w:val="Tablanormal"/>
    <w:uiPriority w:val="50"/>
    <w:rsid w:val="001441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Texto">
    <w:name w:val="Texto"/>
    <w:basedOn w:val="Normal"/>
    <w:uiPriority w:val="99"/>
    <w:rsid w:val="0014415E"/>
    <w:rPr>
      <w:rFonts w:ascii="Gill Sans MT" w:eastAsia="Times New Roman" w:hAnsi="Gill Sans MT" w:cs="Arial"/>
      <w:sz w:val="22"/>
      <w:szCs w:val="22"/>
      <w:lang w:val="pt-BR" w:eastAsia="es-ES"/>
    </w:rPr>
  </w:style>
  <w:style w:type="paragraph" w:customStyle="1" w:styleId="Listavistosa-nfasis11">
    <w:name w:val="Lista vistosa - Énfasis 11"/>
    <w:basedOn w:val="Normal"/>
    <w:qFormat/>
    <w:rsid w:val="0014415E"/>
    <w:pPr>
      <w:ind w:left="708"/>
    </w:pPr>
    <w:rPr>
      <w:rFonts w:ascii="Times New Roman" w:eastAsia="Times New Roman" w:hAnsi="Times New Roman" w:cs="Times New Roman"/>
      <w:lang w:val="es-ES" w:eastAsia="es-ES"/>
    </w:rPr>
  </w:style>
  <w:style w:type="character" w:styleId="nfasis">
    <w:name w:val="Emphasis"/>
    <w:qFormat/>
    <w:rsid w:val="0014415E"/>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
    <w:name w:val="5"/>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
    <w:name w:val="4"/>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
    <w:name w:val="1"/>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prensa.fotocasa.es" TargetMode="External"/><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hyperlink" Target="mailto:comunicacion@fotocasa.es"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png"/><Relationship Id="rId25" Type="http://schemas.openxmlformats.org/officeDocument/2006/relationships/hyperlink" Target="https://www.fotocasa.es/indice/" TargetMode="External"/><Relationship Id="rId33" Type="http://schemas.openxmlformats.org/officeDocument/2006/relationships/hyperlink" Target="http://adevinta.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tocasa.es" TargetMode="External"/><Relationship Id="rId20" Type="http://schemas.openxmlformats.org/officeDocument/2006/relationships/image" Target="media/image7.png"/><Relationship Id="rId29" Type="http://schemas.openxmlformats.org/officeDocument/2006/relationships/hyperlink" Target="https://www.habitacl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tocasa.es" TargetMode="External"/><Relationship Id="rId24" Type="http://schemas.openxmlformats.org/officeDocument/2006/relationships/hyperlink" Target="http://www.fotocasa.es" TargetMode="External"/><Relationship Id="rId32" Type="http://schemas.openxmlformats.org/officeDocument/2006/relationships/hyperlink" Target="https://motos.coches.ne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https://www.fotocasa.es/es/" TargetMode="External"/><Relationship Id="rId36" Type="http://schemas.openxmlformats.org/officeDocument/2006/relationships/hyperlink" Target="mailto:emerino@llorenteycuenca.com" TargetMode="External"/><Relationship Id="rId10" Type="http://schemas.openxmlformats.org/officeDocument/2006/relationships/chart" Target="charts/chart1.xml"/><Relationship Id="rId19" Type="http://schemas.openxmlformats.org/officeDocument/2006/relationships/hyperlink" Target="http://www.fotocasa.es" TargetMode="External"/><Relationship Id="rId31" Type="http://schemas.openxmlformats.org/officeDocument/2006/relationships/hyperlink" Target="https://www.coches.net/" TargetMode="External"/><Relationship Id="rId4" Type="http://schemas.openxmlformats.org/officeDocument/2006/relationships/settings" Target="settings.xml"/><Relationship Id="rId9" Type="http://schemas.openxmlformats.org/officeDocument/2006/relationships/hyperlink" Target="http://www.fotocasa.es"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https://www.fotocasa.es/es/quienes-somos/" TargetMode="External"/><Relationship Id="rId30" Type="http://schemas.openxmlformats.org/officeDocument/2006/relationships/hyperlink" Target="https://www.infojobs.net/" TargetMode="External"/><Relationship Id="rId35" Type="http://schemas.openxmlformats.org/officeDocument/2006/relationships/hyperlink" Target="mailto:rtorne@llorenteycuenca.com"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Mi%20unidad\01-SCHIBSTED\04-ESTUDIO%20NdP\RENTABILIDAD\NOTAS%20DE%20PRENSA\2023\DICIEMBRE\Prensa%20Rentabilidad%20DIC%202023.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Mi%20unidad\01-SCHIBSTED\04-ESTUDIO%20NdP\RENTABILIDAD\NOTAS%20DE%20PRENSA\2023\DICIEMBRE\Prensa%20Rentabilidad%20DIC%202023.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rgbClr val="5B9BD5">
              <a:lumMod val="75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5B9BD5">
              <a:lumMod val="75000"/>
            </a:srgbClr>
          </a:solidFill>
          <a:ln>
            <a:noFill/>
          </a:ln>
          <a:effectLst/>
        </c:spPr>
      </c:pivotFmt>
      <c:pivotFmt>
        <c:idx val="2"/>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FFC000"/>
          </a:solidFill>
          <a:ln>
            <a:noFill/>
          </a:ln>
          <a:effectLst/>
        </c:spPr>
      </c:pivotFmt>
    </c:pivotFmts>
    <c:plotArea>
      <c:layout>
        <c:manualLayout>
          <c:layoutTarget val="inner"/>
          <c:xMode val="edge"/>
          <c:yMode val="edge"/>
          <c:x val="2.2340177791318444E-2"/>
          <c:y val="7.0858725761772851E-2"/>
          <c:w val="0.95319907059649567"/>
          <c:h val="0.65395816520164896"/>
        </c:manualLayout>
      </c:layout>
      <c:barChart>
        <c:barDir val="col"/>
        <c:grouping val="clustered"/>
        <c:varyColors val="0"/>
        <c:ser>
          <c:idx val="0"/>
          <c:order val="0"/>
          <c:tx>
            <c:strRef>
              <c:f>Hoja1!$F$2</c:f>
              <c:strCache>
                <c:ptCount val="1"/>
                <c:pt idx="0">
                  <c:v>España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Hoja1!$E$3:$E$10</c:f>
              <c:strCache>
                <c:ptCount val="8"/>
                <c:pt idx="0">
                  <c:v>2008                            (15 AÑOS)</c:v>
                </c:pt>
                <c:pt idx="1">
                  <c:v>2013                        (10 AÑOS)</c:v>
                </c:pt>
                <c:pt idx="2">
                  <c:v>2018                        (5 AÑOS)</c:v>
                </c:pt>
                <c:pt idx="3">
                  <c:v>2019</c:v>
                </c:pt>
                <c:pt idx="4">
                  <c:v>2020</c:v>
                </c:pt>
                <c:pt idx="5">
                  <c:v>2021</c:v>
                </c:pt>
                <c:pt idx="6">
                  <c:v>2022                       (1 AÑO)</c:v>
                </c:pt>
                <c:pt idx="7">
                  <c:v>2023</c:v>
                </c:pt>
              </c:strCache>
            </c:strRef>
          </c:cat>
          <c:val>
            <c:numRef>
              <c:f>Hoja1!$F$3:$F$10</c:f>
              <c:numCache>
                <c:formatCode>0.0%</c:formatCode>
                <c:ptCount val="8"/>
                <c:pt idx="0">
                  <c:v>4.1223858702402527E-2</c:v>
                </c:pt>
                <c:pt idx="1">
                  <c:v>4.785734031512312E-2</c:v>
                </c:pt>
                <c:pt idx="2">
                  <c:v>6.2207106867722371E-2</c:v>
                </c:pt>
                <c:pt idx="3">
                  <c:v>6.6187705211143963E-2</c:v>
                </c:pt>
                <c:pt idx="4">
                  <c:v>6.8126935727193721E-2</c:v>
                </c:pt>
                <c:pt idx="5">
                  <c:v>6.4616933369686033E-2</c:v>
                </c:pt>
                <c:pt idx="6">
                  <c:v>6.4540037643479181E-2</c:v>
                </c:pt>
                <c:pt idx="7">
                  <c:v>6.3510507920657253E-2</c:v>
                </c:pt>
              </c:numCache>
            </c:numRef>
          </c:val>
          <c:extLst>
            <c:ext xmlns:c16="http://schemas.microsoft.com/office/drawing/2014/chart" uri="{C3380CC4-5D6E-409C-BE32-E72D297353CC}">
              <c16:uniqueId val="{00000000-FAC1-4B9B-89BA-55CB2F7AE645}"/>
            </c:ext>
          </c:extLst>
        </c:ser>
        <c:dLbls>
          <c:showLegendKey val="0"/>
          <c:showVal val="0"/>
          <c:showCatName val="0"/>
          <c:showSerName val="0"/>
          <c:showPercent val="0"/>
          <c:showBubbleSize val="0"/>
        </c:dLbls>
        <c:gapWidth val="50"/>
        <c:overlap val="-27"/>
        <c:axId val="1587936352"/>
        <c:axId val="663677872"/>
      </c:barChart>
      <c:catAx>
        <c:axId val="1587936352"/>
        <c:scaling>
          <c:orientation val="minMax"/>
        </c:scaling>
        <c:delete val="0"/>
        <c:axPos val="b"/>
        <c:numFmt formatCode="General" sourceLinked="1"/>
        <c:majorTickMark val="cross"/>
        <c:minorTickMark val="none"/>
        <c:tickLblPos val="nextTo"/>
        <c:spPr>
          <a:noFill/>
          <a:ln w="222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ES"/>
          </a:p>
        </c:txPr>
        <c:crossAx val="663677872"/>
        <c:crosses val="autoZero"/>
        <c:auto val="1"/>
        <c:lblAlgn val="ctr"/>
        <c:lblOffset val="100"/>
        <c:noMultiLvlLbl val="0"/>
      </c:catAx>
      <c:valAx>
        <c:axId val="663677872"/>
        <c:scaling>
          <c:orientation val="minMax"/>
        </c:scaling>
        <c:delete val="1"/>
        <c:axPos val="l"/>
        <c:numFmt formatCode="0.0%" sourceLinked="1"/>
        <c:majorTickMark val="none"/>
        <c:minorTickMark val="none"/>
        <c:tickLblPos val="nextTo"/>
        <c:crossAx val="1587936352"/>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rgbClr val="5B9BD5">
              <a:lumMod val="75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5B9BD5">
              <a:lumMod val="75000"/>
            </a:srgbClr>
          </a:solidFill>
          <a:ln>
            <a:noFill/>
          </a:ln>
          <a:effectLst/>
        </c:spPr>
      </c:pivotFmt>
      <c:pivotFmt>
        <c:idx val="2"/>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FFC000"/>
          </a:solidFill>
          <a:ln>
            <a:noFill/>
          </a:ln>
          <a:effectLst/>
        </c:spPr>
      </c:pivotFmt>
    </c:pivotFmts>
    <c:plotArea>
      <c:layout>
        <c:manualLayout>
          <c:layoutTarget val="inner"/>
          <c:xMode val="edge"/>
          <c:yMode val="edge"/>
          <c:x val="0.11096868315838312"/>
          <c:y val="3.9327142466813104E-2"/>
          <c:w val="0.88444475710478754"/>
          <c:h val="0.57262173347505152"/>
        </c:manualLayout>
      </c:layout>
      <c:barChart>
        <c:barDir val="col"/>
        <c:grouping val="clustered"/>
        <c:varyColors val="0"/>
        <c:ser>
          <c:idx val="0"/>
          <c:order val="0"/>
          <c:tx>
            <c:strRef>
              <c:f>Hoja1!$B$36</c:f>
              <c:strCache>
                <c:ptCount val="1"/>
                <c:pt idx="0">
                  <c:v>01/06/2022</c:v>
                </c:pt>
              </c:strCache>
            </c:strRef>
          </c:tx>
          <c:spPr>
            <a:solidFill>
              <a:schemeClr val="accent1"/>
            </a:solidFill>
            <a:ln>
              <a:noFill/>
            </a:ln>
            <a:effectLst/>
          </c:spPr>
          <c:invertIfNegative val="0"/>
          <c:dPt>
            <c:idx val="7"/>
            <c:invertIfNegative val="0"/>
            <c:bubble3D val="0"/>
            <c:spPr>
              <a:solidFill>
                <a:srgbClr val="FFC000"/>
              </a:solidFill>
              <a:ln>
                <a:noFill/>
              </a:ln>
              <a:effectLst/>
            </c:spPr>
            <c:extLst>
              <c:ext xmlns:c16="http://schemas.microsoft.com/office/drawing/2014/chart" uri="{C3380CC4-5D6E-409C-BE32-E72D297353CC}">
                <c16:uniqueId val="{00000001-E407-43C1-8864-40D344EA0999}"/>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Hoja1!$A$37:$A$54</c:f>
              <c:strCache>
                <c:ptCount val="18"/>
                <c:pt idx="0">
                  <c:v>Comunitat Valenciana</c:v>
                </c:pt>
                <c:pt idx="1">
                  <c:v>Región de Murcia</c:v>
                </c:pt>
                <c:pt idx="2">
                  <c:v>Cantabria</c:v>
                </c:pt>
                <c:pt idx="3">
                  <c:v>Castilla y León</c:v>
                </c:pt>
                <c:pt idx="4">
                  <c:v>Cataluña</c:v>
                </c:pt>
                <c:pt idx="5">
                  <c:v>Asturias</c:v>
                </c:pt>
                <c:pt idx="6">
                  <c:v>Navarra</c:v>
                </c:pt>
                <c:pt idx="7">
                  <c:v>España</c:v>
                </c:pt>
                <c:pt idx="8">
                  <c:v>Aragón</c:v>
                </c:pt>
                <c:pt idx="9">
                  <c:v>Extremadura</c:v>
                </c:pt>
                <c:pt idx="10">
                  <c:v>Canarias</c:v>
                </c:pt>
                <c:pt idx="11">
                  <c:v>Castilla-La Mancha</c:v>
                </c:pt>
                <c:pt idx="12">
                  <c:v>Andalucía</c:v>
                </c:pt>
                <c:pt idx="13">
                  <c:v>Galicia</c:v>
                </c:pt>
                <c:pt idx="14">
                  <c:v>País Vasco</c:v>
                </c:pt>
                <c:pt idx="15">
                  <c:v>La Rioja</c:v>
                </c:pt>
                <c:pt idx="16">
                  <c:v>Madrid</c:v>
                </c:pt>
                <c:pt idx="17">
                  <c:v>Baleares</c:v>
                </c:pt>
              </c:strCache>
            </c:strRef>
          </c:cat>
          <c:val>
            <c:numRef>
              <c:f>Hoja1!$B$37:$B$54</c:f>
              <c:numCache>
                <c:formatCode>0.0%</c:formatCode>
                <c:ptCount val="18"/>
                <c:pt idx="0">
                  <c:v>7.9195753469081226E-2</c:v>
                </c:pt>
                <c:pt idx="1">
                  <c:v>7.360386680331002E-2</c:v>
                </c:pt>
                <c:pt idx="2">
                  <c:v>7.3475662363331196E-2</c:v>
                </c:pt>
                <c:pt idx="3">
                  <c:v>6.9745777585764612E-2</c:v>
                </c:pt>
                <c:pt idx="4">
                  <c:v>6.9339535490321805E-2</c:v>
                </c:pt>
                <c:pt idx="5">
                  <c:v>6.7799471786399085E-2</c:v>
                </c:pt>
                <c:pt idx="6">
                  <c:v>6.4066663436848983E-2</c:v>
                </c:pt>
                <c:pt idx="7">
                  <c:v>6.3510507920657253E-2</c:v>
                </c:pt>
                <c:pt idx="8">
                  <c:v>6.3447691170826437E-2</c:v>
                </c:pt>
                <c:pt idx="9">
                  <c:v>6.3427075642660577E-2</c:v>
                </c:pt>
                <c:pt idx="10">
                  <c:v>6.3401314457796482E-2</c:v>
                </c:pt>
                <c:pt idx="11">
                  <c:v>6.2747710241465443E-2</c:v>
                </c:pt>
                <c:pt idx="12">
                  <c:v>6.0777774991851163E-2</c:v>
                </c:pt>
                <c:pt idx="13">
                  <c:v>6.0214553594790249E-2</c:v>
                </c:pt>
                <c:pt idx="14">
                  <c:v>5.9666728132066492E-2</c:v>
                </c:pt>
                <c:pt idx="15">
                  <c:v>5.8705883761871115E-2</c:v>
                </c:pt>
                <c:pt idx="16">
                  <c:v>5.5368833527134877E-2</c:v>
                </c:pt>
                <c:pt idx="17">
                  <c:v>5.2719417278866997E-2</c:v>
                </c:pt>
              </c:numCache>
            </c:numRef>
          </c:val>
          <c:extLst>
            <c:ext xmlns:c16="http://schemas.microsoft.com/office/drawing/2014/chart" uri="{C3380CC4-5D6E-409C-BE32-E72D297353CC}">
              <c16:uniqueId val="{00000002-E407-43C1-8864-40D344EA0999}"/>
            </c:ext>
          </c:extLst>
        </c:ser>
        <c:dLbls>
          <c:showLegendKey val="0"/>
          <c:showVal val="0"/>
          <c:showCatName val="0"/>
          <c:showSerName val="0"/>
          <c:showPercent val="0"/>
          <c:showBubbleSize val="0"/>
        </c:dLbls>
        <c:gapWidth val="50"/>
        <c:overlap val="-27"/>
        <c:axId val="1587936352"/>
        <c:axId val="663677872"/>
      </c:barChart>
      <c:catAx>
        <c:axId val="1587936352"/>
        <c:scaling>
          <c:orientation val="minMax"/>
        </c:scaling>
        <c:delete val="0"/>
        <c:axPos val="b"/>
        <c:numFmt formatCode="General" sourceLinked="1"/>
        <c:majorTickMark val="cross"/>
        <c:minorTickMark val="none"/>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s-ES"/>
          </a:p>
        </c:txPr>
        <c:crossAx val="663677872"/>
        <c:crosses val="autoZero"/>
        <c:auto val="1"/>
        <c:lblAlgn val="ctr"/>
        <c:lblOffset val="100"/>
        <c:noMultiLvlLbl val="0"/>
      </c:catAx>
      <c:valAx>
        <c:axId val="663677872"/>
        <c:scaling>
          <c:orientation val="minMax"/>
        </c:scaling>
        <c:delete val="1"/>
        <c:axPos val="l"/>
        <c:numFmt formatCode="0.0%" sourceLinked="1"/>
        <c:majorTickMark val="none"/>
        <c:minorTickMark val="none"/>
        <c:tickLblPos val="nextTo"/>
        <c:crossAx val="1587936352"/>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ersonalizado 1">
    <a:dk1>
      <a:sysClr val="windowText" lastClr="000000"/>
    </a:dk1>
    <a:lt1>
      <a:sysClr val="window" lastClr="FFFFFF"/>
    </a:lt1>
    <a:dk2>
      <a:srgbClr val="323232"/>
    </a:dk2>
    <a:lt2>
      <a:srgbClr val="E3DED1"/>
    </a:lt2>
    <a:accent1>
      <a:srgbClr val="0070C0"/>
    </a:accent1>
    <a:accent2>
      <a:srgbClr val="FFC000"/>
    </a:accent2>
    <a:accent3>
      <a:srgbClr val="FF0000"/>
    </a:accent3>
    <a:accent4>
      <a:srgbClr val="00B0F0"/>
    </a:accent4>
    <a:accent5>
      <a:srgbClr val="92D050"/>
    </a:accent5>
    <a:accent6>
      <a:srgbClr val="00B050"/>
    </a:accent6>
    <a:hlink>
      <a:srgbClr val="F07F0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ersonalizado 1">
    <a:dk1>
      <a:sysClr val="windowText" lastClr="000000"/>
    </a:dk1>
    <a:lt1>
      <a:sysClr val="window" lastClr="FFFFFF"/>
    </a:lt1>
    <a:dk2>
      <a:srgbClr val="323232"/>
    </a:dk2>
    <a:lt2>
      <a:srgbClr val="E3DED1"/>
    </a:lt2>
    <a:accent1>
      <a:srgbClr val="0070C0"/>
    </a:accent1>
    <a:accent2>
      <a:srgbClr val="FFC000"/>
    </a:accent2>
    <a:accent3>
      <a:srgbClr val="FF0000"/>
    </a:accent3>
    <a:accent4>
      <a:srgbClr val="00B0F0"/>
    </a:accent4>
    <a:accent5>
      <a:srgbClr val="92D050"/>
    </a:accent5>
    <a:accent6>
      <a:srgbClr val="00B050"/>
    </a:accent6>
    <a:hlink>
      <a:srgbClr val="F07F0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5QKymw3+tTwBQ7344mIyP3v1Ug==">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3303</Words>
  <Characters>18167</Characters>
  <Application>Microsoft Office Word</Application>
  <DocSecurity>0</DocSecurity>
  <Lines>151</Lines>
  <Paragraphs>42</Paragraphs>
  <ScaleCrop>false</ScaleCrop>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2</cp:revision>
  <dcterms:created xsi:type="dcterms:W3CDTF">2021-01-12T19:15:00Z</dcterms:created>
  <dcterms:modified xsi:type="dcterms:W3CDTF">2024-01-26T08:28:00Z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2024-01-19T15:19:58Z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82eb5872-edaf-4469-8a4f-0c79d20d794a</vt:lpwstr>
  </property>
  <property fmtid="{D5CDD505-2E9C-101B-9397-08002B2CF9AE}" pid="8" name="MSIP_Label_defa4170-0d19-0005-0004-bc88714345d2_ContentBits">
    <vt:lpwstr>0</vt:lpwstr>
  </property>
</Properties>
</file>