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-1056037</wp:posOffset>
            </wp:positionH>
            <wp:positionV relativeFrom="paragraph">
              <wp:posOffset>-346306</wp:posOffset>
            </wp:positionV>
            <wp:extent cx="7711147" cy="1037167"/>
            <wp:effectExtent b="0" l="0" r="0" t="0"/>
            <wp:wrapSquare wrapText="bothSides" distB="0" distT="0" distL="0" distR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11147" cy="10371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National" w:cs="National" w:eastAsia="National" w:hAnsi="National"/>
          <w:color w:val="303ab2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lineRule="auto"/>
        <w:ind w:right="-135"/>
        <w:jc w:val="center"/>
        <w:rPr>
          <w:rFonts w:ascii="Open Sans" w:cs="Open Sans" w:eastAsia="Open Sans" w:hAnsi="Open Sans"/>
          <w:b w:val="1"/>
          <w:color w:val="303ab2"/>
          <w:sz w:val="18"/>
          <w:szCs w:val="18"/>
        </w:rPr>
      </w:pPr>
      <w:r w:rsidDel="00000000" w:rsidR="00000000" w:rsidRPr="00000000">
        <w:rPr>
          <w:rFonts w:ascii="National" w:cs="National" w:eastAsia="National" w:hAnsi="National"/>
          <w:b w:val="1"/>
          <w:color w:val="303ab2"/>
          <w:sz w:val="48"/>
          <w:szCs w:val="48"/>
          <w:rtl w:val="0"/>
        </w:rPr>
        <w:t xml:space="preserve"> “El Índice de Referencia deja de lado los factores demográficos, macroeconómicos y de oferta y demanda, es decir, al mercado”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lineRule="auto"/>
        <w:jc w:val="both"/>
        <w:rPr>
          <w:rFonts w:ascii="Open Sans" w:cs="Open Sans" w:eastAsia="Open Sans" w:hAnsi="Open Sans"/>
          <w:b w:val="1"/>
          <w:color w:val="303ab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lineRule="auto"/>
        <w:jc w:val="both"/>
        <w:rPr>
          <w:rFonts w:ascii="Open Sans" w:cs="Open Sans" w:eastAsia="Open Sans" w:hAnsi="Open Sans"/>
          <w:b w:val="1"/>
          <w:color w:val="303ab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303ab2"/>
          <w:rtl w:val="0"/>
        </w:rPr>
        <w:t xml:space="preserve">Madrid, 28 de febrero de 2024</w:t>
      </w:r>
    </w:p>
    <w:p w:rsidR="00000000" w:rsidDel="00000000" w:rsidP="00000000" w:rsidRDefault="00000000" w:rsidRPr="00000000" w14:paraId="00000006">
      <w:pPr>
        <w:shd w:fill="ffffff" w:val="clear"/>
        <w:spacing w:after="225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El Índice de Precios de Referencia del alquiler presentado ayer por el Gobierno tiene la voluntad de limitar el crecimiento de los precios del arrendamiento y favorecer así el acceso al alquiler. Desde </w:t>
      </w:r>
      <w:hyperlink r:id="rId8">
        <w:r w:rsidDel="00000000" w:rsidR="00000000" w:rsidRPr="00000000">
          <w:rPr>
            <w:rFonts w:ascii="Open Sans" w:cs="Open Sans" w:eastAsia="Open Sans" w:hAnsi="Open Sans"/>
            <w:color w:val="1155cc"/>
            <w:sz w:val="21"/>
            <w:szCs w:val="21"/>
            <w:u w:val="single"/>
            <w:rtl w:val="0"/>
          </w:rPr>
          <w:t xml:space="preserve">Fotocasa</w:t>
        </w:r>
      </w:hyperlink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 alabamos todo el esfuerzo de desarrollo de la tecnología necesaria para lanzar un índice con una metodología científica de estas características y </w:t>
      </w: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aplaudimos el ímpetu del nuevo Ministerio en democratizar el acceso a la vivienda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. Sin embargo, consideramos que esta medida puede provocar el efecto contrario al deseado en el mercado al percibirse por parte de los propietarios como una acción intervencionista y desincentivadora.</w:t>
      </w:r>
    </w:p>
    <w:p w:rsidR="00000000" w:rsidDel="00000000" w:rsidP="00000000" w:rsidRDefault="00000000" w:rsidRPr="00000000" w14:paraId="00000007">
      <w:pPr>
        <w:shd w:fill="ffffff" w:val="clear"/>
        <w:spacing w:after="225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Es un indicador que parte de una </w:t>
      </w: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definición de zona de mercado tensionado que no es rigurosa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 debido a la escasez de datos oficiales que existen para realizar la fórmula. La inclusión de los gastos y suministros en el método es relativo e impreciso, ya que depende del consumo particular que haga cada inquilino. Lo mismo ocurre al utilizar en el cálculo la relación del esfuerzo salarial de los ciudadanos de una zona.</w:t>
      </w:r>
    </w:p>
    <w:p w:rsidR="00000000" w:rsidDel="00000000" w:rsidP="00000000" w:rsidRDefault="00000000" w:rsidRPr="00000000" w14:paraId="00000008">
      <w:pPr>
        <w:shd w:fill="ffffff" w:val="clear"/>
        <w:spacing w:after="225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El </w:t>
      </w: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decalaje con el que este índice nace al utilizar los datos tributarios del pasado ejercicio, no se ajustará a la fotografía real del mercado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 en cada momento, lo que va a imposibilitar conocer el estado auténtico del precio, y más en un contexto macroeconómico y social de grandes cambios que impactan en un volátil mercado de rentas.</w:t>
      </w:r>
    </w:p>
    <w:p w:rsidR="00000000" w:rsidDel="00000000" w:rsidP="00000000" w:rsidRDefault="00000000" w:rsidRPr="00000000" w14:paraId="00000009">
      <w:pPr>
        <w:shd w:fill="ffffff" w:val="clear"/>
        <w:spacing w:after="225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Además, se trata de un </w:t>
      </w: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índice con criterios objetivos, realizado con un carácter administrativo sin tener en cuenta lo más importante y lo que más influye en el precio de los inmuebles: el mercado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. La vivienda depende de diversos factores como los demográficos y temporales, los ciclos económicos, las políticas incentivadoras como ayudas o beneficios fiscales, la financiación y, por supuesto, de las leyes de oferta y demanda. Es por ello que </w:t>
      </w: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el precio establecido por los propietarios de las viviendas en los anuncios de alquiler dista tanto del fijado en el Índice de Referencia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. De hecho, aunque es un índice ​​a título orientativo, podría llevar a la confusión al indicar un precio máximo del alquiler y crear unas expectativas de precio fuera de la realidad del mercado.</w:t>
      </w:r>
    </w:p>
    <w:p w:rsidR="00000000" w:rsidDel="00000000" w:rsidP="00000000" w:rsidRDefault="00000000" w:rsidRPr="00000000" w14:paraId="0000000A">
      <w:pPr>
        <w:shd w:fill="ffffff" w:val="clear"/>
        <w:spacing w:after="225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Desde </w:t>
      </w:r>
      <w:hyperlink r:id="rId9">
        <w:r w:rsidDel="00000000" w:rsidR="00000000" w:rsidRPr="00000000">
          <w:rPr>
            <w:rFonts w:ascii="Open Sans" w:cs="Open Sans" w:eastAsia="Open Sans" w:hAnsi="Open Sans"/>
            <w:color w:val="1155cc"/>
            <w:sz w:val="21"/>
            <w:szCs w:val="21"/>
            <w:u w:val="single"/>
            <w:rtl w:val="0"/>
          </w:rPr>
          <w:t xml:space="preserve">Fotocasa</w:t>
        </w:r>
      </w:hyperlink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 consideramos que esta medida será poco efectiva en el mercado actual, ya que este indicativo de precios está dirigido solamente a nuevos contratos y a grandes tenedores de vivienda en alquiler que se encuentren en zonas tensas aprobadas, quienes conforman un porcentaje reducido del mercado. </w:t>
      </w:r>
    </w:p>
    <w:p w:rsidR="00000000" w:rsidDel="00000000" w:rsidP="00000000" w:rsidRDefault="00000000" w:rsidRPr="00000000" w14:paraId="0000000B">
      <w:pPr>
        <w:shd w:fill="ffffff" w:val="clear"/>
        <w:spacing w:after="225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Para una parte de los inquilinos supondrá un respiro esta rebaja en su renta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, sin embargo, en el largo plazo, los nuevos inquilinos o colectivos vulnerables como los jóvenes que buscan vivienda o que se introducen en el mercado por primera vez, se encontrarán con un alquiler cada vez más limitado, compacto y de leve rotación.</w:t>
      </w:r>
    </w:p>
    <w:p w:rsidR="00000000" w:rsidDel="00000000" w:rsidP="00000000" w:rsidRDefault="00000000" w:rsidRPr="00000000" w14:paraId="0000000C">
      <w:pPr>
        <w:shd w:fill="ffffff" w:val="clear"/>
        <w:spacing w:after="225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La </w:t>
      </w: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falta de oferta de vivienda en renta es la principal problemática que está impulsando los precios al alza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. Por ello, la vía apropiada que equilibraría los precios sería la que se fomente y amplíe la oferta de alquiler disponible para poder dar respuesta a la demanda.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280" w:before="280" w:lineRule="auto"/>
        <w:jc w:val="right"/>
        <w:rPr>
          <w:rFonts w:ascii="Open Sans Light" w:cs="Open Sans Light" w:eastAsia="Open Sans Light" w:hAnsi="Open Sans Light"/>
          <w:b w:val="1"/>
          <w:color w:val="303ab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280" w:before="280" w:lineRule="auto"/>
        <w:jc w:val="right"/>
        <w:rPr>
          <w:rFonts w:ascii="Open Sans Light" w:cs="Open Sans Light" w:eastAsia="Open Sans Light" w:hAnsi="Open Sans Light"/>
          <w:b w:val="1"/>
          <w:color w:val="303ab2"/>
          <w:sz w:val="24"/>
          <w:szCs w:val="24"/>
        </w:rPr>
      </w:pPr>
      <w:r w:rsidDel="00000000" w:rsidR="00000000" w:rsidRPr="00000000">
        <w:rPr>
          <w:rFonts w:ascii="Open Sans Light" w:cs="Open Sans Light" w:eastAsia="Open Sans Light" w:hAnsi="Open Sans Light"/>
          <w:b w:val="1"/>
          <w:color w:val="303ab2"/>
          <w:sz w:val="24"/>
          <w:szCs w:val="24"/>
          <w:rtl w:val="0"/>
        </w:rPr>
        <w:t xml:space="preserve">Departamento de Comunicación de Fotocasa</w:t>
      </w:r>
    </w:p>
    <w:p w:rsidR="00000000" w:rsidDel="00000000" w:rsidP="00000000" w:rsidRDefault="00000000" w:rsidRPr="00000000" w14:paraId="0000000F">
      <w:pPr>
        <w:shd w:fill="ffffff" w:val="clear"/>
        <w:ind w:right="-7"/>
        <w:jc w:val="right"/>
        <w:rPr>
          <w:rFonts w:ascii="Open Sans" w:cs="Open Sans" w:eastAsia="Open Sans" w:hAnsi="Open Sans"/>
          <w:b w:val="1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Anaïs López</w:t>
      </w:r>
    </w:p>
    <w:p w:rsidR="00000000" w:rsidDel="00000000" w:rsidP="00000000" w:rsidRDefault="00000000" w:rsidRPr="00000000" w14:paraId="00000010">
      <w:pPr>
        <w:shd w:fill="ffffff" w:val="clear"/>
        <w:ind w:right="-7"/>
        <w:jc w:val="right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Móvil: 620 66 29 26</w:t>
      </w:r>
    </w:p>
    <w:p w:rsidR="00000000" w:rsidDel="00000000" w:rsidP="00000000" w:rsidRDefault="00000000" w:rsidRPr="00000000" w14:paraId="00000011">
      <w:pPr>
        <w:shd w:fill="ffffff" w:val="clear"/>
        <w:ind w:right="-7"/>
        <w:jc w:val="right"/>
        <w:rPr>
          <w:rFonts w:ascii="Open Sans" w:cs="Open Sans" w:eastAsia="Open Sans" w:hAnsi="Open Sans"/>
          <w:sz w:val="21"/>
          <w:szCs w:val="21"/>
        </w:rPr>
      </w:pPr>
      <w:hyperlink r:id="rId10">
        <w:r w:rsidDel="00000000" w:rsidR="00000000" w:rsidRPr="00000000">
          <w:rPr>
            <w:rFonts w:ascii="Open Sans" w:cs="Open Sans" w:eastAsia="Open Sans" w:hAnsi="Open Sans"/>
            <w:color w:val="0563c1"/>
            <w:sz w:val="21"/>
            <w:szCs w:val="21"/>
            <w:u w:val="single"/>
            <w:rtl w:val="0"/>
          </w:rPr>
          <w:t xml:space="preserve">comunicacion@fotocasa.es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ind w:right="-7"/>
        <w:jc w:val="right"/>
        <w:rPr>
          <w:rFonts w:ascii="Open Sans" w:cs="Open Sans" w:eastAsia="Open Sans" w:hAnsi="Open Sans"/>
          <w:sz w:val="21"/>
          <w:szCs w:val="21"/>
        </w:rPr>
      </w:pPr>
      <w:hyperlink r:id="rId11">
        <w:r w:rsidDel="00000000" w:rsidR="00000000" w:rsidRPr="00000000">
          <w:rPr>
            <w:rFonts w:ascii="Open Sans" w:cs="Open Sans" w:eastAsia="Open Sans" w:hAnsi="Open Sans"/>
            <w:color w:val="0563c1"/>
            <w:sz w:val="21"/>
            <w:szCs w:val="21"/>
            <w:u w:val="single"/>
            <w:rtl w:val="0"/>
          </w:rPr>
          <w:t xml:space="preserve">http://prensa.fotocasa.es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ind w:right="-7"/>
        <w:jc w:val="right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twitter: @fotocasa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footerReference r:id="rId12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ational"/>
  <w:font w:name="Open Sans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-1916412</wp:posOffset>
          </wp:positionH>
          <wp:positionV relativeFrom="paragraph">
            <wp:posOffset>304800</wp:posOffset>
          </wp:positionV>
          <wp:extent cx="8620125" cy="447675"/>
          <wp:effectExtent b="0" l="0" r="0" t="0"/>
          <wp:wrapSquare wrapText="bothSides" distB="0" distT="0" distL="0" distR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-13043" r="621" t="0"/>
                  <a:stretch>
                    <a:fillRect/>
                  </a:stretch>
                </pic:blipFill>
                <pic:spPr>
                  <a:xfrm>
                    <a:off x="0" y="0"/>
                    <a:ext cx="8620125" cy="4476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prensa.fotocasa.es" TargetMode="External"/><Relationship Id="rId10" Type="http://schemas.openxmlformats.org/officeDocument/2006/relationships/hyperlink" Target="http://comunicacion@fotocasa.es" TargetMode="External"/><Relationship Id="rId12" Type="http://schemas.openxmlformats.org/officeDocument/2006/relationships/footer" Target="footer1.xml"/><Relationship Id="rId9" Type="http://schemas.openxmlformats.org/officeDocument/2006/relationships/hyperlink" Target="https://www.fotocasa.e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s://www.fotocasa.e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Light-regular.ttf"/><Relationship Id="rId2" Type="http://schemas.openxmlformats.org/officeDocument/2006/relationships/font" Target="fonts/OpenSansLight-bold.ttf"/><Relationship Id="rId3" Type="http://schemas.openxmlformats.org/officeDocument/2006/relationships/font" Target="fonts/OpenSansLight-italic.ttf"/><Relationship Id="rId4" Type="http://schemas.openxmlformats.org/officeDocument/2006/relationships/font" Target="fonts/OpenSansLight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G4IIJBRVGohlqm4PMorhU36kvA==">CgMxLjA4AHIhMTFWWkEzMmx1a1FUSE0wNlFWTmhKTFQ1Q2NnRFpFaXlW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2024-02-22T08:44:00Z</dcterms:created>
</cp:coreProperties>
</file>