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87D1" w14:textId="77777777" w:rsidR="000B0E98" w:rsidRDefault="00000000">
      <w:r>
        <w:rPr>
          <w:noProof/>
        </w:rPr>
        <w:drawing>
          <wp:anchor distT="0" distB="0" distL="114300" distR="114300" simplePos="0" relativeHeight="251658240" behindDoc="0" locked="0" layoutInCell="1" hidden="0" allowOverlap="1" wp14:anchorId="29C56DFD" wp14:editId="161955DC">
            <wp:simplePos x="0" y="0"/>
            <wp:positionH relativeFrom="column">
              <wp:posOffset>-1080134</wp:posOffset>
            </wp:positionH>
            <wp:positionV relativeFrom="paragraph">
              <wp:posOffset>-351258</wp:posOffset>
            </wp:positionV>
            <wp:extent cx="7581265" cy="1019175"/>
            <wp:effectExtent l="0" t="0" r="0" b="0"/>
            <wp:wrapNone/>
            <wp:docPr id="1941125089" name="image2.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Patrón de fondo&#10;&#10;Descripción generada automáticamente con confianza baja"/>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D0844B3" w14:textId="77777777" w:rsidR="000B0E98" w:rsidRDefault="000B0E98">
      <w:pPr>
        <w:jc w:val="right"/>
        <w:rPr>
          <w:rFonts w:ascii="National" w:eastAsia="National" w:hAnsi="National" w:cs="National"/>
          <w:color w:val="303AB2"/>
          <w:sz w:val="36"/>
          <w:szCs w:val="36"/>
        </w:rPr>
      </w:pPr>
    </w:p>
    <w:p w14:paraId="414076D2" w14:textId="77777777" w:rsidR="000B0E98" w:rsidRDefault="000B0E98">
      <w:pPr>
        <w:jc w:val="right"/>
        <w:rPr>
          <w:rFonts w:ascii="National" w:eastAsia="National" w:hAnsi="National" w:cs="National"/>
          <w:color w:val="303AB2"/>
          <w:sz w:val="36"/>
          <w:szCs w:val="36"/>
        </w:rPr>
      </w:pPr>
    </w:p>
    <w:p w14:paraId="611B306D" w14:textId="77777777" w:rsidR="000B0E98" w:rsidRDefault="000B0E98">
      <w:pPr>
        <w:rPr>
          <w:rFonts w:ascii="National" w:eastAsia="National" w:hAnsi="National" w:cs="National"/>
          <w:color w:val="303AB2"/>
          <w:sz w:val="18"/>
          <w:szCs w:val="18"/>
        </w:rPr>
      </w:pPr>
    </w:p>
    <w:p w14:paraId="6B1DB324" w14:textId="77777777" w:rsidR="000B0E98"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ENERO: PRECIO VIVIENDA EN VENTA</w:t>
      </w:r>
    </w:p>
    <w:p w14:paraId="6D6E5B58" w14:textId="77777777" w:rsidR="000B0E98"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precio de la vivienda interanual sube un 7,5% en enero en España </w:t>
      </w:r>
    </w:p>
    <w:p w14:paraId="3DB33522" w14:textId="77777777" w:rsidR="000B0E98" w:rsidRDefault="000B0E98">
      <w:pPr>
        <w:rPr>
          <w:rFonts w:ascii="National" w:eastAsia="National" w:hAnsi="National" w:cs="National"/>
          <w:b/>
          <w:color w:val="303AB2"/>
          <w:sz w:val="14"/>
          <w:szCs w:val="14"/>
        </w:rPr>
      </w:pPr>
    </w:p>
    <w:p w14:paraId="1F0A1E10" w14:textId="77777777" w:rsidR="000B0E98" w:rsidRDefault="000B0E98">
      <w:pPr>
        <w:tabs>
          <w:tab w:val="left" w:pos="6804"/>
        </w:tabs>
        <w:rPr>
          <w:rFonts w:ascii="National" w:eastAsia="National" w:hAnsi="National" w:cs="National"/>
          <w:b/>
          <w:color w:val="303AB2"/>
          <w:sz w:val="14"/>
          <w:szCs w:val="14"/>
        </w:rPr>
      </w:pPr>
    </w:p>
    <w:p w14:paraId="623014F1" w14:textId="77777777" w:rsidR="000B0E98"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En enero el precio mensual de la vivienda en venta sube un 0,6% y sitúa su precio en 2.215 euros/m</w:t>
      </w:r>
      <w:r>
        <w:rPr>
          <w:rFonts w:ascii="Open Sans" w:eastAsia="Open Sans" w:hAnsi="Open Sans" w:cs="Open Sans"/>
          <w:color w:val="303AB2"/>
          <w:vertAlign w:val="superscript"/>
        </w:rPr>
        <w:t>2</w:t>
      </w:r>
    </w:p>
    <w:p w14:paraId="69A0462D" w14:textId="77777777" w:rsidR="005C6B69" w:rsidRDefault="00000000" w:rsidP="005C6B69">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Este último valor interanual (7,5%) es un 1,5 punto porcentual menos que en enero de 2023 (9%)</w:t>
      </w:r>
    </w:p>
    <w:p w14:paraId="44B12A61" w14:textId="21D33E35" w:rsidR="000B0E98" w:rsidRPr="005C6B69" w:rsidRDefault="00000000" w:rsidP="005C6B69">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sidRPr="005C6B69">
        <w:rPr>
          <w:rFonts w:ascii="Open Sans" w:eastAsia="Open Sans" w:hAnsi="Open Sans" w:cs="Open Sans"/>
          <w:color w:val="303AB2"/>
        </w:rPr>
        <w:t>Madrid, Las Palmas y Málaga inician 2024 marcando un récord de precio</w:t>
      </w:r>
    </w:p>
    <w:p w14:paraId="5BB392A5" w14:textId="77777777" w:rsidR="000B0E98" w:rsidRDefault="000B0E98">
      <w:pPr>
        <w:pBdr>
          <w:top w:val="nil"/>
          <w:left w:val="nil"/>
          <w:bottom w:val="nil"/>
          <w:right w:val="nil"/>
          <w:between w:val="nil"/>
        </w:pBdr>
        <w:spacing w:line="276" w:lineRule="auto"/>
        <w:ind w:left="720"/>
        <w:jc w:val="both"/>
        <w:rPr>
          <w:rFonts w:ascii="Open Sans Light" w:eastAsia="Open Sans Light" w:hAnsi="Open Sans Light" w:cs="Open Sans Light"/>
          <w:b/>
          <w:color w:val="303AB2"/>
          <w:sz w:val="22"/>
          <w:szCs w:val="22"/>
        </w:rPr>
      </w:pPr>
    </w:p>
    <w:p w14:paraId="130DA1C1" w14:textId="77777777" w:rsidR="000B0E98" w:rsidRDefault="00000000" w:rsidP="00806EBB">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bookmarkStart w:id="0" w:name="_heading=h.gjdgxs" w:colFirst="0" w:colLast="0"/>
      <w:bookmarkEnd w:id="0"/>
      <w:r>
        <w:rPr>
          <w:rFonts w:ascii="Open Sans Light" w:eastAsia="Open Sans Light" w:hAnsi="Open Sans Light" w:cs="Open Sans Light"/>
          <w:b/>
          <w:color w:val="303AB2"/>
          <w:sz w:val="22"/>
          <w:szCs w:val="22"/>
        </w:rPr>
        <w:t>Madrid, 5 de febrero de 2024</w:t>
      </w:r>
    </w:p>
    <w:p w14:paraId="0D032C7A" w14:textId="77777777" w:rsidR="000B0E98" w:rsidRDefault="00000000">
      <w:pPr>
        <w:pBdr>
          <w:top w:val="nil"/>
          <w:left w:val="nil"/>
          <w:bottom w:val="nil"/>
          <w:right w:val="nil"/>
          <w:between w:val="nil"/>
        </w:pBdr>
        <w:shd w:val="clear" w:color="auto" w:fill="FFFFFF"/>
        <w:tabs>
          <w:tab w:val="left" w:pos="3119"/>
        </w:tabs>
        <w:spacing w:before="280" w:after="280" w:line="276" w:lineRule="auto"/>
        <w:jc w:val="both"/>
        <w:rPr>
          <w:rFonts w:ascii="Open Sans" w:eastAsia="Open Sans" w:hAnsi="Open Sans" w:cs="Open Sans"/>
          <w:color w:val="000000"/>
        </w:rPr>
      </w:pPr>
      <w:r>
        <w:rPr>
          <w:rFonts w:ascii="Open Sans" w:eastAsia="Open Sans" w:hAnsi="Open Sans" w:cs="Open Sans"/>
          <w:color w:val="000000"/>
        </w:rPr>
        <w:t xml:space="preserve">En España sube un 0,6% la variación mensual del precio de la vivienda de segunda mano y un </w:t>
      </w:r>
      <w:r w:rsidRPr="00806EBB">
        <w:rPr>
          <w:rFonts w:ascii="Open Sans" w:eastAsia="Open Sans" w:hAnsi="Open Sans" w:cs="Open Sans"/>
          <w:b/>
          <w:bCs/>
          <w:color w:val="000000"/>
        </w:rPr>
        <w:t>7,5% en su variación interanual, situando su precio en 2.215 euros/m</w:t>
      </w:r>
      <w:r w:rsidRPr="00806EBB">
        <w:rPr>
          <w:rFonts w:ascii="Open Sans" w:eastAsia="Open Sans" w:hAnsi="Open Sans" w:cs="Open Sans"/>
          <w:b/>
          <w:bCs/>
          <w:color w:val="000000"/>
          <w:vertAlign w:val="superscript"/>
        </w:rPr>
        <w:t xml:space="preserve">2 </w:t>
      </w:r>
      <w:r w:rsidRPr="00806EBB">
        <w:rPr>
          <w:rFonts w:ascii="Open Sans" w:eastAsia="Open Sans" w:hAnsi="Open Sans" w:cs="Open Sans"/>
          <w:b/>
          <w:bCs/>
          <w:color w:val="000000"/>
        </w:rPr>
        <w:t>en enero</w:t>
      </w:r>
      <w:r>
        <w:rPr>
          <w:rFonts w:ascii="Open Sans" w:eastAsia="Open Sans" w:hAnsi="Open Sans" w:cs="Open Sans"/>
          <w:color w:val="000000"/>
        </w:rPr>
        <w:t xml:space="preserve">,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Este último valor interanual (7,5%) es un 1,5 punto porcentual menos que en enero de 2023 (9%).</w:t>
      </w:r>
    </w:p>
    <w:p w14:paraId="4DCE031C" w14:textId="77777777" w:rsidR="000B0E98" w:rsidRDefault="00000000">
      <w:pPr>
        <w:pBdr>
          <w:top w:val="nil"/>
          <w:left w:val="nil"/>
          <w:bottom w:val="nil"/>
          <w:right w:val="nil"/>
          <w:between w:val="nil"/>
        </w:pBdr>
        <w:shd w:val="clear" w:color="auto" w:fill="FFFFFF"/>
        <w:tabs>
          <w:tab w:val="left" w:pos="3119"/>
        </w:tabs>
        <w:spacing w:before="280" w:after="280" w:line="276" w:lineRule="auto"/>
        <w:jc w:val="center"/>
        <w:rPr>
          <w:rFonts w:ascii="Times New Roman" w:eastAsia="Times New Roman" w:hAnsi="Times New Roman" w:cs="Times New Roman"/>
          <w:color w:val="000000"/>
        </w:rPr>
      </w:pPr>
      <w:r>
        <w:rPr>
          <w:rFonts w:ascii="Open Sans" w:eastAsia="Open Sans" w:hAnsi="Open Sans" w:cs="Open Sans"/>
          <w:b/>
          <w:color w:val="303AB2"/>
          <w:sz w:val="26"/>
          <w:szCs w:val="26"/>
        </w:rPr>
        <w:t>Variación mensual e interanual de España</w:t>
      </w:r>
    </w:p>
    <w:p w14:paraId="735A2B40" w14:textId="77777777" w:rsidR="000B0E98" w:rsidRDefault="00000000">
      <w:pPr>
        <w:pBdr>
          <w:top w:val="nil"/>
          <w:left w:val="nil"/>
          <w:bottom w:val="nil"/>
          <w:right w:val="nil"/>
          <w:between w:val="nil"/>
        </w:pBdr>
        <w:shd w:val="clear" w:color="auto" w:fill="FFFFFF"/>
        <w:spacing w:before="280" w:after="280" w:line="276" w:lineRule="auto"/>
        <w:jc w:val="center"/>
        <w:rPr>
          <w:rFonts w:ascii="Open Sans" w:eastAsia="Open Sans" w:hAnsi="Open Sans" w:cs="Open Sans"/>
          <w:color w:val="000000"/>
        </w:rPr>
      </w:pPr>
      <w:r>
        <w:rPr>
          <w:rFonts w:ascii="Times New Roman" w:eastAsia="Times New Roman" w:hAnsi="Times New Roman" w:cs="Times New Roman"/>
          <w:noProof/>
          <w:color w:val="000000"/>
        </w:rPr>
        <w:drawing>
          <wp:inline distT="0" distB="0" distL="0" distR="0" wp14:anchorId="64FF8F51" wp14:editId="3B2A11AF">
            <wp:extent cx="5760720" cy="2728570"/>
            <wp:effectExtent l="0" t="0" r="0" b="0"/>
            <wp:docPr id="1941125087" name="Gráfico 19411250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0004E3" w14:textId="77777777" w:rsidR="00806EBB" w:rsidRDefault="00806EBB" w:rsidP="00806EBB">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rPr>
        <w:lastRenderedPageBreak/>
        <w:t xml:space="preserve">“El precio de la vivienda comienza 2024 con un crecimiento abultado, dejando atrás la tendencia de moderación y confirmando un nuevo ritmo de aceleramiento. Se detectan encarecimientos significativos -de dos dígitos- en las principales comunidades tensionadas. A nivel capital de provincia, </w:t>
      </w:r>
      <w:r>
        <w:rPr>
          <w:rFonts w:ascii="Open Sans" w:eastAsia="Open Sans" w:hAnsi="Open Sans" w:cs="Open Sans"/>
          <w:b/>
        </w:rPr>
        <w:t>Madrid, Las Palmas y Málaga inician 2024 alcanzando precios máximos</w:t>
      </w:r>
      <w:r>
        <w:rPr>
          <w:rFonts w:ascii="Open Sans" w:eastAsia="Open Sans" w:hAnsi="Open Sans" w:cs="Open Sans"/>
        </w:rPr>
        <w:t>. La capacidad de atracción poblacional y turística de estas ciudades genera una demanda tan fuerte que la oferta no puede absorber y que tensiona los precios al alza. Tras las declaraciones del BCE abriendo la puerta a una bajada de tipos antes del próximo verano, se espera una demanda de compra todavía más fuerte que podría encarecer todavía más el precio de la vivienda”, explica María Matos, directora de Estudios y portavoz de</w:t>
      </w:r>
      <w:r>
        <w:rPr>
          <w:rFonts w:ascii="Open Sans" w:eastAsia="Open Sans" w:hAnsi="Open Sans" w:cs="Open Sans"/>
          <w:color w:val="000000"/>
        </w:rPr>
        <w:t xml:space="preserve"> </w:t>
      </w:r>
      <w:hyperlink r:id="rId11">
        <w:r>
          <w:rPr>
            <w:rFonts w:ascii="Open Sans" w:eastAsia="Open Sans" w:hAnsi="Open Sans" w:cs="Open Sans"/>
            <w:b/>
            <w:color w:val="0000FF"/>
          </w:rPr>
          <w:t>Fotocasa</w:t>
        </w:r>
      </w:hyperlink>
      <w:r>
        <w:rPr>
          <w:rFonts w:ascii="Open Sans" w:eastAsia="Open Sans" w:hAnsi="Open Sans" w:cs="Open Sans"/>
          <w:color w:val="000000"/>
        </w:rPr>
        <w:t xml:space="preserve">. </w:t>
      </w:r>
    </w:p>
    <w:p w14:paraId="653A2D89" w14:textId="77777777" w:rsidR="000B0E98"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 xml:space="preserve">Si analizamos los precios de la vivienda en venta respecto a los de hace un año, vemos que </w:t>
      </w:r>
      <w:r w:rsidRPr="00960112">
        <w:rPr>
          <w:rFonts w:ascii="Open Sans" w:eastAsia="Open Sans" w:hAnsi="Open Sans" w:cs="Open Sans"/>
          <w:b/>
          <w:bCs/>
          <w:color w:val="000000"/>
        </w:rPr>
        <w:t>16 comunidades incrementan el precio interanual en enero</w:t>
      </w:r>
      <w:r>
        <w:rPr>
          <w:rFonts w:ascii="Open Sans" w:eastAsia="Open Sans" w:hAnsi="Open Sans" w:cs="Open Sans"/>
          <w:color w:val="000000"/>
        </w:rPr>
        <w:t>. A diferencia de otros meses, en el que los incrementos superiores al 10% se daban en seis comunidades en enero y son Canarias (23,7%), Baleares (15,2%), Madrid (12,7%), Región de Murcia (11,1%), Comunitat Valenciana (11,0%) y La Rioja (10,5%). Le siguen las comunidades de Aragón (9,5%), Navarra (9,5%), Andalucía (9,0%), Cantabria (7,7%), País Vasco (5,6%), Cataluña (4,3%), Castilla-La Mancha (3,7%), Galicia (3,3%), Asturias (3,1%) y Castilla y León (1,6%).</w:t>
      </w:r>
    </w:p>
    <w:p w14:paraId="03F1C135" w14:textId="77777777" w:rsidR="000B0E98"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 xml:space="preserve">En cuanto al ranking de Comunidades Autónomas (CC.AA.) </w:t>
      </w:r>
      <w:r w:rsidRPr="00960112">
        <w:rPr>
          <w:rFonts w:ascii="Open Sans" w:eastAsia="Open Sans" w:hAnsi="Open Sans" w:cs="Open Sans"/>
          <w:b/>
          <w:bCs/>
          <w:color w:val="000000"/>
        </w:rPr>
        <w:t>con el precio de la vivienda de segunda mano más caras en España, se encuentran Baleares y Madrid, con los precios de 3.872 euros/m</w:t>
      </w:r>
      <w:r w:rsidRPr="00960112">
        <w:rPr>
          <w:rFonts w:ascii="Open Sans" w:eastAsia="Open Sans" w:hAnsi="Open Sans" w:cs="Open Sans"/>
          <w:b/>
          <w:bCs/>
          <w:color w:val="000000"/>
          <w:vertAlign w:val="superscript"/>
        </w:rPr>
        <w:t>2</w:t>
      </w:r>
      <w:r w:rsidRPr="00960112">
        <w:rPr>
          <w:rFonts w:ascii="Open Sans" w:eastAsia="Open Sans" w:hAnsi="Open Sans" w:cs="Open Sans"/>
          <w:b/>
          <w:bCs/>
          <w:color w:val="000000"/>
        </w:rPr>
        <w:t xml:space="preserve"> y los 3.852 euros/m</w:t>
      </w:r>
      <w:r w:rsidRPr="00960112">
        <w:rPr>
          <w:rFonts w:ascii="Open Sans" w:eastAsia="Open Sans" w:hAnsi="Open Sans" w:cs="Open Sans"/>
          <w:b/>
          <w:bCs/>
          <w:color w:val="000000"/>
          <w:vertAlign w:val="superscript"/>
        </w:rPr>
        <w:t>2</w:t>
      </w:r>
      <w:r>
        <w:rPr>
          <w:rFonts w:ascii="Open Sans" w:eastAsia="Open Sans" w:hAnsi="Open Sans" w:cs="Open Sans"/>
          <w:color w:val="000000"/>
        </w:rPr>
        <w:t>, respectivamente. Le siguen, País Vasco con 3.087 euros/m</w:t>
      </w:r>
      <w:r>
        <w:rPr>
          <w:rFonts w:ascii="Open Sans" w:eastAsia="Open Sans" w:hAnsi="Open Sans" w:cs="Open Sans"/>
          <w:color w:val="000000"/>
          <w:vertAlign w:val="superscript"/>
        </w:rPr>
        <w:t>2</w:t>
      </w:r>
      <w:r>
        <w:rPr>
          <w:rFonts w:ascii="Open Sans" w:eastAsia="Open Sans" w:hAnsi="Open Sans" w:cs="Open Sans"/>
          <w:color w:val="000000"/>
        </w:rPr>
        <w:t>, Cataluña con 2.771 euros/m</w:t>
      </w:r>
      <w:r>
        <w:rPr>
          <w:rFonts w:ascii="Open Sans" w:eastAsia="Open Sans" w:hAnsi="Open Sans" w:cs="Open Sans"/>
          <w:color w:val="000000"/>
          <w:vertAlign w:val="superscript"/>
        </w:rPr>
        <w:t>2</w:t>
      </w:r>
      <w:r>
        <w:rPr>
          <w:rFonts w:ascii="Open Sans" w:eastAsia="Open Sans" w:hAnsi="Open Sans" w:cs="Open Sans"/>
          <w:color w:val="000000"/>
        </w:rPr>
        <w:t>, Canarias con 2.450 euros/m</w:t>
      </w:r>
      <w:r>
        <w:rPr>
          <w:rFonts w:ascii="Open Sans" w:eastAsia="Open Sans" w:hAnsi="Open Sans" w:cs="Open Sans"/>
          <w:color w:val="000000"/>
          <w:vertAlign w:val="superscript"/>
        </w:rPr>
        <w:t>2</w:t>
      </w:r>
      <w:r>
        <w:rPr>
          <w:rFonts w:ascii="Open Sans" w:eastAsia="Open Sans" w:hAnsi="Open Sans" w:cs="Open Sans"/>
          <w:color w:val="000000"/>
        </w:rPr>
        <w:t>, Navarra con 2.050 euros/m</w:t>
      </w:r>
      <w:r>
        <w:rPr>
          <w:rFonts w:ascii="Open Sans" w:eastAsia="Open Sans" w:hAnsi="Open Sans" w:cs="Open Sans"/>
          <w:color w:val="000000"/>
          <w:vertAlign w:val="superscript"/>
        </w:rPr>
        <w:t>2</w:t>
      </w:r>
      <w:r>
        <w:rPr>
          <w:rFonts w:ascii="Open Sans" w:eastAsia="Open Sans" w:hAnsi="Open Sans" w:cs="Open Sans"/>
          <w:color w:val="000000"/>
        </w:rPr>
        <w:t>, Andalucía con 2.010 euros/m</w:t>
      </w:r>
      <w:r>
        <w:rPr>
          <w:rFonts w:ascii="Open Sans" w:eastAsia="Open Sans" w:hAnsi="Open Sans" w:cs="Open Sans"/>
          <w:color w:val="000000"/>
          <w:vertAlign w:val="superscript"/>
        </w:rPr>
        <w:t>2</w:t>
      </w:r>
      <w:r>
        <w:rPr>
          <w:rFonts w:ascii="Open Sans" w:eastAsia="Open Sans" w:hAnsi="Open Sans" w:cs="Open Sans"/>
          <w:color w:val="000000"/>
        </w:rPr>
        <w:t>, Cantabria con 1.933 euros/m</w:t>
      </w:r>
      <w:r>
        <w:rPr>
          <w:rFonts w:ascii="Open Sans" w:eastAsia="Open Sans" w:hAnsi="Open Sans" w:cs="Open Sans"/>
          <w:color w:val="000000"/>
          <w:vertAlign w:val="superscript"/>
        </w:rPr>
        <w:t>2</w:t>
      </w:r>
      <w:r>
        <w:rPr>
          <w:rFonts w:ascii="Open Sans" w:eastAsia="Open Sans" w:hAnsi="Open Sans" w:cs="Open Sans"/>
          <w:color w:val="000000"/>
        </w:rPr>
        <w:t>, Aragón con 1.768 euros/m</w:t>
      </w:r>
      <w:r>
        <w:rPr>
          <w:rFonts w:ascii="Open Sans" w:eastAsia="Open Sans" w:hAnsi="Open Sans" w:cs="Open Sans"/>
          <w:color w:val="000000"/>
          <w:vertAlign w:val="superscript"/>
        </w:rPr>
        <w:t>2</w:t>
      </w:r>
      <w:r>
        <w:rPr>
          <w:rFonts w:ascii="Open Sans" w:eastAsia="Open Sans" w:hAnsi="Open Sans" w:cs="Open Sans"/>
          <w:color w:val="000000"/>
        </w:rPr>
        <w:t>, Comunitat Valenciana con 1.766 euros/m</w:t>
      </w:r>
      <w:r>
        <w:rPr>
          <w:rFonts w:ascii="Open Sans" w:eastAsia="Open Sans" w:hAnsi="Open Sans" w:cs="Open Sans"/>
          <w:color w:val="000000"/>
          <w:vertAlign w:val="superscript"/>
        </w:rPr>
        <w:t>2</w:t>
      </w:r>
      <w:r>
        <w:rPr>
          <w:rFonts w:ascii="Open Sans" w:eastAsia="Open Sans" w:hAnsi="Open Sans" w:cs="Open Sans"/>
          <w:color w:val="000000"/>
        </w:rPr>
        <w:t>, Galicia con 1.713 euros/m</w:t>
      </w:r>
      <w:r>
        <w:rPr>
          <w:rFonts w:ascii="Open Sans" w:eastAsia="Open Sans" w:hAnsi="Open Sans" w:cs="Open Sans"/>
          <w:color w:val="000000"/>
          <w:vertAlign w:val="superscript"/>
        </w:rPr>
        <w:t>2</w:t>
      </w:r>
      <w:r>
        <w:rPr>
          <w:rFonts w:ascii="Open Sans" w:eastAsia="Open Sans" w:hAnsi="Open Sans" w:cs="Open Sans"/>
          <w:color w:val="000000"/>
        </w:rPr>
        <w:t>, La Rioja con 1.695 euros/m</w:t>
      </w:r>
      <w:r>
        <w:rPr>
          <w:rFonts w:ascii="Open Sans" w:eastAsia="Open Sans" w:hAnsi="Open Sans" w:cs="Open Sans"/>
          <w:color w:val="000000"/>
          <w:vertAlign w:val="superscript"/>
        </w:rPr>
        <w:t>2</w:t>
      </w:r>
      <w:r>
        <w:rPr>
          <w:rFonts w:ascii="Open Sans" w:eastAsia="Open Sans" w:hAnsi="Open Sans" w:cs="Open Sans"/>
          <w:color w:val="000000"/>
        </w:rPr>
        <w:t>, Asturias con 1.657 euros/m</w:t>
      </w:r>
      <w:r>
        <w:rPr>
          <w:rFonts w:ascii="Open Sans" w:eastAsia="Open Sans" w:hAnsi="Open Sans" w:cs="Open Sans"/>
          <w:color w:val="000000"/>
          <w:vertAlign w:val="superscript"/>
        </w:rPr>
        <w:t>2</w:t>
      </w:r>
      <w:r>
        <w:rPr>
          <w:rFonts w:ascii="Open Sans" w:eastAsia="Open Sans" w:hAnsi="Open Sans" w:cs="Open Sans"/>
          <w:color w:val="000000"/>
        </w:rPr>
        <w:t>, Castilla y León con 1.480 euros/m</w:t>
      </w:r>
      <w:r>
        <w:rPr>
          <w:rFonts w:ascii="Open Sans" w:eastAsia="Open Sans" w:hAnsi="Open Sans" w:cs="Open Sans"/>
          <w:color w:val="000000"/>
          <w:vertAlign w:val="superscript"/>
        </w:rPr>
        <w:t>2</w:t>
      </w:r>
      <w:r>
        <w:rPr>
          <w:rFonts w:ascii="Open Sans" w:eastAsia="Open Sans" w:hAnsi="Open Sans" w:cs="Open Sans"/>
          <w:color w:val="000000"/>
        </w:rPr>
        <w:t>, Región de Murcia con 1.320 euros/m</w:t>
      </w:r>
      <w:r>
        <w:rPr>
          <w:rFonts w:ascii="Open Sans" w:eastAsia="Open Sans" w:hAnsi="Open Sans" w:cs="Open Sans"/>
          <w:color w:val="000000"/>
          <w:vertAlign w:val="superscript"/>
        </w:rPr>
        <w:t>2</w:t>
      </w:r>
      <w:r>
        <w:rPr>
          <w:rFonts w:ascii="Open Sans" w:eastAsia="Open Sans" w:hAnsi="Open Sans" w:cs="Open Sans"/>
          <w:color w:val="000000"/>
        </w:rPr>
        <w:t>, Castilla-La Mancha con 1.202 euros/m</w:t>
      </w:r>
      <w:r>
        <w:rPr>
          <w:rFonts w:ascii="Open Sans" w:eastAsia="Open Sans" w:hAnsi="Open Sans" w:cs="Open Sans"/>
          <w:color w:val="000000"/>
          <w:vertAlign w:val="superscript"/>
        </w:rPr>
        <w:t>2</w:t>
      </w:r>
      <w:r>
        <w:rPr>
          <w:rFonts w:ascii="Open Sans" w:eastAsia="Open Sans" w:hAnsi="Open Sans" w:cs="Open Sans"/>
          <w:color w:val="000000"/>
        </w:rPr>
        <w:t xml:space="preserve"> y Extremadura con 1.194 euros/m</w:t>
      </w:r>
      <w:r>
        <w:rPr>
          <w:rFonts w:ascii="Open Sans" w:eastAsia="Open Sans" w:hAnsi="Open Sans" w:cs="Open Sans"/>
          <w:color w:val="000000"/>
          <w:vertAlign w:val="superscript"/>
        </w:rPr>
        <w:t>2</w:t>
      </w:r>
      <w:r>
        <w:rPr>
          <w:rFonts w:ascii="Open Sans" w:eastAsia="Open Sans" w:hAnsi="Open Sans" w:cs="Open Sans"/>
          <w:color w:val="000000"/>
        </w:rPr>
        <w:t>.</w:t>
      </w:r>
    </w:p>
    <w:p w14:paraId="2D8C543B" w14:textId="77777777" w:rsidR="00806EBB" w:rsidRDefault="00806EBB">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p>
    <w:p w14:paraId="2FF85811" w14:textId="77777777" w:rsidR="00806EBB" w:rsidRDefault="00806EBB">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p>
    <w:p w14:paraId="5F0D072E" w14:textId="77777777" w:rsidR="00806EBB" w:rsidRDefault="00806EBB">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p>
    <w:p w14:paraId="13FDA3BD" w14:textId="77777777" w:rsidR="000B0E98" w:rsidRDefault="00000000">
      <w:pPr>
        <w:pBdr>
          <w:top w:val="nil"/>
          <w:left w:val="nil"/>
          <w:bottom w:val="nil"/>
          <w:right w:val="nil"/>
          <w:between w:val="nil"/>
        </w:pBdr>
        <w:shd w:val="clear" w:color="auto" w:fill="FFFFFF"/>
        <w:spacing w:before="280" w:after="280" w:line="276" w:lineRule="auto"/>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de mayor a menor incremento interanual</w:t>
      </w:r>
    </w:p>
    <w:tbl>
      <w:tblPr>
        <w:tblStyle w:val="8"/>
        <w:tblW w:w="90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10"/>
        <w:gridCol w:w="1701"/>
        <w:gridCol w:w="1559"/>
        <w:gridCol w:w="1701"/>
        <w:gridCol w:w="1700"/>
      </w:tblGrid>
      <w:tr w:rsidR="000B0E98" w14:paraId="264A1CD7" w14:textId="77777777" w:rsidTr="000B0E9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47F5292"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701" w:type="dxa"/>
            <w:vAlign w:val="center"/>
          </w:tcPr>
          <w:p w14:paraId="238F5467"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2024</w:t>
            </w:r>
          </w:p>
          <w:p w14:paraId="4CA5B115"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0B875F47"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635EE8CE"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700" w:type="dxa"/>
          </w:tcPr>
          <w:p w14:paraId="4B1601A6"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media nacional</w:t>
            </w:r>
          </w:p>
        </w:tc>
      </w:tr>
      <w:tr w:rsidR="000B0E98" w14:paraId="283F6699" w14:textId="77777777" w:rsidTr="000B0E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4412E4A"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1701" w:type="dxa"/>
            <w:vAlign w:val="bottom"/>
          </w:tcPr>
          <w:p w14:paraId="5399799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2.450 €</w:t>
            </w:r>
          </w:p>
        </w:tc>
        <w:tc>
          <w:tcPr>
            <w:tcW w:w="1559" w:type="dxa"/>
            <w:vAlign w:val="bottom"/>
          </w:tcPr>
          <w:p w14:paraId="41DB66B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w:t>
            </w:r>
          </w:p>
        </w:tc>
        <w:tc>
          <w:tcPr>
            <w:tcW w:w="1701" w:type="dxa"/>
            <w:vAlign w:val="bottom"/>
          </w:tcPr>
          <w:p w14:paraId="190106F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23,7%</w:t>
            </w:r>
          </w:p>
        </w:tc>
        <w:tc>
          <w:tcPr>
            <w:tcW w:w="1700" w:type="dxa"/>
            <w:vAlign w:val="bottom"/>
          </w:tcPr>
          <w:p w14:paraId="57746B2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10,6%</w:t>
            </w:r>
          </w:p>
        </w:tc>
      </w:tr>
      <w:tr w:rsidR="000B0E98" w14:paraId="0E02FA06" w14:textId="77777777" w:rsidTr="000B0E9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34FD499"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1701" w:type="dxa"/>
            <w:vAlign w:val="bottom"/>
          </w:tcPr>
          <w:p w14:paraId="489BC35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3.872 €</w:t>
            </w:r>
          </w:p>
        </w:tc>
        <w:tc>
          <w:tcPr>
            <w:tcW w:w="1559" w:type="dxa"/>
            <w:vAlign w:val="bottom"/>
          </w:tcPr>
          <w:p w14:paraId="1AA14DE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3935547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15,2%</w:t>
            </w:r>
          </w:p>
        </w:tc>
        <w:tc>
          <w:tcPr>
            <w:tcW w:w="1700" w:type="dxa"/>
            <w:vAlign w:val="bottom"/>
          </w:tcPr>
          <w:p w14:paraId="4DF6BEC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74,8%</w:t>
            </w:r>
          </w:p>
        </w:tc>
      </w:tr>
      <w:tr w:rsidR="000B0E98" w14:paraId="7917B178" w14:textId="77777777" w:rsidTr="000B0E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33E5E18"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1701" w:type="dxa"/>
            <w:vAlign w:val="bottom"/>
          </w:tcPr>
          <w:p w14:paraId="2AAC951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3.852 €</w:t>
            </w:r>
          </w:p>
        </w:tc>
        <w:tc>
          <w:tcPr>
            <w:tcW w:w="1559" w:type="dxa"/>
            <w:vAlign w:val="bottom"/>
          </w:tcPr>
          <w:p w14:paraId="39E13D92"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1701" w:type="dxa"/>
            <w:vAlign w:val="bottom"/>
          </w:tcPr>
          <w:p w14:paraId="1103E12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12,7%</w:t>
            </w:r>
          </w:p>
        </w:tc>
        <w:tc>
          <w:tcPr>
            <w:tcW w:w="1700" w:type="dxa"/>
            <w:vAlign w:val="bottom"/>
          </w:tcPr>
          <w:p w14:paraId="5CE2851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73,9%</w:t>
            </w:r>
          </w:p>
        </w:tc>
      </w:tr>
      <w:tr w:rsidR="000B0E98" w14:paraId="74EB9C34" w14:textId="77777777" w:rsidTr="000B0E9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D002FB3"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1701" w:type="dxa"/>
            <w:vAlign w:val="bottom"/>
          </w:tcPr>
          <w:p w14:paraId="2B32971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1.320 €</w:t>
            </w:r>
          </w:p>
        </w:tc>
        <w:tc>
          <w:tcPr>
            <w:tcW w:w="1559" w:type="dxa"/>
            <w:vAlign w:val="bottom"/>
          </w:tcPr>
          <w:p w14:paraId="4EDBBFA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w:t>
            </w:r>
          </w:p>
        </w:tc>
        <w:tc>
          <w:tcPr>
            <w:tcW w:w="1701" w:type="dxa"/>
            <w:vAlign w:val="bottom"/>
          </w:tcPr>
          <w:p w14:paraId="5F5513A8"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11,1%</w:t>
            </w:r>
          </w:p>
        </w:tc>
        <w:tc>
          <w:tcPr>
            <w:tcW w:w="1700" w:type="dxa"/>
            <w:vAlign w:val="bottom"/>
          </w:tcPr>
          <w:p w14:paraId="5DDFFCA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-40,4%</w:t>
            </w:r>
          </w:p>
        </w:tc>
      </w:tr>
      <w:tr w:rsidR="000B0E98" w14:paraId="1E88424A" w14:textId="77777777" w:rsidTr="000B0E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DD4706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Comunitat Valenciana </w:t>
            </w:r>
          </w:p>
        </w:tc>
        <w:tc>
          <w:tcPr>
            <w:tcW w:w="1701" w:type="dxa"/>
            <w:vAlign w:val="bottom"/>
          </w:tcPr>
          <w:p w14:paraId="29E9D10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1.766 €</w:t>
            </w:r>
          </w:p>
        </w:tc>
        <w:tc>
          <w:tcPr>
            <w:tcW w:w="1559" w:type="dxa"/>
            <w:vAlign w:val="bottom"/>
          </w:tcPr>
          <w:p w14:paraId="0A05B632"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182B40C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11,0%</w:t>
            </w:r>
          </w:p>
        </w:tc>
        <w:tc>
          <w:tcPr>
            <w:tcW w:w="1700" w:type="dxa"/>
            <w:vAlign w:val="bottom"/>
          </w:tcPr>
          <w:p w14:paraId="4E61F1D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-20,3%</w:t>
            </w:r>
          </w:p>
        </w:tc>
      </w:tr>
      <w:tr w:rsidR="000B0E98" w14:paraId="63F0CECC" w14:textId="77777777" w:rsidTr="000B0E9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C63E1A7"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1701" w:type="dxa"/>
            <w:vAlign w:val="bottom"/>
          </w:tcPr>
          <w:p w14:paraId="4ED4BC8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1.695 €</w:t>
            </w:r>
          </w:p>
        </w:tc>
        <w:tc>
          <w:tcPr>
            <w:tcW w:w="1559" w:type="dxa"/>
            <w:vAlign w:val="bottom"/>
          </w:tcPr>
          <w:p w14:paraId="5251606E"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701" w:type="dxa"/>
            <w:vAlign w:val="bottom"/>
          </w:tcPr>
          <w:p w14:paraId="16ED508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10,5%</w:t>
            </w:r>
          </w:p>
        </w:tc>
        <w:tc>
          <w:tcPr>
            <w:tcW w:w="1700" w:type="dxa"/>
            <w:vAlign w:val="bottom"/>
          </w:tcPr>
          <w:p w14:paraId="2937FCF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-23,5%</w:t>
            </w:r>
          </w:p>
        </w:tc>
      </w:tr>
      <w:tr w:rsidR="000B0E98" w14:paraId="7F70082C" w14:textId="77777777" w:rsidTr="000B0E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83A48FE"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1701" w:type="dxa"/>
            <w:vAlign w:val="bottom"/>
          </w:tcPr>
          <w:p w14:paraId="5F0F0CC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1.768 €</w:t>
            </w:r>
          </w:p>
        </w:tc>
        <w:tc>
          <w:tcPr>
            <w:tcW w:w="1559" w:type="dxa"/>
            <w:vAlign w:val="bottom"/>
          </w:tcPr>
          <w:p w14:paraId="5F6A9D6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01" w:type="dxa"/>
            <w:vAlign w:val="bottom"/>
          </w:tcPr>
          <w:p w14:paraId="1824D06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9,5%</w:t>
            </w:r>
          </w:p>
        </w:tc>
        <w:tc>
          <w:tcPr>
            <w:tcW w:w="1700" w:type="dxa"/>
            <w:vAlign w:val="bottom"/>
          </w:tcPr>
          <w:p w14:paraId="575BFFC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-20,2%</w:t>
            </w:r>
          </w:p>
        </w:tc>
      </w:tr>
      <w:tr w:rsidR="000B0E98" w14:paraId="4B9E67AA" w14:textId="77777777" w:rsidTr="000B0E9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7F67780"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1701" w:type="dxa"/>
            <w:vAlign w:val="bottom"/>
          </w:tcPr>
          <w:p w14:paraId="1553123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2.050 €</w:t>
            </w:r>
          </w:p>
        </w:tc>
        <w:tc>
          <w:tcPr>
            <w:tcW w:w="1559" w:type="dxa"/>
            <w:vAlign w:val="bottom"/>
          </w:tcPr>
          <w:p w14:paraId="2EED871E"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-0,7%</w:t>
            </w:r>
          </w:p>
        </w:tc>
        <w:tc>
          <w:tcPr>
            <w:tcW w:w="1701" w:type="dxa"/>
            <w:vAlign w:val="bottom"/>
          </w:tcPr>
          <w:p w14:paraId="69654EE8"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9,5%</w:t>
            </w:r>
          </w:p>
        </w:tc>
        <w:tc>
          <w:tcPr>
            <w:tcW w:w="1700" w:type="dxa"/>
            <w:vAlign w:val="bottom"/>
          </w:tcPr>
          <w:p w14:paraId="6E90FF48"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-7,5%</w:t>
            </w:r>
          </w:p>
        </w:tc>
      </w:tr>
      <w:tr w:rsidR="000B0E98" w14:paraId="262FAD66" w14:textId="77777777" w:rsidTr="000B0E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6FBBE00"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1701" w:type="dxa"/>
            <w:vAlign w:val="bottom"/>
          </w:tcPr>
          <w:p w14:paraId="52B4C64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2.010 €</w:t>
            </w:r>
          </w:p>
        </w:tc>
        <w:tc>
          <w:tcPr>
            <w:tcW w:w="1559" w:type="dxa"/>
            <w:vAlign w:val="bottom"/>
          </w:tcPr>
          <w:p w14:paraId="7C27D8E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701" w:type="dxa"/>
            <w:vAlign w:val="bottom"/>
          </w:tcPr>
          <w:p w14:paraId="1FB7FAF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9,0%</w:t>
            </w:r>
          </w:p>
        </w:tc>
        <w:tc>
          <w:tcPr>
            <w:tcW w:w="1700" w:type="dxa"/>
            <w:vAlign w:val="bottom"/>
          </w:tcPr>
          <w:p w14:paraId="7023BDA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-9,3%</w:t>
            </w:r>
          </w:p>
        </w:tc>
      </w:tr>
      <w:tr w:rsidR="000B0E98" w14:paraId="6B5B25D0" w14:textId="77777777" w:rsidTr="000B0E9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E1BF41B"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1701" w:type="dxa"/>
            <w:vAlign w:val="bottom"/>
          </w:tcPr>
          <w:p w14:paraId="61705F5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1.933 €</w:t>
            </w:r>
          </w:p>
        </w:tc>
        <w:tc>
          <w:tcPr>
            <w:tcW w:w="1559" w:type="dxa"/>
            <w:vAlign w:val="bottom"/>
          </w:tcPr>
          <w:p w14:paraId="2F05600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01" w:type="dxa"/>
            <w:vAlign w:val="bottom"/>
          </w:tcPr>
          <w:p w14:paraId="7C4279F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7,7%</w:t>
            </w:r>
          </w:p>
        </w:tc>
        <w:tc>
          <w:tcPr>
            <w:tcW w:w="1700" w:type="dxa"/>
            <w:vAlign w:val="bottom"/>
          </w:tcPr>
          <w:p w14:paraId="1D4E9948"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-12,7%</w:t>
            </w:r>
          </w:p>
        </w:tc>
      </w:tr>
      <w:tr w:rsidR="000B0E98" w14:paraId="0F075059" w14:textId="77777777" w:rsidTr="000B0E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2C6816B"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1701" w:type="dxa"/>
            <w:vAlign w:val="bottom"/>
          </w:tcPr>
          <w:p w14:paraId="345FAC3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3.087 €</w:t>
            </w:r>
          </w:p>
        </w:tc>
        <w:tc>
          <w:tcPr>
            <w:tcW w:w="1559" w:type="dxa"/>
            <w:vAlign w:val="bottom"/>
          </w:tcPr>
          <w:p w14:paraId="555F1C6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3CD1E53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5,6%</w:t>
            </w:r>
          </w:p>
        </w:tc>
        <w:tc>
          <w:tcPr>
            <w:tcW w:w="1700" w:type="dxa"/>
            <w:vAlign w:val="bottom"/>
          </w:tcPr>
          <w:p w14:paraId="5B52B56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39,3%</w:t>
            </w:r>
          </w:p>
        </w:tc>
      </w:tr>
      <w:tr w:rsidR="000B0E98" w14:paraId="58CF28C2" w14:textId="77777777" w:rsidTr="000B0E9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6A224D3"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1701" w:type="dxa"/>
            <w:vAlign w:val="bottom"/>
          </w:tcPr>
          <w:p w14:paraId="356B78D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2.771 €</w:t>
            </w:r>
          </w:p>
        </w:tc>
        <w:tc>
          <w:tcPr>
            <w:tcW w:w="1559" w:type="dxa"/>
            <w:vAlign w:val="bottom"/>
          </w:tcPr>
          <w:p w14:paraId="7708715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01" w:type="dxa"/>
            <w:vAlign w:val="bottom"/>
          </w:tcPr>
          <w:p w14:paraId="19F0827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4,3%</w:t>
            </w:r>
          </w:p>
        </w:tc>
        <w:tc>
          <w:tcPr>
            <w:tcW w:w="1700" w:type="dxa"/>
            <w:vAlign w:val="bottom"/>
          </w:tcPr>
          <w:p w14:paraId="3AC9550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25,1%</w:t>
            </w:r>
          </w:p>
        </w:tc>
      </w:tr>
      <w:tr w:rsidR="000B0E98" w14:paraId="056E19D6" w14:textId="77777777" w:rsidTr="000B0E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E5B7E0F"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1701" w:type="dxa"/>
            <w:vAlign w:val="bottom"/>
          </w:tcPr>
          <w:p w14:paraId="36FFC84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1.202 €</w:t>
            </w:r>
          </w:p>
        </w:tc>
        <w:tc>
          <w:tcPr>
            <w:tcW w:w="1559" w:type="dxa"/>
            <w:vAlign w:val="bottom"/>
          </w:tcPr>
          <w:p w14:paraId="0DB3734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3859838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3,7%</w:t>
            </w:r>
          </w:p>
        </w:tc>
        <w:tc>
          <w:tcPr>
            <w:tcW w:w="1700" w:type="dxa"/>
            <w:vAlign w:val="bottom"/>
          </w:tcPr>
          <w:p w14:paraId="5D1839C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-45,8%</w:t>
            </w:r>
          </w:p>
        </w:tc>
      </w:tr>
      <w:tr w:rsidR="000B0E98" w14:paraId="4A7E01B5" w14:textId="77777777" w:rsidTr="000B0E9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BE1C83C"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1701" w:type="dxa"/>
            <w:vAlign w:val="bottom"/>
          </w:tcPr>
          <w:p w14:paraId="4FCB870E"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1.713 €</w:t>
            </w:r>
          </w:p>
        </w:tc>
        <w:tc>
          <w:tcPr>
            <w:tcW w:w="1559" w:type="dxa"/>
            <w:vAlign w:val="bottom"/>
          </w:tcPr>
          <w:p w14:paraId="4E08F53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701" w:type="dxa"/>
            <w:vAlign w:val="bottom"/>
          </w:tcPr>
          <w:p w14:paraId="48B4CDC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3,3%</w:t>
            </w:r>
          </w:p>
        </w:tc>
        <w:tc>
          <w:tcPr>
            <w:tcW w:w="1700" w:type="dxa"/>
            <w:vAlign w:val="bottom"/>
          </w:tcPr>
          <w:p w14:paraId="5B46E9A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-22,7%</w:t>
            </w:r>
          </w:p>
        </w:tc>
      </w:tr>
      <w:tr w:rsidR="000B0E98" w14:paraId="7F9D6252" w14:textId="77777777" w:rsidTr="000B0E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F146162"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1701" w:type="dxa"/>
            <w:vAlign w:val="bottom"/>
          </w:tcPr>
          <w:p w14:paraId="2BE8C44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1.657 €</w:t>
            </w:r>
          </w:p>
        </w:tc>
        <w:tc>
          <w:tcPr>
            <w:tcW w:w="1559" w:type="dxa"/>
            <w:vAlign w:val="bottom"/>
          </w:tcPr>
          <w:p w14:paraId="1BBE527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6F6EC9C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w:t>
            </w:r>
          </w:p>
        </w:tc>
        <w:tc>
          <w:tcPr>
            <w:tcW w:w="1700" w:type="dxa"/>
            <w:vAlign w:val="bottom"/>
          </w:tcPr>
          <w:p w14:paraId="083F4DE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-25,2%</w:t>
            </w:r>
          </w:p>
        </w:tc>
      </w:tr>
      <w:tr w:rsidR="000B0E98" w14:paraId="05174BE7" w14:textId="77777777" w:rsidTr="000B0E9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3D1F333"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1701" w:type="dxa"/>
            <w:vAlign w:val="bottom"/>
          </w:tcPr>
          <w:p w14:paraId="386BDED8"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1.480 €</w:t>
            </w:r>
          </w:p>
        </w:tc>
        <w:tc>
          <w:tcPr>
            <w:tcW w:w="1559" w:type="dxa"/>
            <w:vAlign w:val="bottom"/>
          </w:tcPr>
          <w:p w14:paraId="1D50CCD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3FCF8C8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w:t>
            </w:r>
          </w:p>
        </w:tc>
        <w:tc>
          <w:tcPr>
            <w:tcW w:w="1700" w:type="dxa"/>
            <w:vAlign w:val="bottom"/>
          </w:tcPr>
          <w:p w14:paraId="184E0B6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-33,2%</w:t>
            </w:r>
          </w:p>
        </w:tc>
      </w:tr>
      <w:tr w:rsidR="000B0E98" w14:paraId="3F31AE7B" w14:textId="77777777" w:rsidTr="000B0E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9C79137"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1701" w:type="dxa"/>
            <w:vAlign w:val="bottom"/>
          </w:tcPr>
          <w:p w14:paraId="281AE2F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1.194 €</w:t>
            </w:r>
          </w:p>
        </w:tc>
        <w:tc>
          <w:tcPr>
            <w:tcW w:w="1559" w:type="dxa"/>
            <w:vAlign w:val="bottom"/>
          </w:tcPr>
          <w:p w14:paraId="2A8109F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336867C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w:t>
            </w:r>
          </w:p>
        </w:tc>
        <w:tc>
          <w:tcPr>
            <w:tcW w:w="1700" w:type="dxa"/>
            <w:vAlign w:val="bottom"/>
          </w:tcPr>
          <w:p w14:paraId="4763153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-46,1%</w:t>
            </w:r>
          </w:p>
        </w:tc>
      </w:tr>
      <w:tr w:rsidR="000B0E98" w14:paraId="450F6FA4" w14:textId="77777777" w:rsidTr="000B0E9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FFF73CE"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 xml:space="preserve"> España </w:t>
            </w:r>
          </w:p>
        </w:tc>
        <w:tc>
          <w:tcPr>
            <w:tcW w:w="1701" w:type="dxa"/>
            <w:vAlign w:val="bottom"/>
          </w:tcPr>
          <w:p w14:paraId="360A9ED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2.215 €</w:t>
            </w:r>
          </w:p>
        </w:tc>
        <w:tc>
          <w:tcPr>
            <w:tcW w:w="1559" w:type="dxa"/>
            <w:vAlign w:val="bottom"/>
          </w:tcPr>
          <w:p w14:paraId="507CABC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0,6%</w:t>
            </w:r>
          </w:p>
        </w:tc>
        <w:tc>
          <w:tcPr>
            <w:tcW w:w="1701" w:type="dxa"/>
            <w:vAlign w:val="bottom"/>
          </w:tcPr>
          <w:p w14:paraId="59D7771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7,5%</w:t>
            </w:r>
          </w:p>
        </w:tc>
        <w:tc>
          <w:tcPr>
            <w:tcW w:w="1700" w:type="dxa"/>
            <w:vAlign w:val="bottom"/>
          </w:tcPr>
          <w:p w14:paraId="3A00A03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0,0%</w:t>
            </w:r>
          </w:p>
        </w:tc>
      </w:tr>
    </w:tbl>
    <w:p w14:paraId="7C3AC49C" w14:textId="77777777" w:rsidR="000B0E98"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 xml:space="preserve">Provincias </w:t>
      </w:r>
    </w:p>
    <w:p w14:paraId="0640C9EB" w14:textId="4EAE9D1C" w:rsidR="000B0E98" w:rsidRDefault="00000000">
      <w:pPr>
        <w:spacing w:line="276" w:lineRule="auto"/>
        <w:jc w:val="both"/>
        <w:rPr>
          <w:rFonts w:ascii="Open Sans" w:eastAsia="Open Sans" w:hAnsi="Open Sans" w:cs="Open Sans"/>
          <w:color w:val="000000"/>
        </w:rPr>
      </w:pPr>
      <w:r w:rsidRPr="00C82D4B">
        <w:rPr>
          <w:rFonts w:ascii="Open Sans" w:eastAsia="Open Sans" w:hAnsi="Open Sans" w:cs="Open Sans"/>
          <w:b/>
          <w:bCs/>
          <w:color w:val="000000"/>
        </w:rPr>
        <w:t>En el 88% de las 50 provincias analizadas sube el precio interanual de la vivienda en el mes de enero. En 12 provincias se supera el 10%</w:t>
      </w:r>
      <w:r>
        <w:rPr>
          <w:rFonts w:ascii="Open Sans" w:eastAsia="Open Sans" w:hAnsi="Open Sans" w:cs="Open Sans"/>
          <w:color w:val="000000"/>
        </w:rPr>
        <w:t>, en concreto en</w:t>
      </w:r>
      <w:r>
        <w:t xml:space="preserve"> </w:t>
      </w:r>
      <w:r>
        <w:rPr>
          <w:rFonts w:ascii="Open Sans" w:eastAsia="Open Sans" w:hAnsi="Open Sans" w:cs="Open Sans"/>
          <w:color w:val="000000"/>
        </w:rPr>
        <w:t>Santa Cruz de Tenerife (28,7%), Málaga (19,9%), Las Palmas (15,7%), Illes Balears (15,2%), Tarragona (12,9%), Madrid (12,7%), Alicante (12,6%), Teruel (11,9%), Murcia (11,1%), La Rioja (10,5%), Girona (10,3%) y Segovia (10,0%). Por otro lado, las seis provincias con descensos interanuales son: Araba – Álava (-0,1%), Zamora (-0,3%),</w:t>
      </w:r>
      <w:r w:rsidR="00C82D4B">
        <w:rPr>
          <w:rFonts w:ascii="Open Sans" w:eastAsia="Open Sans" w:hAnsi="Open Sans" w:cs="Open Sans"/>
          <w:color w:val="000000"/>
        </w:rPr>
        <w:t xml:space="preserve"> </w:t>
      </w:r>
      <w:r>
        <w:rPr>
          <w:rFonts w:ascii="Open Sans" w:eastAsia="Open Sans" w:hAnsi="Open Sans" w:cs="Open Sans"/>
          <w:color w:val="000000"/>
        </w:rPr>
        <w:t>León (-0,5%), Ciudad Real (-1,1%), Jaén (-1,7%) y Badajoz (-3,6%).</w:t>
      </w:r>
    </w:p>
    <w:p w14:paraId="7E8EE0DC" w14:textId="77777777" w:rsidR="000B0E98" w:rsidRDefault="000B0E98">
      <w:pPr>
        <w:spacing w:line="276" w:lineRule="auto"/>
        <w:jc w:val="both"/>
        <w:rPr>
          <w:rFonts w:ascii="Open Sans" w:eastAsia="Open Sans" w:hAnsi="Open Sans" w:cs="Open Sans"/>
          <w:color w:val="000000"/>
        </w:rPr>
      </w:pPr>
    </w:p>
    <w:p w14:paraId="4A55435E" w14:textId="77777777" w:rsidR="000B0E98" w:rsidRDefault="00000000">
      <w:pPr>
        <w:pBdr>
          <w:top w:val="nil"/>
          <w:left w:val="nil"/>
          <w:bottom w:val="nil"/>
          <w:right w:val="nil"/>
          <w:between w:val="nil"/>
        </w:pBdr>
        <w:shd w:val="clear" w:color="auto" w:fill="FFFFFF"/>
        <w:spacing w:after="225" w:line="276" w:lineRule="auto"/>
        <w:jc w:val="both"/>
        <w:rPr>
          <w:rFonts w:ascii="Open Sans Light" w:eastAsia="Open Sans Light" w:hAnsi="Open Sans Light" w:cs="Open Sans Light"/>
          <w:b/>
          <w:color w:val="303AB2"/>
        </w:rPr>
      </w:pPr>
      <w:r>
        <w:rPr>
          <w:rFonts w:ascii="Open Sans" w:eastAsia="Open Sans" w:hAnsi="Open Sans" w:cs="Open Sans"/>
          <w:color w:val="000000"/>
        </w:rPr>
        <w:t xml:space="preserve">En cuanto a los precios, </w:t>
      </w:r>
      <w:r w:rsidRPr="00C82D4B">
        <w:rPr>
          <w:rFonts w:ascii="Open Sans" w:eastAsia="Open Sans" w:hAnsi="Open Sans" w:cs="Open Sans"/>
          <w:b/>
          <w:bCs/>
          <w:color w:val="000000"/>
        </w:rPr>
        <w:t>Illes Balears es la provincia más cara con 3.872 euros/m</w:t>
      </w:r>
      <w:r w:rsidRPr="00C82D4B">
        <w:rPr>
          <w:rFonts w:ascii="Open Sans" w:eastAsia="Open Sans" w:hAnsi="Open Sans" w:cs="Open Sans"/>
          <w:b/>
          <w:bCs/>
          <w:color w:val="000000"/>
          <w:vertAlign w:val="superscript"/>
        </w:rPr>
        <w:t>2</w:t>
      </w:r>
      <w:r w:rsidRPr="00C82D4B">
        <w:rPr>
          <w:rFonts w:ascii="Open Sans" w:eastAsia="Open Sans" w:hAnsi="Open Sans" w:cs="Open Sans"/>
          <w:b/>
          <w:bCs/>
          <w:color w:val="000000"/>
        </w:rPr>
        <w:t>, seguida de Madrid (3.852 euros/m</w:t>
      </w:r>
      <w:r w:rsidRPr="00C82D4B">
        <w:rPr>
          <w:rFonts w:ascii="Open Sans" w:eastAsia="Open Sans" w:hAnsi="Open Sans" w:cs="Open Sans"/>
          <w:b/>
          <w:bCs/>
          <w:color w:val="000000"/>
          <w:vertAlign w:val="superscript"/>
        </w:rPr>
        <w:t>2</w:t>
      </w:r>
      <w:r w:rsidRPr="00C82D4B">
        <w:rPr>
          <w:rFonts w:ascii="Open Sans" w:eastAsia="Open Sans" w:hAnsi="Open Sans" w:cs="Open Sans"/>
          <w:b/>
          <w:bCs/>
          <w:color w:val="000000"/>
        </w:rPr>
        <w:t>) y Gipuzkoa (3.482 euros/m</w:t>
      </w:r>
      <w:r w:rsidRPr="00C82D4B">
        <w:rPr>
          <w:rFonts w:ascii="Open Sans" w:eastAsia="Open Sans" w:hAnsi="Open Sans" w:cs="Open Sans"/>
          <w:b/>
          <w:bCs/>
          <w:color w:val="000000"/>
          <w:vertAlign w:val="superscript"/>
        </w:rPr>
        <w:t>2</w:t>
      </w:r>
      <w:r w:rsidRPr="00C82D4B">
        <w:rPr>
          <w:rFonts w:ascii="Open Sans" w:eastAsia="Open Sans" w:hAnsi="Open Sans" w:cs="Open Sans"/>
          <w:b/>
          <w:bCs/>
          <w:color w:val="000000"/>
        </w:rPr>
        <w:t>), entre otras</w:t>
      </w:r>
      <w:r>
        <w:rPr>
          <w:rFonts w:ascii="Open Sans" w:eastAsia="Open Sans" w:hAnsi="Open Sans" w:cs="Open Sans"/>
          <w:color w:val="000000"/>
        </w:rPr>
        <w:t>. Por otro lado, la provincia con el precio por metro cuadrado por debajo de los 1.000 euros es Ciudad Real con 979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tbl>
      <w:tblPr>
        <w:tblStyle w:val="7"/>
        <w:tblW w:w="90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27"/>
        <w:gridCol w:w="1984"/>
        <w:gridCol w:w="1559"/>
        <w:gridCol w:w="1701"/>
        <w:gridCol w:w="1700"/>
      </w:tblGrid>
      <w:tr w:rsidR="000B0E98" w14:paraId="3755ACA4" w14:textId="77777777" w:rsidTr="000B0E9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4065945"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Provincia</w:t>
            </w:r>
          </w:p>
        </w:tc>
        <w:tc>
          <w:tcPr>
            <w:tcW w:w="1984" w:type="dxa"/>
            <w:vAlign w:val="center"/>
          </w:tcPr>
          <w:p w14:paraId="429B8A07"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2024</w:t>
            </w:r>
          </w:p>
          <w:p w14:paraId="640AFFD7"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1505B805"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17715449"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700" w:type="dxa"/>
          </w:tcPr>
          <w:p w14:paraId="71BB3E65"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media nacional</w:t>
            </w:r>
          </w:p>
        </w:tc>
      </w:tr>
      <w:tr w:rsidR="000B0E98" w14:paraId="39D7613D"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CCCE478"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984" w:type="dxa"/>
            <w:vAlign w:val="bottom"/>
          </w:tcPr>
          <w:p w14:paraId="0B65C81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2.724 €</w:t>
            </w:r>
          </w:p>
        </w:tc>
        <w:tc>
          <w:tcPr>
            <w:tcW w:w="1559" w:type="dxa"/>
            <w:vAlign w:val="bottom"/>
          </w:tcPr>
          <w:p w14:paraId="5AB9841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1,2%</w:t>
            </w:r>
          </w:p>
        </w:tc>
        <w:tc>
          <w:tcPr>
            <w:tcW w:w="1701" w:type="dxa"/>
            <w:vAlign w:val="bottom"/>
          </w:tcPr>
          <w:p w14:paraId="1A0DB54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color w:val="000000"/>
                <w:sz w:val="22"/>
                <w:szCs w:val="22"/>
              </w:rPr>
              <w:t>28,7%</w:t>
            </w:r>
          </w:p>
        </w:tc>
        <w:tc>
          <w:tcPr>
            <w:tcW w:w="1700" w:type="dxa"/>
            <w:vAlign w:val="bottom"/>
          </w:tcPr>
          <w:p w14:paraId="1AF165B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22,9%</w:t>
            </w:r>
          </w:p>
        </w:tc>
      </w:tr>
      <w:tr w:rsidR="000B0E98" w14:paraId="1ED49607"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6BA3981"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984" w:type="dxa"/>
            <w:vAlign w:val="bottom"/>
          </w:tcPr>
          <w:p w14:paraId="013CC34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3.337 €</w:t>
            </w:r>
          </w:p>
        </w:tc>
        <w:tc>
          <w:tcPr>
            <w:tcW w:w="1559" w:type="dxa"/>
            <w:vAlign w:val="bottom"/>
          </w:tcPr>
          <w:p w14:paraId="131B9A1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1,3%</w:t>
            </w:r>
          </w:p>
        </w:tc>
        <w:tc>
          <w:tcPr>
            <w:tcW w:w="1701" w:type="dxa"/>
            <w:vAlign w:val="bottom"/>
          </w:tcPr>
          <w:p w14:paraId="24F21E8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color w:val="000000"/>
                <w:sz w:val="22"/>
                <w:szCs w:val="22"/>
              </w:rPr>
              <w:t>19,9%</w:t>
            </w:r>
          </w:p>
        </w:tc>
        <w:tc>
          <w:tcPr>
            <w:tcW w:w="1700" w:type="dxa"/>
            <w:vAlign w:val="bottom"/>
          </w:tcPr>
          <w:p w14:paraId="778AB1D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50,6%</w:t>
            </w:r>
          </w:p>
        </w:tc>
      </w:tr>
      <w:tr w:rsidR="000B0E98" w14:paraId="21E05129"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C8C4669"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1984" w:type="dxa"/>
            <w:vAlign w:val="bottom"/>
          </w:tcPr>
          <w:p w14:paraId="0C760902"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2.122 €</w:t>
            </w:r>
          </w:p>
        </w:tc>
        <w:tc>
          <w:tcPr>
            <w:tcW w:w="1559" w:type="dxa"/>
            <w:vAlign w:val="bottom"/>
          </w:tcPr>
          <w:p w14:paraId="2744438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01" w:type="dxa"/>
            <w:vAlign w:val="bottom"/>
          </w:tcPr>
          <w:p w14:paraId="00E0706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15,7%</w:t>
            </w:r>
          </w:p>
        </w:tc>
        <w:tc>
          <w:tcPr>
            <w:tcW w:w="1700" w:type="dxa"/>
            <w:vAlign w:val="bottom"/>
          </w:tcPr>
          <w:p w14:paraId="3D452D1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-4,2%</w:t>
            </w:r>
          </w:p>
        </w:tc>
      </w:tr>
      <w:tr w:rsidR="000B0E98" w14:paraId="0801694C"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596437F"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60A8426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3.872 €</w:t>
            </w:r>
          </w:p>
        </w:tc>
        <w:tc>
          <w:tcPr>
            <w:tcW w:w="1559" w:type="dxa"/>
            <w:vAlign w:val="bottom"/>
          </w:tcPr>
          <w:p w14:paraId="3208D03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1727F96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15,2%</w:t>
            </w:r>
          </w:p>
        </w:tc>
        <w:tc>
          <w:tcPr>
            <w:tcW w:w="1700" w:type="dxa"/>
            <w:vAlign w:val="bottom"/>
          </w:tcPr>
          <w:p w14:paraId="7397220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74,8%</w:t>
            </w:r>
          </w:p>
        </w:tc>
      </w:tr>
      <w:tr w:rsidR="000B0E98" w14:paraId="4DD4090E"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9313AB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1984" w:type="dxa"/>
            <w:vAlign w:val="bottom"/>
          </w:tcPr>
          <w:p w14:paraId="30A72BF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1.838 €</w:t>
            </w:r>
          </w:p>
        </w:tc>
        <w:tc>
          <w:tcPr>
            <w:tcW w:w="1559" w:type="dxa"/>
            <w:vAlign w:val="bottom"/>
          </w:tcPr>
          <w:p w14:paraId="184F861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701" w:type="dxa"/>
            <w:vAlign w:val="bottom"/>
          </w:tcPr>
          <w:p w14:paraId="3DD8F46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12,9%</w:t>
            </w:r>
          </w:p>
        </w:tc>
        <w:tc>
          <w:tcPr>
            <w:tcW w:w="1700" w:type="dxa"/>
            <w:vAlign w:val="bottom"/>
          </w:tcPr>
          <w:p w14:paraId="4724120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-17,1%</w:t>
            </w:r>
          </w:p>
        </w:tc>
      </w:tr>
      <w:tr w:rsidR="000B0E98" w14:paraId="5B048CD1"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A6C439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984" w:type="dxa"/>
            <w:vAlign w:val="bottom"/>
          </w:tcPr>
          <w:p w14:paraId="066ABC9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3.852 €</w:t>
            </w:r>
          </w:p>
        </w:tc>
        <w:tc>
          <w:tcPr>
            <w:tcW w:w="1559" w:type="dxa"/>
            <w:vAlign w:val="bottom"/>
          </w:tcPr>
          <w:p w14:paraId="47D1F5E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1701" w:type="dxa"/>
            <w:vAlign w:val="bottom"/>
          </w:tcPr>
          <w:p w14:paraId="5CD35AD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12,7%</w:t>
            </w:r>
          </w:p>
        </w:tc>
        <w:tc>
          <w:tcPr>
            <w:tcW w:w="1700" w:type="dxa"/>
            <w:vAlign w:val="bottom"/>
          </w:tcPr>
          <w:p w14:paraId="33518FC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73,9%</w:t>
            </w:r>
          </w:p>
        </w:tc>
      </w:tr>
      <w:tr w:rsidR="000B0E98" w14:paraId="3D953D19"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89B267C"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84" w:type="dxa"/>
            <w:vAlign w:val="bottom"/>
          </w:tcPr>
          <w:p w14:paraId="532046D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2.037 €</w:t>
            </w:r>
          </w:p>
        </w:tc>
        <w:tc>
          <w:tcPr>
            <w:tcW w:w="1559" w:type="dxa"/>
            <w:vAlign w:val="bottom"/>
          </w:tcPr>
          <w:p w14:paraId="184AF0F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701" w:type="dxa"/>
            <w:vAlign w:val="bottom"/>
          </w:tcPr>
          <w:p w14:paraId="0E09F59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12,6%</w:t>
            </w:r>
          </w:p>
        </w:tc>
        <w:tc>
          <w:tcPr>
            <w:tcW w:w="1700" w:type="dxa"/>
            <w:vAlign w:val="bottom"/>
          </w:tcPr>
          <w:p w14:paraId="2F1E6F0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-8,1%</w:t>
            </w:r>
          </w:p>
        </w:tc>
      </w:tr>
      <w:tr w:rsidR="000B0E98" w14:paraId="466364A6"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155C9B7"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1984" w:type="dxa"/>
            <w:vAlign w:val="bottom"/>
          </w:tcPr>
          <w:p w14:paraId="73283EF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1.236 €</w:t>
            </w:r>
          </w:p>
        </w:tc>
        <w:tc>
          <w:tcPr>
            <w:tcW w:w="1559" w:type="dxa"/>
            <w:vAlign w:val="bottom"/>
          </w:tcPr>
          <w:p w14:paraId="6A040FC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38DEFA5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11,9%</w:t>
            </w:r>
          </w:p>
        </w:tc>
        <w:tc>
          <w:tcPr>
            <w:tcW w:w="1700" w:type="dxa"/>
            <w:vAlign w:val="bottom"/>
          </w:tcPr>
          <w:p w14:paraId="5D37F29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-44,2%</w:t>
            </w:r>
          </w:p>
        </w:tc>
      </w:tr>
      <w:tr w:rsidR="000B0E98" w14:paraId="05E9DD76"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E19188E"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1984" w:type="dxa"/>
            <w:vAlign w:val="bottom"/>
          </w:tcPr>
          <w:p w14:paraId="53D0012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1.320 €</w:t>
            </w:r>
          </w:p>
        </w:tc>
        <w:tc>
          <w:tcPr>
            <w:tcW w:w="1559" w:type="dxa"/>
            <w:vAlign w:val="bottom"/>
          </w:tcPr>
          <w:p w14:paraId="6DC877C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vAlign w:val="bottom"/>
          </w:tcPr>
          <w:p w14:paraId="3EA8D66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11,1%</w:t>
            </w:r>
          </w:p>
        </w:tc>
        <w:tc>
          <w:tcPr>
            <w:tcW w:w="1700" w:type="dxa"/>
            <w:vAlign w:val="bottom"/>
          </w:tcPr>
          <w:p w14:paraId="6E35181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-40,4%</w:t>
            </w:r>
          </w:p>
        </w:tc>
      </w:tr>
      <w:tr w:rsidR="000B0E98" w14:paraId="6F8D277D"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7E1A6D8"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984" w:type="dxa"/>
            <w:vAlign w:val="bottom"/>
          </w:tcPr>
          <w:p w14:paraId="26CAA86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1.695 €</w:t>
            </w:r>
          </w:p>
        </w:tc>
        <w:tc>
          <w:tcPr>
            <w:tcW w:w="1559" w:type="dxa"/>
            <w:vAlign w:val="bottom"/>
          </w:tcPr>
          <w:p w14:paraId="47AB3BA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701" w:type="dxa"/>
            <w:vAlign w:val="bottom"/>
          </w:tcPr>
          <w:p w14:paraId="0F1D47E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10,5%</w:t>
            </w:r>
          </w:p>
        </w:tc>
        <w:tc>
          <w:tcPr>
            <w:tcW w:w="1700" w:type="dxa"/>
            <w:vAlign w:val="bottom"/>
          </w:tcPr>
          <w:p w14:paraId="715BF32E"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-23,5%</w:t>
            </w:r>
          </w:p>
        </w:tc>
      </w:tr>
      <w:tr w:rsidR="000B0E98" w14:paraId="35B5005B"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530E950"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1984" w:type="dxa"/>
            <w:vAlign w:val="bottom"/>
          </w:tcPr>
          <w:p w14:paraId="1073622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2.515 €</w:t>
            </w:r>
          </w:p>
        </w:tc>
        <w:tc>
          <w:tcPr>
            <w:tcW w:w="1559" w:type="dxa"/>
            <w:vAlign w:val="bottom"/>
          </w:tcPr>
          <w:p w14:paraId="35884B1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701" w:type="dxa"/>
            <w:vAlign w:val="bottom"/>
          </w:tcPr>
          <w:p w14:paraId="48B515D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10,3%</w:t>
            </w:r>
          </w:p>
        </w:tc>
        <w:tc>
          <w:tcPr>
            <w:tcW w:w="1700" w:type="dxa"/>
            <w:vAlign w:val="bottom"/>
          </w:tcPr>
          <w:p w14:paraId="6614595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13,5%</w:t>
            </w:r>
          </w:p>
        </w:tc>
      </w:tr>
      <w:tr w:rsidR="000B0E98" w14:paraId="431217AC"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BDB660B"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1984" w:type="dxa"/>
            <w:vAlign w:val="bottom"/>
          </w:tcPr>
          <w:p w14:paraId="2AE69CA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1.500 €</w:t>
            </w:r>
          </w:p>
        </w:tc>
        <w:tc>
          <w:tcPr>
            <w:tcW w:w="1559" w:type="dxa"/>
            <w:vAlign w:val="bottom"/>
          </w:tcPr>
          <w:p w14:paraId="6C1542E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06B3AE2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10,0%</w:t>
            </w:r>
          </w:p>
        </w:tc>
        <w:tc>
          <w:tcPr>
            <w:tcW w:w="1700" w:type="dxa"/>
            <w:vAlign w:val="bottom"/>
          </w:tcPr>
          <w:p w14:paraId="362BA2D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-32,3%</w:t>
            </w:r>
          </w:p>
        </w:tc>
      </w:tr>
      <w:tr w:rsidR="000B0E98" w14:paraId="74783D4C"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82302F8"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1984" w:type="dxa"/>
            <w:vAlign w:val="bottom"/>
          </w:tcPr>
          <w:p w14:paraId="6235A3A2"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1.328 €</w:t>
            </w:r>
          </w:p>
        </w:tc>
        <w:tc>
          <w:tcPr>
            <w:tcW w:w="1559" w:type="dxa"/>
            <w:vAlign w:val="bottom"/>
          </w:tcPr>
          <w:p w14:paraId="3ED358E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701" w:type="dxa"/>
            <w:vAlign w:val="bottom"/>
          </w:tcPr>
          <w:p w14:paraId="4D05F0E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9,9%</w:t>
            </w:r>
          </w:p>
        </w:tc>
        <w:tc>
          <w:tcPr>
            <w:tcW w:w="1700" w:type="dxa"/>
            <w:vAlign w:val="bottom"/>
          </w:tcPr>
          <w:p w14:paraId="77F7B21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-40,1%</w:t>
            </w:r>
          </w:p>
        </w:tc>
      </w:tr>
      <w:tr w:rsidR="000B0E98" w14:paraId="0E19DD15"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3D4931B"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1984" w:type="dxa"/>
            <w:vAlign w:val="bottom"/>
          </w:tcPr>
          <w:p w14:paraId="4D1C4E7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1.845 €</w:t>
            </w:r>
          </w:p>
        </w:tc>
        <w:tc>
          <w:tcPr>
            <w:tcW w:w="1559" w:type="dxa"/>
            <w:vAlign w:val="bottom"/>
          </w:tcPr>
          <w:p w14:paraId="51FA4AD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01" w:type="dxa"/>
            <w:vAlign w:val="bottom"/>
          </w:tcPr>
          <w:p w14:paraId="0A17369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9,7%</w:t>
            </w:r>
          </w:p>
        </w:tc>
        <w:tc>
          <w:tcPr>
            <w:tcW w:w="1700" w:type="dxa"/>
            <w:vAlign w:val="bottom"/>
          </w:tcPr>
          <w:p w14:paraId="3795EFB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-16,7%</w:t>
            </w:r>
          </w:p>
        </w:tc>
      </w:tr>
      <w:tr w:rsidR="000B0E98" w14:paraId="3360A512"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1431871"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984" w:type="dxa"/>
            <w:vAlign w:val="bottom"/>
          </w:tcPr>
          <w:p w14:paraId="560D682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2.050 €</w:t>
            </w:r>
          </w:p>
        </w:tc>
        <w:tc>
          <w:tcPr>
            <w:tcW w:w="1559" w:type="dxa"/>
            <w:vAlign w:val="bottom"/>
          </w:tcPr>
          <w:p w14:paraId="5B61E72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01" w:type="dxa"/>
            <w:vAlign w:val="bottom"/>
          </w:tcPr>
          <w:p w14:paraId="55EE93F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9,5%</w:t>
            </w:r>
          </w:p>
        </w:tc>
        <w:tc>
          <w:tcPr>
            <w:tcW w:w="1700" w:type="dxa"/>
            <w:vAlign w:val="bottom"/>
          </w:tcPr>
          <w:p w14:paraId="3CAF7D2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-7,5%</w:t>
            </w:r>
          </w:p>
        </w:tc>
      </w:tr>
      <w:tr w:rsidR="000B0E98" w14:paraId="74B4D853"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DA978F6"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984" w:type="dxa"/>
            <w:vAlign w:val="bottom"/>
          </w:tcPr>
          <w:p w14:paraId="09922B8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1.909 €</w:t>
            </w:r>
          </w:p>
        </w:tc>
        <w:tc>
          <w:tcPr>
            <w:tcW w:w="1559" w:type="dxa"/>
            <w:vAlign w:val="bottom"/>
          </w:tcPr>
          <w:p w14:paraId="479D337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701" w:type="dxa"/>
            <w:vAlign w:val="bottom"/>
          </w:tcPr>
          <w:p w14:paraId="74CCFA8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8,8%</w:t>
            </w:r>
          </w:p>
        </w:tc>
        <w:tc>
          <w:tcPr>
            <w:tcW w:w="1700" w:type="dxa"/>
            <w:vAlign w:val="bottom"/>
          </w:tcPr>
          <w:p w14:paraId="76B40F1E"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-13,8%</w:t>
            </w:r>
          </w:p>
        </w:tc>
      </w:tr>
      <w:tr w:rsidR="000B0E98" w14:paraId="00DAB1EE"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8DBCDAE"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1984" w:type="dxa"/>
            <w:vAlign w:val="bottom"/>
          </w:tcPr>
          <w:p w14:paraId="036E6AD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1.276 €</w:t>
            </w:r>
          </w:p>
        </w:tc>
        <w:tc>
          <w:tcPr>
            <w:tcW w:w="1559" w:type="dxa"/>
            <w:vAlign w:val="bottom"/>
          </w:tcPr>
          <w:p w14:paraId="3E05CA1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7F27BF1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8,6%</w:t>
            </w:r>
          </w:p>
        </w:tc>
        <w:tc>
          <w:tcPr>
            <w:tcW w:w="1700" w:type="dxa"/>
            <w:vAlign w:val="bottom"/>
          </w:tcPr>
          <w:p w14:paraId="32DA6ED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-42,4%</w:t>
            </w:r>
          </w:p>
        </w:tc>
      </w:tr>
      <w:tr w:rsidR="000B0E98" w14:paraId="37F3AC96"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0E8B50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1984" w:type="dxa"/>
            <w:vAlign w:val="bottom"/>
          </w:tcPr>
          <w:p w14:paraId="5A76996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3.482 €</w:t>
            </w:r>
          </w:p>
        </w:tc>
        <w:tc>
          <w:tcPr>
            <w:tcW w:w="1559" w:type="dxa"/>
            <w:vAlign w:val="bottom"/>
          </w:tcPr>
          <w:p w14:paraId="12E7D60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701" w:type="dxa"/>
            <w:vAlign w:val="bottom"/>
          </w:tcPr>
          <w:p w14:paraId="630A29D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8,5%</w:t>
            </w:r>
          </w:p>
        </w:tc>
        <w:tc>
          <w:tcPr>
            <w:tcW w:w="1700" w:type="dxa"/>
            <w:vAlign w:val="bottom"/>
          </w:tcPr>
          <w:p w14:paraId="17F548B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57,2%</w:t>
            </w:r>
          </w:p>
        </w:tc>
      </w:tr>
      <w:tr w:rsidR="000B0E98" w14:paraId="1D312E9C"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A30C5FE"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984" w:type="dxa"/>
            <w:vAlign w:val="bottom"/>
          </w:tcPr>
          <w:p w14:paraId="5C28706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1.627 €</w:t>
            </w:r>
          </w:p>
        </w:tc>
        <w:tc>
          <w:tcPr>
            <w:tcW w:w="1559" w:type="dxa"/>
            <w:vAlign w:val="bottom"/>
          </w:tcPr>
          <w:p w14:paraId="166CCBB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66CF794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7,9%</w:t>
            </w:r>
          </w:p>
        </w:tc>
        <w:tc>
          <w:tcPr>
            <w:tcW w:w="1700" w:type="dxa"/>
            <w:vAlign w:val="bottom"/>
          </w:tcPr>
          <w:p w14:paraId="406C7E2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-26,5%</w:t>
            </w:r>
          </w:p>
        </w:tc>
      </w:tr>
      <w:tr w:rsidR="000B0E98" w14:paraId="43149549"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2D5DB3C"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984" w:type="dxa"/>
            <w:vAlign w:val="bottom"/>
          </w:tcPr>
          <w:p w14:paraId="614847F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1.933 €</w:t>
            </w:r>
          </w:p>
        </w:tc>
        <w:tc>
          <w:tcPr>
            <w:tcW w:w="1559" w:type="dxa"/>
            <w:vAlign w:val="bottom"/>
          </w:tcPr>
          <w:p w14:paraId="2CFEA1C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01" w:type="dxa"/>
            <w:vAlign w:val="bottom"/>
          </w:tcPr>
          <w:p w14:paraId="3F91639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7,7%</w:t>
            </w:r>
          </w:p>
        </w:tc>
        <w:tc>
          <w:tcPr>
            <w:tcW w:w="1700" w:type="dxa"/>
            <w:vAlign w:val="bottom"/>
          </w:tcPr>
          <w:p w14:paraId="47A5EA2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-12,7%</w:t>
            </w:r>
          </w:p>
        </w:tc>
      </w:tr>
      <w:tr w:rsidR="000B0E98" w14:paraId="08EB5CFD"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7AFF76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1984" w:type="dxa"/>
            <w:vAlign w:val="bottom"/>
          </w:tcPr>
          <w:p w14:paraId="04B3C54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1.274 €</w:t>
            </w:r>
          </w:p>
        </w:tc>
        <w:tc>
          <w:tcPr>
            <w:tcW w:w="1559" w:type="dxa"/>
            <w:vAlign w:val="bottom"/>
          </w:tcPr>
          <w:p w14:paraId="7FA3DC8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4C4F250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7,6%</w:t>
            </w:r>
          </w:p>
        </w:tc>
        <w:tc>
          <w:tcPr>
            <w:tcW w:w="1700" w:type="dxa"/>
            <w:vAlign w:val="bottom"/>
          </w:tcPr>
          <w:p w14:paraId="134CEB4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-42,5%</w:t>
            </w:r>
          </w:p>
        </w:tc>
      </w:tr>
      <w:tr w:rsidR="000B0E98" w14:paraId="2C0A13A8"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85B06F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984" w:type="dxa"/>
            <w:vAlign w:val="bottom"/>
          </w:tcPr>
          <w:p w14:paraId="6727F0C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1.839 €</w:t>
            </w:r>
          </w:p>
        </w:tc>
        <w:tc>
          <w:tcPr>
            <w:tcW w:w="1559" w:type="dxa"/>
            <w:vAlign w:val="bottom"/>
          </w:tcPr>
          <w:p w14:paraId="024CC61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01" w:type="dxa"/>
            <w:vAlign w:val="bottom"/>
          </w:tcPr>
          <w:p w14:paraId="5658BC0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7,4%</w:t>
            </w:r>
          </w:p>
        </w:tc>
        <w:tc>
          <w:tcPr>
            <w:tcW w:w="1700" w:type="dxa"/>
            <w:vAlign w:val="bottom"/>
          </w:tcPr>
          <w:p w14:paraId="2532E1B8"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-17,0%</w:t>
            </w:r>
          </w:p>
        </w:tc>
      </w:tr>
      <w:tr w:rsidR="000B0E98" w14:paraId="7CC59CEC"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9A0D645"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1984" w:type="dxa"/>
            <w:vAlign w:val="bottom"/>
          </w:tcPr>
          <w:p w14:paraId="4A48DE6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1.807 €</w:t>
            </w:r>
          </w:p>
        </w:tc>
        <w:tc>
          <w:tcPr>
            <w:tcW w:w="1559" w:type="dxa"/>
            <w:vAlign w:val="bottom"/>
          </w:tcPr>
          <w:p w14:paraId="6889A86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040E691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7,0%</w:t>
            </w:r>
          </w:p>
        </w:tc>
        <w:tc>
          <w:tcPr>
            <w:tcW w:w="1700" w:type="dxa"/>
            <w:vAlign w:val="bottom"/>
          </w:tcPr>
          <w:p w14:paraId="37E2398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-18,4%</w:t>
            </w:r>
          </w:p>
        </w:tc>
      </w:tr>
      <w:tr w:rsidR="000B0E98" w14:paraId="1E34B162"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422025E"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1984" w:type="dxa"/>
            <w:vAlign w:val="bottom"/>
          </w:tcPr>
          <w:p w14:paraId="67C1BB1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1.474 €</w:t>
            </w:r>
          </w:p>
        </w:tc>
        <w:tc>
          <w:tcPr>
            <w:tcW w:w="1559" w:type="dxa"/>
            <w:vAlign w:val="bottom"/>
          </w:tcPr>
          <w:p w14:paraId="0E32831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01" w:type="dxa"/>
            <w:vAlign w:val="bottom"/>
          </w:tcPr>
          <w:p w14:paraId="42DC1C9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6,9%</w:t>
            </w:r>
          </w:p>
        </w:tc>
        <w:tc>
          <w:tcPr>
            <w:tcW w:w="1700" w:type="dxa"/>
            <w:vAlign w:val="bottom"/>
          </w:tcPr>
          <w:p w14:paraId="1141A3C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-33,5%</w:t>
            </w:r>
          </w:p>
        </w:tc>
      </w:tr>
      <w:tr w:rsidR="000B0E98" w14:paraId="72634FE0"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685B6E5"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1984" w:type="dxa"/>
            <w:vAlign w:val="bottom"/>
          </w:tcPr>
          <w:p w14:paraId="32C6552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1.592 €</w:t>
            </w:r>
          </w:p>
        </w:tc>
        <w:tc>
          <w:tcPr>
            <w:tcW w:w="1559" w:type="dxa"/>
            <w:vAlign w:val="bottom"/>
          </w:tcPr>
          <w:p w14:paraId="7DBE34A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04F5CE72"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6,7%</w:t>
            </w:r>
          </w:p>
        </w:tc>
        <w:tc>
          <w:tcPr>
            <w:tcW w:w="1700" w:type="dxa"/>
            <w:vAlign w:val="bottom"/>
          </w:tcPr>
          <w:p w14:paraId="64FDA9A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-28,2%</w:t>
            </w:r>
          </w:p>
        </w:tc>
      </w:tr>
      <w:tr w:rsidR="000B0E98" w14:paraId="1C38AE68"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6FC3225"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1984" w:type="dxa"/>
            <w:vAlign w:val="bottom"/>
          </w:tcPr>
          <w:p w14:paraId="741C935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1.412 €</w:t>
            </w:r>
          </w:p>
        </w:tc>
        <w:tc>
          <w:tcPr>
            <w:tcW w:w="1559" w:type="dxa"/>
            <w:vAlign w:val="bottom"/>
          </w:tcPr>
          <w:p w14:paraId="074CC7D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vAlign w:val="bottom"/>
          </w:tcPr>
          <w:p w14:paraId="279B8A8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6,1%</w:t>
            </w:r>
          </w:p>
        </w:tc>
        <w:tc>
          <w:tcPr>
            <w:tcW w:w="1700" w:type="dxa"/>
            <w:vAlign w:val="bottom"/>
          </w:tcPr>
          <w:p w14:paraId="151D32F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-36,3%</w:t>
            </w:r>
          </w:p>
        </w:tc>
      </w:tr>
      <w:tr w:rsidR="000B0E98" w14:paraId="447D017B"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587979C"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1984" w:type="dxa"/>
            <w:vAlign w:val="bottom"/>
          </w:tcPr>
          <w:p w14:paraId="7DD00E9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1.449 €</w:t>
            </w:r>
          </w:p>
        </w:tc>
        <w:tc>
          <w:tcPr>
            <w:tcW w:w="1559" w:type="dxa"/>
            <w:vAlign w:val="bottom"/>
          </w:tcPr>
          <w:p w14:paraId="31CDA02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388619F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5,8%</w:t>
            </w:r>
          </w:p>
        </w:tc>
        <w:tc>
          <w:tcPr>
            <w:tcW w:w="1700" w:type="dxa"/>
            <w:vAlign w:val="bottom"/>
          </w:tcPr>
          <w:p w14:paraId="0B9DEC4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-34,6%</w:t>
            </w:r>
          </w:p>
        </w:tc>
      </w:tr>
      <w:tr w:rsidR="000B0E98" w14:paraId="0075459A"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AAEA84C"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1984" w:type="dxa"/>
            <w:vAlign w:val="bottom"/>
          </w:tcPr>
          <w:p w14:paraId="697B329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2.060 €</w:t>
            </w:r>
          </w:p>
        </w:tc>
        <w:tc>
          <w:tcPr>
            <w:tcW w:w="1559" w:type="dxa"/>
            <w:vAlign w:val="bottom"/>
          </w:tcPr>
          <w:p w14:paraId="364FBF0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701" w:type="dxa"/>
            <w:vAlign w:val="bottom"/>
          </w:tcPr>
          <w:p w14:paraId="2C60BEB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5,8%</w:t>
            </w:r>
          </w:p>
        </w:tc>
        <w:tc>
          <w:tcPr>
            <w:tcW w:w="1700" w:type="dxa"/>
            <w:vAlign w:val="bottom"/>
          </w:tcPr>
          <w:p w14:paraId="16817BC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-7,0%</w:t>
            </w:r>
          </w:p>
        </w:tc>
      </w:tr>
      <w:tr w:rsidR="000B0E98" w14:paraId="381ED985"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DFBD80C"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1984" w:type="dxa"/>
            <w:vAlign w:val="bottom"/>
          </w:tcPr>
          <w:p w14:paraId="319C198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1.501 €</w:t>
            </w:r>
          </w:p>
        </w:tc>
        <w:tc>
          <w:tcPr>
            <w:tcW w:w="1559" w:type="dxa"/>
            <w:vAlign w:val="bottom"/>
          </w:tcPr>
          <w:p w14:paraId="4C8D2FB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701" w:type="dxa"/>
            <w:vAlign w:val="bottom"/>
          </w:tcPr>
          <w:p w14:paraId="5F6C80D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5,0%</w:t>
            </w:r>
          </w:p>
        </w:tc>
        <w:tc>
          <w:tcPr>
            <w:tcW w:w="1700" w:type="dxa"/>
            <w:vAlign w:val="bottom"/>
          </w:tcPr>
          <w:p w14:paraId="6097BC4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-32,3%</w:t>
            </w:r>
          </w:p>
        </w:tc>
      </w:tr>
      <w:tr w:rsidR="000B0E98" w14:paraId="71018777"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28B821C"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1984" w:type="dxa"/>
            <w:vAlign w:val="bottom"/>
          </w:tcPr>
          <w:p w14:paraId="0D0B27E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1.322 €</w:t>
            </w:r>
          </w:p>
        </w:tc>
        <w:tc>
          <w:tcPr>
            <w:tcW w:w="1559" w:type="dxa"/>
            <w:vAlign w:val="bottom"/>
          </w:tcPr>
          <w:p w14:paraId="000626C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01" w:type="dxa"/>
            <w:vAlign w:val="bottom"/>
          </w:tcPr>
          <w:p w14:paraId="0709743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4,8%</w:t>
            </w:r>
          </w:p>
        </w:tc>
        <w:tc>
          <w:tcPr>
            <w:tcW w:w="1700" w:type="dxa"/>
            <w:vAlign w:val="bottom"/>
          </w:tcPr>
          <w:p w14:paraId="10BB002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-40,3%</w:t>
            </w:r>
          </w:p>
        </w:tc>
      </w:tr>
      <w:tr w:rsidR="000B0E98" w14:paraId="7D003B83"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2B6C9D2"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1984" w:type="dxa"/>
            <w:vAlign w:val="bottom"/>
          </w:tcPr>
          <w:p w14:paraId="1969732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3.009 €</w:t>
            </w:r>
          </w:p>
        </w:tc>
        <w:tc>
          <w:tcPr>
            <w:tcW w:w="1559" w:type="dxa"/>
            <w:vAlign w:val="bottom"/>
          </w:tcPr>
          <w:p w14:paraId="7D736E4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01" w:type="dxa"/>
            <w:vAlign w:val="bottom"/>
          </w:tcPr>
          <w:p w14:paraId="505B05E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4,6%</w:t>
            </w:r>
          </w:p>
        </w:tc>
        <w:tc>
          <w:tcPr>
            <w:tcW w:w="1700" w:type="dxa"/>
            <w:vAlign w:val="bottom"/>
          </w:tcPr>
          <w:p w14:paraId="4EFDE32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35,8%</w:t>
            </w:r>
          </w:p>
        </w:tc>
      </w:tr>
      <w:tr w:rsidR="000B0E98" w14:paraId="2FDBC6D5"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CF80375"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1984" w:type="dxa"/>
            <w:vAlign w:val="bottom"/>
          </w:tcPr>
          <w:p w14:paraId="21A9648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1.386 €</w:t>
            </w:r>
          </w:p>
        </w:tc>
        <w:tc>
          <w:tcPr>
            <w:tcW w:w="1559" w:type="dxa"/>
            <w:vAlign w:val="bottom"/>
          </w:tcPr>
          <w:p w14:paraId="7A81DA9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01" w:type="dxa"/>
            <w:vAlign w:val="bottom"/>
          </w:tcPr>
          <w:p w14:paraId="62ABCD5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4,3%</w:t>
            </w:r>
          </w:p>
        </w:tc>
        <w:tc>
          <w:tcPr>
            <w:tcW w:w="1700" w:type="dxa"/>
            <w:vAlign w:val="bottom"/>
          </w:tcPr>
          <w:p w14:paraId="73F2420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-37,4%</w:t>
            </w:r>
          </w:p>
        </w:tc>
      </w:tr>
      <w:tr w:rsidR="000B0E98" w14:paraId="47AE22F5"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D67AD87"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1984" w:type="dxa"/>
            <w:vAlign w:val="bottom"/>
          </w:tcPr>
          <w:p w14:paraId="2D78C6D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1.500 €</w:t>
            </w:r>
          </w:p>
        </w:tc>
        <w:tc>
          <w:tcPr>
            <w:tcW w:w="1559" w:type="dxa"/>
            <w:vAlign w:val="bottom"/>
          </w:tcPr>
          <w:p w14:paraId="0D712C2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49B7AC4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3,8%</w:t>
            </w:r>
          </w:p>
        </w:tc>
        <w:tc>
          <w:tcPr>
            <w:tcW w:w="1700" w:type="dxa"/>
            <w:vAlign w:val="bottom"/>
          </w:tcPr>
          <w:p w14:paraId="2659376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-32,3%</w:t>
            </w:r>
          </w:p>
        </w:tc>
      </w:tr>
      <w:tr w:rsidR="000B0E98" w14:paraId="51BA3E55"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E7FFCF9"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984" w:type="dxa"/>
            <w:vAlign w:val="bottom"/>
          </w:tcPr>
          <w:p w14:paraId="0F18D2D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1.657 €</w:t>
            </w:r>
          </w:p>
        </w:tc>
        <w:tc>
          <w:tcPr>
            <w:tcW w:w="1559" w:type="dxa"/>
            <w:vAlign w:val="bottom"/>
          </w:tcPr>
          <w:p w14:paraId="465D820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0C5162E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w:t>
            </w:r>
          </w:p>
        </w:tc>
        <w:tc>
          <w:tcPr>
            <w:tcW w:w="1700" w:type="dxa"/>
            <w:vAlign w:val="bottom"/>
          </w:tcPr>
          <w:p w14:paraId="294B885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-25,2%</w:t>
            </w:r>
          </w:p>
        </w:tc>
      </w:tr>
      <w:tr w:rsidR="000B0E98" w14:paraId="71F44BC0"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0F61CB7"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1984" w:type="dxa"/>
            <w:vAlign w:val="bottom"/>
          </w:tcPr>
          <w:p w14:paraId="2CB8908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1.101 €</w:t>
            </w:r>
          </w:p>
        </w:tc>
        <w:tc>
          <w:tcPr>
            <w:tcW w:w="1559" w:type="dxa"/>
            <w:vAlign w:val="bottom"/>
          </w:tcPr>
          <w:p w14:paraId="3F8CF17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1D194AF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w:t>
            </w:r>
          </w:p>
        </w:tc>
        <w:tc>
          <w:tcPr>
            <w:tcW w:w="1700" w:type="dxa"/>
            <w:vAlign w:val="bottom"/>
          </w:tcPr>
          <w:p w14:paraId="6E5C9CB2"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-50,3%</w:t>
            </w:r>
          </w:p>
        </w:tc>
      </w:tr>
      <w:tr w:rsidR="000B0E98" w14:paraId="2838660C"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40B04F4"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1984" w:type="dxa"/>
            <w:vAlign w:val="bottom"/>
          </w:tcPr>
          <w:p w14:paraId="75C9D66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1.639 €</w:t>
            </w:r>
          </w:p>
        </w:tc>
        <w:tc>
          <w:tcPr>
            <w:tcW w:w="1559" w:type="dxa"/>
            <w:vAlign w:val="bottom"/>
          </w:tcPr>
          <w:p w14:paraId="5B32745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701" w:type="dxa"/>
            <w:vAlign w:val="bottom"/>
          </w:tcPr>
          <w:p w14:paraId="39A55E68"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3,0%</w:t>
            </w:r>
          </w:p>
        </w:tc>
        <w:tc>
          <w:tcPr>
            <w:tcW w:w="1700" w:type="dxa"/>
            <w:vAlign w:val="bottom"/>
          </w:tcPr>
          <w:p w14:paraId="182395D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-26,0%</w:t>
            </w:r>
          </w:p>
        </w:tc>
      </w:tr>
      <w:tr w:rsidR="000B0E98" w14:paraId="54435F00"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6AFA763"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984" w:type="dxa"/>
            <w:vAlign w:val="bottom"/>
          </w:tcPr>
          <w:p w14:paraId="6BB5505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3.061 €</w:t>
            </w:r>
          </w:p>
        </w:tc>
        <w:tc>
          <w:tcPr>
            <w:tcW w:w="1559" w:type="dxa"/>
            <w:vAlign w:val="bottom"/>
          </w:tcPr>
          <w:p w14:paraId="25D6F49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4273061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2,6%</w:t>
            </w:r>
          </w:p>
        </w:tc>
        <w:tc>
          <w:tcPr>
            <w:tcW w:w="1700" w:type="dxa"/>
            <w:vAlign w:val="bottom"/>
          </w:tcPr>
          <w:p w14:paraId="51BCD4F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38,2%</w:t>
            </w:r>
          </w:p>
        </w:tc>
      </w:tr>
      <w:tr w:rsidR="000B0E98" w14:paraId="1C2C3211"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7A05738"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1984" w:type="dxa"/>
            <w:vAlign w:val="bottom"/>
          </w:tcPr>
          <w:p w14:paraId="1D3EDF7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1.241 €</w:t>
            </w:r>
          </w:p>
        </w:tc>
        <w:tc>
          <w:tcPr>
            <w:tcW w:w="1559" w:type="dxa"/>
            <w:vAlign w:val="bottom"/>
          </w:tcPr>
          <w:p w14:paraId="101026E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56B0849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2,3%</w:t>
            </w:r>
          </w:p>
        </w:tc>
        <w:tc>
          <w:tcPr>
            <w:tcW w:w="1700" w:type="dxa"/>
            <w:vAlign w:val="bottom"/>
          </w:tcPr>
          <w:p w14:paraId="4CDB828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-44,0%</w:t>
            </w:r>
          </w:p>
        </w:tc>
      </w:tr>
      <w:tr w:rsidR="000B0E98" w14:paraId="6D5330A1"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6897DA8"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1984" w:type="dxa"/>
            <w:vAlign w:val="bottom"/>
          </w:tcPr>
          <w:p w14:paraId="43A67AC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1.220 €</w:t>
            </w:r>
          </w:p>
        </w:tc>
        <w:tc>
          <w:tcPr>
            <w:tcW w:w="1559" w:type="dxa"/>
            <w:vAlign w:val="bottom"/>
          </w:tcPr>
          <w:p w14:paraId="64C23CC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0AA36A0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2,1%</w:t>
            </w:r>
          </w:p>
        </w:tc>
        <w:tc>
          <w:tcPr>
            <w:tcW w:w="1700" w:type="dxa"/>
            <w:vAlign w:val="bottom"/>
          </w:tcPr>
          <w:p w14:paraId="3A26608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-44,9%</w:t>
            </w:r>
          </w:p>
        </w:tc>
      </w:tr>
      <w:tr w:rsidR="000B0E98" w14:paraId="48C89D33"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B7D72CC"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1984" w:type="dxa"/>
            <w:vAlign w:val="bottom"/>
          </w:tcPr>
          <w:p w14:paraId="06A9BB9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1.660 €</w:t>
            </w:r>
          </w:p>
        </w:tc>
        <w:tc>
          <w:tcPr>
            <w:tcW w:w="1559" w:type="dxa"/>
            <w:vAlign w:val="bottom"/>
          </w:tcPr>
          <w:p w14:paraId="388DCA7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701" w:type="dxa"/>
            <w:vAlign w:val="bottom"/>
          </w:tcPr>
          <w:p w14:paraId="329D5628"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w:t>
            </w:r>
          </w:p>
        </w:tc>
        <w:tc>
          <w:tcPr>
            <w:tcW w:w="1700" w:type="dxa"/>
            <w:vAlign w:val="bottom"/>
          </w:tcPr>
          <w:p w14:paraId="58FEF9F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-25,1%</w:t>
            </w:r>
          </w:p>
        </w:tc>
      </w:tr>
      <w:tr w:rsidR="000B0E98" w14:paraId="25123237"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3437BE7"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1984" w:type="dxa"/>
            <w:vAlign w:val="bottom"/>
          </w:tcPr>
          <w:p w14:paraId="5EF5269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1.046 €</w:t>
            </w:r>
          </w:p>
        </w:tc>
        <w:tc>
          <w:tcPr>
            <w:tcW w:w="1559" w:type="dxa"/>
            <w:vAlign w:val="bottom"/>
          </w:tcPr>
          <w:p w14:paraId="7DD6F26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01" w:type="dxa"/>
            <w:vAlign w:val="bottom"/>
          </w:tcPr>
          <w:p w14:paraId="3A1E616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w:t>
            </w:r>
          </w:p>
        </w:tc>
        <w:tc>
          <w:tcPr>
            <w:tcW w:w="1700" w:type="dxa"/>
            <w:vAlign w:val="bottom"/>
          </w:tcPr>
          <w:p w14:paraId="3A8BED0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-52,8%</w:t>
            </w:r>
          </w:p>
        </w:tc>
      </w:tr>
      <w:tr w:rsidR="000B0E98" w14:paraId="30D35152"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61D32AF"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Burgos</w:t>
            </w:r>
          </w:p>
        </w:tc>
        <w:tc>
          <w:tcPr>
            <w:tcW w:w="1984" w:type="dxa"/>
            <w:vAlign w:val="bottom"/>
          </w:tcPr>
          <w:p w14:paraId="692E411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1.511 €</w:t>
            </w:r>
          </w:p>
        </w:tc>
        <w:tc>
          <w:tcPr>
            <w:tcW w:w="1559" w:type="dxa"/>
            <w:vAlign w:val="bottom"/>
          </w:tcPr>
          <w:p w14:paraId="2E83B6D8"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701" w:type="dxa"/>
            <w:vAlign w:val="bottom"/>
          </w:tcPr>
          <w:p w14:paraId="0E0A4BB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0,8%</w:t>
            </w:r>
          </w:p>
        </w:tc>
        <w:tc>
          <w:tcPr>
            <w:tcW w:w="1700" w:type="dxa"/>
            <w:vAlign w:val="bottom"/>
          </w:tcPr>
          <w:p w14:paraId="3C08989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-31,8%</w:t>
            </w:r>
          </w:p>
        </w:tc>
      </w:tr>
      <w:tr w:rsidR="000B0E98" w14:paraId="10F08C82"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5E3768E"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1984" w:type="dxa"/>
            <w:vAlign w:val="bottom"/>
          </w:tcPr>
          <w:p w14:paraId="7247EF2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1.449 €</w:t>
            </w:r>
          </w:p>
        </w:tc>
        <w:tc>
          <w:tcPr>
            <w:tcW w:w="1559" w:type="dxa"/>
            <w:vAlign w:val="bottom"/>
          </w:tcPr>
          <w:p w14:paraId="4CAF065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01" w:type="dxa"/>
            <w:vAlign w:val="bottom"/>
          </w:tcPr>
          <w:p w14:paraId="7192D04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0,7%</w:t>
            </w:r>
          </w:p>
        </w:tc>
        <w:tc>
          <w:tcPr>
            <w:tcW w:w="1700" w:type="dxa"/>
            <w:vAlign w:val="bottom"/>
          </w:tcPr>
          <w:p w14:paraId="284C449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-34,6%</w:t>
            </w:r>
          </w:p>
        </w:tc>
      </w:tr>
      <w:tr w:rsidR="000B0E98" w14:paraId="087A4937"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74B126B"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1984" w:type="dxa"/>
            <w:vAlign w:val="bottom"/>
          </w:tcPr>
          <w:p w14:paraId="160E7FB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1.721 €</w:t>
            </w:r>
          </w:p>
        </w:tc>
        <w:tc>
          <w:tcPr>
            <w:tcW w:w="1559" w:type="dxa"/>
            <w:vAlign w:val="bottom"/>
          </w:tcPr>
          <w:p w14:paraId="4547730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611435D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0,3%</w:t>
            </w:r>
          </w:p>
        </w:tc>
        <w:tc>
          <w:tcPr>
            <w:tcW w:w="1700" w:type="dxa"/>
            <w:vAlign w:val="bottom"/>
          </w:tcPr>
          <w:p w14:paraId="5F63888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-22,3%</w:t>
            </w:r>
          </w:p>
        </w:tc>
      </w:tr>
      <w:tr w:rsidR="000B0E98" w14:paraId="36E32969"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6577B1A"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1984" w:type="dxa"/>
            <w:vAlign w:val="bottom"/>
          </w:tcPr>
          <w:p w14:paraId="751A702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2.631 €</w:t>
            </w:r>
          </w:p>
        </w:tc>
        <w:tc>
          <w:tcPr>
            <w:tcW w:w="1559" w:type="dxa"/>
            <w:vAlign w:val="bottom"/>
          </w:tcPr>
          <w:p w14:paraId="124D94F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4558608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w:t>
            </w:r>
          </w:p>
        </w:tc>
        <w:tc>
          <w:tcPr>
            <w:tcW w:w="1700" w:type="dxa"/>
            <w:vAlign w:val="bottom"/>
          </w:tcPr>
          <w:p w14:paraId="6A7C1FF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18,8%</w:t>
            </w:r>
          </w:p>
        </w:tc>
      </w:tr>
      <w:tr w:rsidR="000B0E98" w14:paraId="11E268BC"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3B88373"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1984" w:type="dxa"/>
            <w:vAlign w:val="bottom"/>
          </w:tcPr>
          <w:p w14:paraId="1897B89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1.154 €</w:t>
            </w:r>
          </w:p>
        </w:tc>
        <w:tc>
          <w:tcPr>
            <w:tcW w:w="1559" w:type="dxa"/>
            <w:vAlign w:val="bottom"/>
          </w:tcPr>
          <w:p w14:paraId="0F91E66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0,3%</w:t>
            </w:r>
          </w:p>
        </w:tc>
        <w:tc>
          <w:tcPr>
            <w:tcW w:w="1701" w:type="dxa"/>
            <w:vAlign w:val="bottom"/>
          </w:tcPr>
          <w:p w14:paraId="6B3FE96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-0,3%</w:t>
            </w:r>
          </w:p>
        </w:tc>
        <w:tc>
          <w:tcPr>
            <w:tcW w:w="1700" w:type="dxa"/>
            <w:vAlign w:val="bottom"/>
          </w:tcPr>
          <w:p w14:paraId="0DEB2B2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-47,9%</w:t>
            </w:r>
          </w:p>
        </w:tc>
      </w:tr>
      <w:tr w:rsidR="000B0E98" w14:paraId="5B9AB29F"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5D89C4F"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1984" w:type="dxa"/>
            <w:vAlign w:val="bottom"/>
          </w:tcPr>
          <w:p w14:paraId="51F15C6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1.267 €</w:t>
            </w:r>
          </w:p>
        </w:tc>
        <w:tc>
          <w:tcPr>
            <w:tcW w:w="1559" w:type="dxa"/>
            <w:vAlign w:val="bottom"/>
          </w:tcPr>
          <w:p w14:paraId="33722C1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1701" w:type="dxa"/>
            <w:vAlign w:val="bottom"/>
          </w:tcPr>
          <w:p w14:paraId="3E114372"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-0,5%</w:t>
            </w:r>
          </w:p>
        </w:tc>
        <w:tc>
          <w:tcPr>
            <w:tcW w:w="1700" w:type="dxa"/>
            <w:vAlign w:val="bottom"/>
          </w:tcPr>
          <w:p w14:paraId="375539E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-42,8%</w:t>
            </w:r>
          </w:p>
        </w:tc>
      </w:tr>
      <w:tr w:rsidR="000B0E98" w14:paraId="5D028B6D"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8C372F3"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1984" w:type="dxa"/>
            <w:vAlign w:val="bottom"/>
          </w:tcPr>
          <w:p w14:paraId="5D1DB16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979 €</w:t>
            </w:r>
          </w:p>
        </w:tc>
        <w:tc>
          <w:tcPr>
            <w:tcW w:w="1559" w:type="dxa"/>
            <w:vAlign w:val="bottom"/>
          </w:tcPr>
          <w:p w14:paraId="572C00E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4E2A9B9E"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-1,1%</w:t>
            </w:r>
          </w:p>
        </w:tc>
        <w:tc>
          <w:tcPr>
            <w:tcW w:w="1700" w:type="dxa"/>
            <w:vAlign w:val="bottom"/>
          </w:tcPr>
          <w:p w14:paraId="53A0DB1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-55,8%</w:t>
            </w:r>
          </w:p>
        </w:tc>
      </w:tr>
      <w:tr w:rsidR="000B0E98" w14:paraId="4AB97B69" w14:textId="77777777" w:rsidTr="000B0E9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5ABAEA9"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1984" w:type="dxa"/>
            <w:vAlign w:val="bottom"/>
          </w:tcPr>
          <w:p w14:paraId="66586FF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1.013 €</w:t>
            </w:r>
          </w:p>
        </w:tc>
        <w:tc>
          <w:tcPr>
            <w:tcW w:w="1559" w:type="dxa"/>
            <w:vAlign w:val="bottom"/>
          </w:tcPr>
          <w:p w14:paraId="69CC707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0,7%</w:t>
            </w:r>
          </w:p>
        </w:tc>
        <w:tc>
          <w:tcPr>
            <w:tcW w:w="1701" w:type="dxa"/>
            <w:vAlign w:val="bottom"/>
          </w:tcPr>
          <w:p w14:paraId="6304146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-1,7%</w:t>
            </w:r>
          </w:p>
        </w:tc>
        <w:tc>
          <w:tcPr>
            <w:tcW w:w="1700" w:type="dxa"/>
            <w:vAlign w:val="bottom"/>
          </w:tcPr>
          <w:p w14:paraId="2E8F4E3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-54,3%</w:t>
            </w:r>
          </w:p>
        </w:tc>
      </w:tr>
      <w:tr w:rsidR="000B0E98" w14:paraId="14CF0D7E" w14:textId="77777777" w:rsidTr="000B0E9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8C051A5"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1984" w:type="dxa"/>
            <w:vAlign w:val="bottom"/>
          </w:tcPr>
          <w:p w14:paraId="1509135E"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1.177 €</w:t>
            </w:r>
          </w:p>
        </w:tc>
        <w:tc>
          <w:tcPr>
            <w:tcW w:w="1559" w:type="dxa"/>
            <w:vAlign w:val="bottom"/>
          </w:tcPr>
          <w:p w14:paraId="1838AA4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1701" w:type="dxa"/>
            <w:vAlign w:val="bottom"/>
          </w:tcPr>
          <w:p w14:paraId="50E866C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-3,6%</w:t>
            </w:r>
          </w:p>
        </w:tc>
        <w:tc>
          <w:tcPr>
            <w:tcW w:w="1700" w:type="dxa"/>
            <w:vAlign w:val="bottom"/>
          </w:tcPr>
          <w:p w14:paraId="7EBC31C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-46,9%</w:t>
            </w:r>
          </w:p>
        </w:tc>
      </w:tr>
    </w:tbl>
    <w:p w14:paraId="66455F08" w14:textId="77777777" w:rsidR="000B0E98"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provincias</w:t>
      </w:r>
    </w:p>
    <w:p w14:paraId="0E5BA1F5" w14:textId="77777777" w:rsidR="000B0E98"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sidRPr="00C82D4B">
        <w:rPr>
          <w:rFonts w:ascii="Open Sans" w:eastAsia="Open Sans" w:hAnsi="Open Sans" w:cs="Open Sans"/>
          <w:b/>
          <w:bCs/>
          <w:color w:val="000000"/>
        </w:rPr>
        <w:t>En 46 de las 50 capitales de provincia (en el 92%) con variación interanual sube el precio en enero respecto al año anterior. Catorce de las capitales tienen un incremento superior al 10%</w:t>
      </w:r>
      <w:r>
        <w:rPr>
          <w:rFonts w:ascii="Open Sans" w:eastAsia="Open Sans" w:hAnsi="Open Sans" w:cs="Open Sans"/>
          <w:color w:val="000000"/>
        </w:rPr>
        <w:t xml:space="preserve"> y son: Teruel capital (21,8%), Santa Cruz de Tenerife capital (19,0%), Málaga capital (17,6%), Madrid capital (16,6%), Valencia capital (15,7%), Alicante / Alacant (15,1%), Huelva capital (15,0%), Huesca capital (14,3%), Soria capital (13,6%), Palma de Mallorca (13,5%), Las Palmas de Gran Canaria (13,5%), Santander (12,4%), Murcia capital (11,8%) y Lleida capital (10,2%). Por otro lado, los descensos se localizan en las capitales de Vitoria - Gasteiz (-0,4%), Zamora capital (-1,9%), Lugo capital (-2,5%) y Badajoz capital (-2,6%).</w:t>
      </w:r>
    </w:p>
    <w:p w14:paraId="6C60E4A1" w14:textId="77777777" w:rsidR="000B0E98"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Respecto a los precios, la capital de provincia más cara es Donostia - San Sebastián con 6.058 euros/m</w:t>
      </w:r>
      <w:r>
        <w:rPr>
          <w:rFonts w:ascii="Open Sans" w:eastAsia="Open Sans" w:hAnsi="Open Sans" w:cs="Open Sans"/>
          <w:color w:val="000000"/>
          <w:vertAlign w:val="superscript"/>
        </w:rPr>
        <w:t>2</w:t>
      </w:r>
      <w:r>
        <w:rPr>
          <w:rFonts w:ascii="Open Sans" w:eastAsia="Open Sans" w:hAnsi="Open Sans" w:cs="Open Sans"/>
          <w:color w:val="000000"/>
        </w:rPr>
        <w:t>, seguida de Madrid capital (4.955 euros/m</w:t>
      </w:r>
      <w:r>
        <w:rPr>
          <w:rFonts w:ascii="Open Sans" w:eastAsia="Open Sans" w:hAnsi="Open Sans" w:cs="Open Sans"/>
          <w:color w:val="000000"/>
          <w:vertAlign w:val="superscript"/>
        </w:rPr>
        <w:t>2</w:t>
      </w:r>
      <w:r>
        <w:rPr>
          <w:rFonts w:ascii="Open Sans" w:eastAsia="Open Sans" w:hAnsi="Open Sans" w:cs="Open Sans"/>
          <w:color w:val="000000"/>
        </w:rPr>
        <w:t>), Barcelona capital (4.502 euros/m</w:t>
      </w:r>
      <w:r>
        <w:rPr>
          <w:rFonts w:ascii="Open Sans" w:eastAsia="Open Sans" w:hAnsi="Open Sans" w:cs="Open Sans"/>
          <w:color w:val="000000"/>
          <w:vertAlign w:val="superscript"/>
        </w:rPr>
        <w:t>2</w:t>
      </w:r>
      <w:r>
        <w:rPr>
          <w:rFonts w:ascii="Open Sans" w:eastAsia="Open Sans" w:hAnsi="Open Sans" w:cs="Open Sans"/>
          <w:color w:val="000000"/>
        </w:rPr>
        <w:t>), Palma de Mallorca (4.099 euros/m</w:t>
      </w:r>
      <w:r>
        <w:rPr>
          <w:rFonts w:ascii="Open Sans" w:eastAsia="Open Sans" w:hAnsi="Open Sans" w:cs="Open Sans"/>
          <w:color w:val="000000"/>
          <w:vertAlign w:val="superscript"/>
        </w:rPr>
        <w:t>2</w:t>
      </w:r>
      <w:r>
        <w:rPr>
          <w:rFonts w:ascii="Open Sans" w:eastAsia="Open Sans" w:hAnsi="Open Sans" w:cs="Open Sans"/>
          <w:color w:val="000000"/>
        </w:rPr>
        <w:t>), Bilbao (3.596 euros/m</w:t>
      </w:r>
      <w:r>
        <w:rPr>
          <w:rFonts w:ascii="Open Sans" w:eastAsia="Open Sans" w:hAnsi="Open Sans" w:cs="Open Sans"/>
          <w:color w:val="000000"/>
          <w:vertAlign w:val="superscript"/>
        </w:rPr>
        <w:t>2</w:t>
      </w:r>
      <w:r>
        <w:rPr>
          <w:rFonts w:ascii="Open Sans" w:eastAsia="Open Sans" w:hAnsi="Open Sans" w:cs="Open Sans"/>
          <w:color w:val="000000"/>
        </w:rPr>
        <w:t>), Málaga capital (3.384 euros/m</w:t>
      </w:r>
      <w:r>
        <w:rPr>
          <w:rFonts w:ascii="Open Sans" w:eastAsia="Open Sans" w:hAnsi="Open Sans" w:cs="Open Sans"/>
          <w:color w:val="000000"/>
          <w:vertAlign w:val="superscript"/>
        </w:rPr>
        <w:t>2</w:t>
      </w:r>
      <w:r>
        <w:rPr>
          <w:rFonts w:ascii="Open Sans" w:eastAsia="Open Sans" w:hAnsi="Open Sans" w:cs="Open Sans"/>
          <w:color w:val="000000"/>
        </w:rPr>
        <w:t>) y Pamplona / Iruña (3.028 euros/m</w:t>
      </w:r>
      <w:r>
        <w:rPr>
          <w:rFonts w:ascii="Open Sans" w:eastAsia="Open Sans" w:hAnsi="Open Sans" w:cs="Open Sans"/>
          <w:color w:val="000000"/>
          <w:vertAlign w:val="superscript"/>
        </w:rPr>
        <w:t>2</w:t>
      </w:r>
      <w:r>
        <w:rPr>
          <w:rFonts w:ascii="Open Sans" w:eastAsia="Open Sans" w:hAnsi="Open Sans" w:cs="Open Sans"/>
          <w:color w:val="000000"/>
        </w:rPr>
        <w:t>). Por otro lado, la capital de provincia más económica es Zamora capital con 1.269 euros el metro cuadrado.</w:t>
      </w:r>
    </w:p>
    <w:tbl>
      <w:tblPr>
        <w:tblStyle w:val="6"/>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85"/>
        <w:gridCol w:w="2126"/>
        <w:gridCol w:w="1701"/>
        <w:gridCol w:w="1559"/>
        <w:gridCol w:w="1692"/>
      </w:tblGrid>
      <w:tr w:rsidR="000B0E98" w14:paraId="717E746A" w14:textId="77777777" w:rsidTr="00C82D4B">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C2FF045"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126" w:type="dxa"/>
            <w:vAlign w:val="center"/>
          </w:tcPr>
          <w:p w14:paraId="3621639B" w14:textId="77777777" w:rsidR="000B0E9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01" w:type="dxa"/>
            <w:vAlign w:val="center"/>
          </w:tcPr>
          <w:p w14:paraId="39F6F14C"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2024</w:t>
            </w:r>
          </w:p>
          <w:p w14:paraId="5193CF18"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2E7CA76F"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692" w:type="dxa"/>
            <w:vAlign w:val="center"/>
          </w:tcPr>
          <w:p w14:paraId="7F300D62"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B0E98" w14:paraId="2E56597D"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1B45049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126" w:type="dxa"/>
            <w:vAlign w:val="bottom"/>
          </w:tcPr>
          <w:p w14:paraId="41CEC97C"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Teruel capital</w:t>
            </w:r>
          </w:p>
        </w:tc>
        <w:tc>
          <w:tcPr>
            <w:tcW w:w="1701" w:type="dxa"/>
            <w:vAlign w:val="bottom"/>
          </w:tcPr>
          <w:p w14:paraId="35147AB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1.577 €</w:t>
            </w:r>
          </w:p>
        </w:tc>
        <w:tc>
          <w:tcPr>
            <w:tcW w:w="1559" w:type="dxa"/>
            <w:vAlign w:val="bottom"/>
          </w:tcPr>
          <w:p w14:paraId="6DB4315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1692" w:type="dxa"/>
            <w:vAlign w:val="bottom"/>
          </w:tcPr>
          <w:p w14:paraId="34D6C52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21,8%</w:t>
            </w:r>
          </w:p>
        </w:tc>
      </w:tr>
      <w:tr w:rsidR="000B0E98" w14:paraId="6D0C61ED"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41B3CE9A"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26" w:type="dxa"/>
            <w:vAlign w:val="bottom"/>
          </w:tcPr>
          <w:p w14:paraId="2A09BAA5"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Cruz de Tenerife capital</w:t>
            </w:r>
          </w:p>
        </w:tc>
        <w:tc>
          <w:tcPr>
            <w:tcW w:w="1701" w:type="dxa"/>
            <w:vAlign w:val="bottom"/>
          </w:tcPr>
          <w:p w14:paraId="524A1778"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2.238 €</w:t>
            </w:r>
          </w:p>
        </w:tc>
        <w:tc>
          <w:tcPr>
            <w:tcW w:w="1559" w:type="dxa"/>
            <w:vAlign w:val="bottom"/>
          </w:tcPr>
          <w:p w14:paraId="7F73340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692" w:type="dxa"/>
            <w:vAlign w:val="bottom"/>
          </w:tcPr>
          <w:p w14:paraId="019FDDC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19,0%</w:t>
            </w:r>
          </w:p>
        </w:tc>
      </w:tr>
      <w:tr w:rsidR="000B0E98" w14:paraId="124707AB"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0F15AF3F"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4DF0C35A"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Málaga capital</w:t>
            </w:r>
          </w:p>
        </w:tc>
        <w:tc>
          <w:tcPr>
            <w:tcW w:w="1701" w:type="dxa"/>
            <w:vAlign w:val="bottom"/>
          </w:tcPr>
          <w:p w14:paraId="288327C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3.384 €</w:t>
            </w:r>
          </w:p>
        </w:tc>
        <w:tc>
          <w:tcPr>
            <w:tcW w:w="1559" w:type="dxa"/>
            <w:vAlign w:val="bottom"/>
          </w:tcPr>
          <w:p w14:paraId="4A995C6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692" w:type="dxa"/>
            <w:vAlign w:val="bottom"/>
          </w:tcPr>
          <w:p w14:paraId="787A98D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17,6%</w:t>
            </w:r>
          </w:p>
        </w:tc>
      </w:tr>
      <w:tr w:rsidR="000B0E98" w14:paraId="7521AADE"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49FDD335"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299C78EA"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701" w:type="dxa"/>
            <w:vAlign w:val="bottom"/>
          </w:tcPr>
          <w:p w14:paraId="72D7689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4.955 €</w:t>
            </w:r>
          </w:p>
        </w:tc>
        <w:tc>
          <w:tcPr>
            <w:tcW w:w="1559" w:type="dxa"/>
            <w:vAlign w:val="bottom"/>
          </w:tcPr>
          <w:p w14:paraId="4CD57DC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1692" w:type="dxa"/>
            <w:vAlign w:val="bottom"/>
          </w:tcPr>
          <w:p w14:paraId="3546B88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16,6%</w:t>
            </w:r>
          </w:p>
        </w:tc>
      </w:tr>
      <w:tr w:rsidR="000B0E98" w14:paraId="4A3C599C"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27A4FDB6"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7FA5FAB7"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Valencia capital</w:t>
            </w:r>
          </w:p>
        </w:tc>
        <w:tc>
          <w:tcPr>
            <w:tcW w:w="1701" w:type="dxa"/>
            <w:vAlign w:val="bottom"/>
          </w:tcPr>
          <w:p w14:paraId="1D90494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2.636 €</w:t>
            </w:r>
          </w:p>
        </w:tc>
        <w:tc>
          <w:tcPr>
            <w:tcW w:w="1559" w:type="dxa"/>
            <w:vAlign w:val="bottom"/>
          </w:tcPr>
          <w:p w14:paraId="4356DF0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692" w:type="dxa"/>
            <w:vAlign w:val="bottom"/>
          </w:tcPr>
          <w:p w14:paraId="76B649D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15,7%</w:t>
            </w:r>
          </w:p>
        </w:tc>
      </w:tr>
      <w:tr w:rsidR="000B0E98" w14:paraId="770579CD"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084683A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14363AB3"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Alicante / Alacant</w:t>
            </w:r>
          </w:p>
        </w:tc>
        <w:tc>
          <w:tcPr>
            <w:tcW w:w="1701" w:type="dxa"/>
            <w:vAlign w:val="bottom"/>
          </w:tcPr>
          <w:p w14:paraId="7F76970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2.261 €</w:t>
            </w:r>
          </w:p>
        </w:tc>
        <w:tc>
          <w:tcPr>
            <w:tcW w:w="1559" w:type="dxa"/>
            <w:vAlign w:val="bottom"/>
          </w:tcPr>
          <w:p w14:paraId="038BE12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692" w:type="dxa"/>
            <w:vAlign w:val="bottom"/>
          </w:tcPr>
          <w:p w14:paraId="2848417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15,1%</w:t>
            </w:r>
          </w:p>
        </w:tc>
      </w:tr>
      <w:tr w:rsidR="000B0E98" w14:paraId="4C757B51"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281EB76B"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126" w:type="dxa"/>
            <w:vAlign w:val="bottom"/>
          </w:tcPr>
          <w:p w14:paraId="3D6F46C8"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Huelva capital</w:t>
            </w:r>
          </w:p>
        </w:tc>
        <w:tc>
          <w:tcPr>
            <w:tcW w:w="1701" w:type="dxa"/>
            <w:vAlign w:val="bottom"/>
          </w:tcPr>
          <w:p w14:paraId="70FB485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1.458 €</w:t>
            </w:r>
          </w:p>
        </w:tc>
        <w:tc>
          <w:tcPr>
            <w:tcW w:w="1559" w:type="dxa"/>
            <w:vAlign w:val="bottom"/>
          </w:tcPr>
          <w:p w14:paraId="7313EC3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1692" w:type="dxa"/>
            <w:vAlign w:val="bottom"/>
          </w:tcPr>
          <w:p w14:paraId="5E5A622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15,0%</w:t>
            </w:r>
          </w:p>
        </w:tc>
      </w:tr>
      <w:tr w:rsidR="000B0E98" w14:paraId="6E1885AE"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5208AEE3"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126" w:type="dxa"/>
            <w:vAlign w:val="bottom"/>
          </w:tcPr>
          <w:p w14:paraId="322A19DA"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Huesca capital</w:t>
            </w:r>
          </w:p>
        </w:tc>
        <w:tc>
          <w:tcPr>
            <w:tcW w:w="1701" w:type="dxa"/>
            <w:vAlign w:val="bottom"/>
          </w:tcPr>
          <w:p w14:paraId="142E7C7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1.681 €</w:t>
            </w:r>
          </w:p>
        </w:tc>
        <w:tc>
          <w:tcPr>
            <w:tcW w:w="1559" w:type="dxa"/>
            <w:vAlign w:val="bottom"/>
          </w:tcPr>
          <w:p w14:paraId="5668B00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692" w:type="dxa"/>
            <w:vAlign w:val="bottom"/>
          </w:tcPr>
          <w:p w14:paraId="0935C02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14,3%</w:t>
            </w:r>
          </w:p>
        </w:tc>
      </w:tr>
      <w:tr w:rsidR="000B0E98" w14:paraId="06536349"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3DCD604B"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126" w:type="dxa"/>
            <w:vAlign w:val="bottom"/>
          </w:tcPr>
          <w:p w14:paraId="0AF3EF4C"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Soria capital</w:t>
            </w:r>
          </w:p>
        </w:tc>
        <w:tc>
          <w:tcPr>
            <w:tcW w:w="1701" w:type="dxa"/>
            <w:vAlign w:val="bottom"/>
          </w:tcPr>
          <w:p w14:paraId="4B2FE61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1.713 €</w:t>
            </w:r>
          </w:p>
        </w:tc>
        <w:tc>
          <w:tcPr>
            <w:tcW w:w="1559" w:type="dxa"/>
            <w:vAlign w:val="bottom"/>
          </w:tcPr>
          <w:p w14:paraId="079BC68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692" w:type="dxa"/>
            <w:vAlign w:val="bottom"/>
          </w:tcPr>
          <w:p w14:paraId="7E1BA9F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13,6%</w:t>
            </w:r>
          </w:p>
        </w:tc>
      </w:tr>
      <w:tr w:rsidR="000B0E98" w14:paraId="38D79F21"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4814AE2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Illes Balears</w:t>
            </w:r>
          </w:p>
        </w:tc>
        <w:tc>
          <w:tcPr>
            <w:tcW w:w="2126" w:type="dxa"/>
            <w:vAlign w:val="bottom"/>
          </w:tcPr>
          <w:p w14:paraId="5C6AD933"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Palma de Mallorca</w:t>
            </w:r>
          </w:p>
        </w:tc>
        <w:tc>
          <w:tcPr>
            <w:tcW w:w="1701" w:type="dxa"/>
            <w:vAlign w:val="bottom"/>
          </w:tcPr>
          <w:p w14:paraId="0A1B661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4.099 €</w:t>
            </w:r>
          </w:p>
        </w:tc>
        <w:tc>
          <w:tcPr>
            <w:tcW w:w="1559" w:type="dxa"/>
            <w:vAlign w:val="bottom"/>
          </w:tcPr>
          <w:p w14:paraId="5828AE7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692" w:type="dxa"/>
            <w:vAlign w:val="bottom"/>
          </w:tcPr>
          <w:p w14:paraId="2BBAD05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13,5%</w:t>
            </w:r>
          </w:p>
        </w:tc>
      </w:tr>
      <w:tr w:rsidR="000B0E98" w14:paraId="6525886D"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430082B0"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126" w:type="dxa"/>
            <w:vAlign w:val="bottom"/>
          </w:tcPr>
          <w:p w14:paraId="05A281A4"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Palmas de Gran Canaria</w:t>
            </w:r>
          </w:p>
        </w:tc>
        <w:tc>
          <w:tcPr>
            <w:tcW w:w="1701" w:type="dxa"/>
            <w:vAlign w:val="bottom"/>
          </w:tcPr>
          <w:p w14:paraId="4654330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2.533 €</w:t>
            </w:r>
          </w:p>
        </w:tc>
        <w:tc>
          <w:tcPr>
            <w:tcW w:w="1559" w:type="dxa"/>
            <w:vAlign w:val="bottom"/>
          </w:tcPr>
          <w:p w14:paraId="2736E4E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1692" w:type="dxa"/>
            <w:vAlign w:val="bottom"/>
          </w:tcPr>
          <w:p w14:paraId="7FF7EBF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13,5%</w:t>
            </w:r>
          </w:p>
        </w:tc>
      </w:tr>
      <w:tr w:rsidR="000B0E98" w14:paraId="3A0C5ED1"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BEFA1E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6323E340"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Santander</w:t>
            </w:r>
          </w:p>
        </w:tc>
        <w:tc>
          <w:tcPr>
            <w:tcW w:w="1701" w:type="dxa"/>
            <w:vAlign w:val="bottom"/>
          </w:tcPr>
          <w:p w14:paraId="72D20CA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2.538 €</w:t>
            </w:r>
          </w:p>
        </w:tc>
        <w:tc>
          <w:tcPr>
            <w:tcW w:w="1559" w:type="dxa"/>
            <w:vAlign w:val="bottom"/>
          </w:tcPr>
          <w:p w14:paraId="7F3C4CE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692" w:type="dxa"/>
            <w:vAlign w:val="bottom"/>
          </w:tcPr>
          <w:p w14:paraId="475F9CB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12,4%</w:t>
            </w:r>
          </w:p>
        </w:tc>
      </w:tr>
      <w:tr w:rsidR="000B0E98" w14:paraId="75D9320E"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079E4A33"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5E914AEF"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Murcia capital</w:t>
            </w:r>
          </w:p>
        </w:tc>
        <w:tc>
          <w:tcPr>
            <w:tcW w:w="1701" w:type="dxa"/>
            <w:vAlign w:val="bottom"/>
          </w:tcPr>
          <w:p w14:paraId="06F4ACD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1.587 €</w:t>
            </w:r>
          </w:p>
        </w:tc>
        <w:tc>
          <w:tcPr>
            <w:tcW w:w="1559" w:type="dxa"/>
            <w:vAlign w:val="bottom"/>
          </w:tcPr>
          <w:p w14:paraId="73964FF2"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1692" w:type="dxa"/>
            <w:vAlign w:val="bottom"/>
          </w:tcPr>
          <w:p w14:paraId="6885F37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11,8%</w:t>
            </w:r>
          </w:p>
        </w:tc>
      </w:tr>
      <w:tr w:rsidR="000B0E98" w14:paraId="469ACAAE"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28623487"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126" w:type="dxa"/>
            <w:vAlign w:val="bottom"/>
          </w:tcPr>
          <w:p w14:paraId="5A85F92E"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701" w:type="dxa"/>
            <w:vAlign w:val="bottom"/>
          </w:tcPr>
          <w:p w14:paraId="60B5474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1.394 €</w:t>
            </w:r>
          </w:p>
        </w:tc>
        <w:tc>
          <w:tcPr>
            <w:tcW w:w="1559" w:type="dxa"/>
            <w:vAlign w:val="bottom"/>
          </w:tcPr>
          <w:p w14:paraId="257B77E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692" w:type="dxa"/>
            <w:vAlign w:val="bottom"/>
          </w:tcPr>
          <w:p w14:paraId="0CB2E8D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10,2%</w:t>
            </w:r>
          </w:p>
        </w:tc>
      </w:tr>
      <w:tr w:rsidR="000B0E98" w14:paraId="19D5296E"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3B5E61DC"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126" w:type="dxa"/>
            <w:vAlign w:val="bottom"/>
          </w:tcPr>
          <w:p w14:paraId="2EDCF6EF"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701" w:type="dxa"/>
            <w:vAlign w:val="bottom"/>
          </w:tcPr>
          <w:p w14:paraId="6DFA09A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2.094 €</w:t>
            </w:r>
          </w:p>
        </w:tc>
        <w:tc>
          <w:tcPr>
            <w:tcW w:w="1559" w:type="dxa"/>
            <w:vAlign w:val="bottom"/>
          </w:tcPr>
          <w:p w14:paraId="2C5091C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692" w:type="dxa"/>
            <w:vAlign w:val="bottom"/>
          </w:tcPr>
          <w:p w14:paraId="29F43D0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9,5%</w:t>
            </w:r>
          </w:p>
        </w:tc>
      </w:tr>
      <w:tr w:rsidR="000B0E98" w14:paraId="2C608ECA"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21A3212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0A3C8861"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Granada capital</w:t>
            </w:r>
          </w:p>
        </w:tc>
        <w:tc>
          <w:tcPr>
            <w:tcW w:w="1701" w:type="dxa"/>
            <w:vAlign w:val="bottom"/>
          </w:tcPr>
          <w:p w14:paraId="4F489A3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2.318 €</w:t>
            </w:r>
          </w:p>
        </w:tc>
        <w:tc>
          <w:tcPr>
            <w:tcW w:w="1559" w:type="dxa"/>
            <w:vAlign w:val="bottom"/>
          </w:tcPr>
          <w:p w14:paraId="2F51644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692" w:type="dxa"/>
            <w:vAlign w:val="bottom"/>
          </w:tcPr>
          <w:p w14:paraId="608012D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9,5%</w:t>
            </w:r>
          </w:p>
        </w:tc>
      </w:tr>
      <w:tr w:rsidR="000B0E98" w14:paraId="3493015E"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0F52A172"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126" w:type="dxa"/>
            <w:vAlign w:val="bottom"/>
          </w:tcPr>
          <w:p w14:paraId="70083F85"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Albacete capital</w:t>
            </w:r>
          </w:p>
        </w:tc>
        <w:tc>
          <w:tcPr>
            <w:tcW w:w="1701" w:type="dxa"/>
            <w:vAlign w:val="bottom"/>
          </w:tcPr>
          <w:p w14:paraId="0779B87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1.640 €</w:t>
            </w:r>
          </w:p>
        </w:tc>
        <w:tc>
          <w:tcPr>
            <w:tcW w:w="1559" w:type="dxa"/>
            <w:vAlign w:val="bottom"/>
          </w:tcPr>
          <w:p w14:paraId="63A79842"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692" w:type="dxa"/>
            <w:vAlign w:val="bottom"/>
          </w:tcPr>
          <w:p w14:paraId="2F88F7B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8,8%</w:t>
            </w:r>
          </w:p>
        </w:tc>
      </w:tr>
      <w:tr w:rsidR="000B0E98" w14:paraId="3A0FB9A1"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06A8323E"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7D9C25BF"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Pontevedra capital</w:t>
            </w:r>
          </w:p>
        </w:tc>
        <w:tc>
          <w:tcPr>
            <w:tcW w:w="1701" w:type="dxa"/>
            <w:vAlign w:val="bottom"/>
          </w:tcPr>
          <w:p w14:paraId="6A611D8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2.094 €</w:t>
            </w:r>
          </w:p>
        </w:tc>
        <w:tc>
          <w:tcPr>
            <w:tcW w:w="1559" w:type="dxa"/>
            <w:vAlign w:val="bottom"/>
          </w:tcPr>
          <w:p w14:paraId="2AB78C28"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1692" w:type="dxa"/>
            <w:vAlign w:val="bottom"/>
          </w:tcPr>
          <w:p w14:paraId="5E889D8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8,5%</w:t>
            </w:r>
          </w:p>
        </w:tc>
      </w:tr>
      <w:tr w:rsidR="000B0E98" w14:paraId="43A344A7"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085125D1"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126" w:type="dxa"/>
            <w:vAlign w:val="bottom"/>
          </w:tcPr>
          <w:p w14:paraId="2C246B9D"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Girona capital</w:t>
            </w:r>
          </w:p>
        </w:tc>
        <w:tc>
          <w:tcPr>
            <w:tcW w:w="1701" w:type="dxa"/>
            <w:vAlign w:val="bottom"/>
          </w:tcPr>
          <w:p w14:paraId="0C4131B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2.667 €</w:t>
            </w:r>
          </w:p>
        </w:tc>
        <w:tc>
          <w:tcPr>
            <w:tcW w:w="1559" w:type="dxa"/>
            <w:vAlign w:val="bottom"/>
          </w:tcPr>
          <w:p w14:paraId="3C1CFE7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92" w:type="dxa"/>
            <w:vAlign w:val="bottom"/>
          </w:tcPr>
          <w:p w14:paraId="3F5BE66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8,0%</w:t>
            </w:r>
          </w:p>
        </w:tc>
      </w:tr>
      <w:tr w:rsidR="000B0E98" w14:paraId="75418F32"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98D93D5"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126" w:type="dxa"/>
            <w:vAlign w:val="bottom"/>
          </w:tcPr>
          <w:p w14:paraId="776D320F"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Segovia capital</w:t>
            </w:r>
          </w:p>
        </w:tc>
        <w:tc>
          <w:tcPr>
            <w:tcW w:w="1701" w:type="dxa"/>
            <w:vAlign w:val="bottom"/>
          </w:tcPr>
          <w:p w14:paraId="332667EE"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1.898 €</w:t>
            </w:r>
          </w:p>
        </w:tc>
        <w:tc>
          <w:tcPr>
            <w:tcW w:w="1559" w:type="dxa"/>
            <w:vAlign w:val="bottom"/>
          </w:tcPr>
          <w:p w14:paraId="636DE05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692" w:type="dxa"/>
            <w:vAlign w:val="bottom"/>
          </w:tcPr>
          <w:p w14:paraId="0943488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7,9%</w:t>
            </w:r>
          </w:p>
        </w:tc>
      </w:tr>
      <w:tr w:rsidR="000B0E98" w14:paraId="3795047D"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F1F678C"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126" w:type="dxa"/>
            <w:vAlign w:val="bottom"/>
          </w:tcPr>
          <w:p w14:paraId="22D465C4"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Pamplona / Iruña</w:t>
            </w:r>
          </w:p>
        </w:tc>
        <w:tc>
          <w:tcPr>
            <w:tcW w:w="1701" w:type="dxa"/>
            <w:vAlign w:val="bottom"/>
          </w:tcPr>
          <w:p w14:paraId="4950C61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3.028 €</w:t>
            </w:r>
          </w:p>
        </w:tc>
        <w:tc>
          <w:tcPr>
            <w:tcW w:w="1559" w:type="dxa"/>
            <w:vAlign w:val="bottom"/>
          </w:tcPr>
          <w:p w14:paraId="3ACBB7B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692" w:type="dxa"/>
            <w:vAlign w:val="bottom"/>
          </w:tcPr>
          <w:p w14:paraId="3454E2F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7,7%</w:t>
            </w:r>
          </w:p>
        </w:tc>
      </w:tr>
      <w:tr w:rsidR="000B0E98" w14:paraId="59C96041"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AD9FD8F"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26" w:type="dxa"/>
            <w:vAlign w:val="bottom"/>
          </w:tcPr>
          <w:p w14:paraId="47E14219"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Castellón de la Plana / Castelló de la Plana</w:t>
            </w:r>
          </w:p>
        </w:tc>
        <w:tc>
          <w:tcPr>
            <w:tcW w:w="1701" w:type="dxa"/>
            <w:vAlign w:val="bottom"/>
          </w:tcPr>
          <w:p w14:paraId="27B1895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1.409 €</w:t>
            </w:r>
          </w:p>
        </w:tc>
        <w:tc>
          <w:tcPr>
            <w:tcW w:w="1559" w:type="dxa"/>
            <w:vAlign w:val="bottom"/>
          </w:tcPr>
          <w:p w14:paraId="60EE49F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692" w:type="dxa"/>
            <w:vAlign w:val="bottom"/>
          </w:tcPr>
          <w:p w14:paraId="3098322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7,6%</w:t>
            </w:r>
          </w:p>
        </w:tc>
      </w:tr>
      <w:tr w:rsidR="000B0E98" w14:paraId="1E4CF50F"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1D7E8624"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126" w:type="dxa"/>
            <w:vAlign w:val="bottom"/>
          </w:tcPr>
          <w:p w14:paraId="19ECD578"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Logroño</w:t>
            </w:r>
          </w:p>
        </w:tc>
        <w:tc>
          <w:tcPr>
            <w:tcW w:w="1701" w:type="dxa"/>
            <w:vAlign w:val="bottom"/>
          </w:tcPr>
          <w:p w14:paraId="2DC60D8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1.991 €</w:t>
            </w:r>
          </w:p>
        </w:tc>
        <w:tc>
          <w:tcPr>
            <w:tcW w:w="1559" w:type="dxa"/>
            <w:vAlign w:val="bottom"/>
          </w:tcPr>
          <w:p w14:paraId="2201989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692" w:type="dxa"/>
            <w:vAlign w:val="bottom"/>
          </w:tcPr>
          <w:p w14:paraId="324864B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7,5%</w:t>
            </w:r>
          </w:p>
        </w:tc>
      </w:tr>
      <w:tr w:rsidR="000B0E98" w14:paraId="1E73B54E"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096210DA"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126" w:type="dxa"/>
            <w:vAlign w:val="bottom"/>
          </w:tcPr>
          <w:p w14:paraId="122D2ADA"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701" w:type="dxa"/>
            <w:vAlign w:val="bottom"/>
          </w:tcPr>
          <w:p w14:paraId="69D1B4C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6.058 €</w:t>
            </w:r>
          </w:p>
        </w:tc>
        <w:tc>
          <w:tcPr>
            <w:tcW w:w="1559" w:type="dxa"/>
            <w:vAlign w:val="bottom"/>
          </w:tcPr>
          <w:p w14:paraId="2D10158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692" w:type="dxa"/>
            <w:vAlign w:val="bottom"/>
          </w:tcPr>
          <w:p w14:paraId="5D158A9E"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7,4%</w:t>
            </w:r>
          </w:p>
        </w:tc>
      </w:tr>
      <w:tr w:rsidR="000B0E98" w14:paraId="7DA461F5"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57FF2602"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26" w:type="dxa"/>
            <w:vAlign w:val="bottom"/>
          </w:tcPr>
          <w:p w14:paraId="72620F2A"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701" w:type="dxa"/>
            <w:vAlign w:val="bottom"/>
          </w:tcPr>
          <w:p w14:paraId="36ECA27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1.382 €</w:t>
            </w:r>
          </w:p>
        </w:tc>
        <w:tc>
          <w:tcPr>
            <w:tcW w:w="1559" w:type="dxa"/>
            <w:vAlign w:val="bottom"/>
          </w:tcPr>
          <w:p w14:paraId="2F2076F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692" w:type="dxa"/>
            <w:vAlign w:val="bottom"/>
          </w:tcPr>
          <w:p w14:paraId="0B81624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7,3%</w:t>
            </w:r>
          </w:p>
        </w:tc>
      </w:tr>
      <w:tr w:rsidR="000B0E98" w14:paraId="20E13F07"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264EF33C"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26" w:type="dxa"/>
            <w:vAlign w:val="bottom"/>
          </w:tcPr>
          <w:p w14:paraId="3DD608C2"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701" w:type="dxa"/>
            <w:vAlign w:val="bottom"/>
          </w:tcPr>
          <w:p w14:paraId="571ACAA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1.895 €</w:t>
            </w:r>
          </w:p>
        </w:tc>
        <w:tc>
          <w:tcPr>
            <w:tcW w:w="1559" w:type="dxa"/>
            <w:vAlign w:val="bottom"/>
          </w:tcPr>
          <w:p w14:paraId="39DD29C8"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692" w:type="dxa"/>
            <w:vAlign w:val="bottom"/>
          </w:tcPr>
          <w:p w14:paraId="7498B19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7,0%</w:t>
            </w:r>
          </w:p>
        </w:tc>
      </w:tr>
      <w:tr w:rsidR="000B0E98" w14:paraId="46BFF236"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7C3BB54C"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126" w:type="dxa"/>
            <w:vAlign w:val="bottom"/>
          </w:tcPr>
          <w:p w14:paraId="19A728EF"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Sevilla capital</w:t>
            </w:r>
          </w:p>
        </w:tc>
        <w:tc>
          <w:tcPr>
            <w:tcW w:w="1701" w:type="dxa"/>
            <w:vAlign w:val="bottom"/>
          </w:tcPr>
          <w:p w14:paraId="3CDA2A4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2.399 €</w:t>
            </w:r>
          </w:p>
        </w:tc>
        <w:tc>
          <w:tcPr>
            <w:tcW w:w="1559" w:type="dxa"/>
            <w:vAlign w:val="bottom"/>
          </w:tcPr>
          <w:p w14:paraId="189483E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692" w:type="dxa"/>
            <w:vAlign w:val="bottom"/>
          </w:tcPr>
          <w:p w14:paraId="1495829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6,9%</w:t>
            </w:r>
          </w:p>
        </w:tc>
      </w:tr>
      <w:tr w:rsidR="000B0E98" w14:paraId="49628C70"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4CBBD829"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126" w:type="dxa"/>
            <w:vAlign w:val="bottom"/>
          </w:tcPr>
          <w:p w14:paraId="5D606EDD"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701" w:type="dxa"/>
            <w:vAlign w:val="bottom"/>
          </w:tcPr>
          <w:p w14:paraId="578A098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1.882 €</w:t>
            </w:r>
          </w:p>
        </w:tc>
        <w:tc>
          <w:tcPr>
            <w:tcW w:w="1559" w:type="dxa"/>
            <w:vAlign w:val="bottom"/>
          </w:tcPr>
          <w:p w14:paraId="659D23F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692" w:type="dxa"/>
            <w:vAlign w:val="bottom"/>
          </w:tcPr>
          <w:p w14:paraId="587987F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6,9%</w:t>
            </w:r>
          </w:p>
        </w:tc>
      </w:tr>
      <w:tr w:rsidR="000B0E98" w14:paraId="097EB00C"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4B27FE0"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126" w:type="dxa"/>
            <w:vAlign w:val="bottom"/>
          </w:tcPr>
          <w:p w14:paraId="2EE09063"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701" w:type="dxa"/>
            <w:vAlign w:val="bottom"/>
          </w:tcPr>
          <w:p w14:paraId="781001E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1.661 €</w:t>
            </w:r>
          </w:p>
        </w:tc>
        <w:tc>
          <w:tcPr>
            <w:tcW w:w="1559" w:type="dxa"/>
            <w:vAlign w:val="bottom"/>
          </w:tcPr>
          <w:p w14:paraId="1925CFE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692" w:type="dxa"/>
            <w:vAlign w:val="bottom"/>
          </w:tcPr>
          <w:p w14:paraId="5AA510B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5,5%</w:t>
            </w:r>
          </w:p>
        </w:tc>
      </w:tr>
      <w:tr w:rsidR="000B0E98" w14:paraId="065A032A"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5C3469F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126" w:type="dxa"/>
            <w:vAlign w:val="bottom"/>
          </w:tcPr>
          <w:p w14:paraId="61D30080"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Toledo capital</w:t>
            </w:r>
          </w:p>
        </w:tc>
        <w:tc>
          <w:tcPr>
            <w:tcW w:w="1701" w:type="dxa"/>
            <w:vAlign w:val="bottom"/>
          </w:tcPr>
          <w:p w14:paraId="76C7166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1.624 €</w:t>
            </w:r>
          </w:p>
        </w:tc>
        <w:tc>
          <w:tcPr>
            <w:tcW w:w="1559" w:type="dxa"/>
            <w:vAlign w:val="bottom"/>
          </w:tcPr>
          <w:p w14:paraId="4EB42AF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692" w:type="dxa"/>
            <w:vAlign w:val="bottom"/>
          </w:tcPr>
          <w:p w14:paraId="70E117C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5,2%</w:t>
            </w:r>
          </w:p>
        </w:tc>
      </w:tr>
      <w:tr w:rsidR="000B0E98" w14:paraId="40DD61F4"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46381C07"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7198141A"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701" w:type="dxa"/>
            <w:vAlign w:val="bottom"/>
          </w:tcPr>
          <w:p w14:paraId="7248284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1.723 €</w:t>
            </w:r>
          </w:p>
        </w:tc>
        <w:tc>
          <w:tcPr>
            <w:tcW w:w="1559" w:type="dxa"/>
            <w:vAlign w:val="bottom"/>
          </w:tcPr>
          <w:p w14:paraId="553ED96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692" w:type="dxa"/>
            <w:vAlign w:val="bottom"/>
          </w:tcPr>
          <w:p w14:paraId="67263C1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5,0%</w:t>
            </w:r>
          </w:p>
        </w:tc>
      </w:tr>
      <w:tr w:rsidR="000B0E98" w14:paraId="2EAF6CE5"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0803AEA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1050DEF2"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Bilbao</w:t>
            </w:r>
          </w:p>
        </w:tc>
        <w:tc>
          <w:tcPr>
            <w:tcW w:w="1701" w:type="dxa"/>
            <w:vAlign w:val="bottom"/>
          </w:tcPr>
          <w:p w14:paraId="098590F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3.596 €</w:t>
            </w:r>
          </w:p>
        </w:tc>
        <w:tc>
          <w:tcPr>
            <w:tcW w:w="1559" w:type="dxa"/>
            <w:vAlign w:val="bottom"/>
          </w:tcPr>
          <w:p w14:paraId="6416AC7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692" w:type="dxa"/>
            <w:vAlign w:val="bottom"/>
          </w:tcPr>
          <w:p w14:paraId="54E34A8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4,8%</w:t>
            </w:r>
          </w:p>
        </w:tc>
      </w:tr>
      <w:tr w:rsidR="000B0E98" w14:paraId="7B94F795"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1AF16216"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394CB81D"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701" w:type="dxa"/>
            <w:vAlign w:val="bottom"/>
          </w:tcPr>
          <w:p w14:paraId="4F400D5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4.502 €</w:t>
            </w:r>
          </w:p>
        </w:tc>
        <w:tc>
          <w:tcPr>
            <w:tcW w:w="1559" w:type="dxa"/>
            <w:vAlign w:val="bottom"/>
          </w:tcPr>
          <w:p w14:paraId="674DD15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692" w:type="dxa"/>
            <w:vAlign w:val="bottom"/>
          </w:tcPr>
          <w:p w14:paraId="2F661DE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4,7%</w:t>
            </w:r>
          </w:p>
        </w:tc>
      </w:tr>
      <w:tr w:rsidR="000B0E98" w14:paraId="235E6C0D"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1CEB0DD6"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007E8437"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Cádiz capital</w:t>
            </w:r>
          </w:p>
        </w:tc>
        <w:tc>
          <w:tcPr>
            <w:tcW w:w="1701" w:type="dxa"/>
            <w:vAlign w:val="bottom"/>
          </w:tcPr>
          <w:p w14:paraId="10A2F1A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2.916 €</w:t>
            </w:r>
          </w:p>
        </w:tc>
        <w:tc>
          <w:tcPr>
            <w:tcW w:w="1559" w:type="dxa"/>
            <w:vAlign w:val="bottom"/>
          </w:tcPr>
          <w:p w14:paraId="561E161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692" w:type="dxa"/>
            <w:vAlign w:val="bottom"/>
          </w:tcPr>
          <w:p w14:paraId="5B428E6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4,6%</w:t>
            </w:r>
          </w:p>
        </w:tc>
      </w:tr>
      <w:tr w:rsidR="000B0E98" w14:paraId="5FFBD7EA"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7863E5A4"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126" w:type="dxa"/>
            <w:vAlign w:val="bottom"/>
          </w:tcPr>
          <w:p w14:paraId="2B6DCA40"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Palencia capital</w:t>
            </w:r>
          </w:p>
        </w:tc>
        <w:tc>
          <w:tcPr>
            <w:tcW w:w="1701" w:type="dxa"/>
            <w:vAlign w:val="bottom"/>
          </w:tcPr>
          <w:p w14:paraId="2DF4D4E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1.475 €</w:t>
            </w:r>
          </w:p>
        </w:tc>
        <w:tc>
          <w:tcPr>
            <w:tcW w:w="1559" w:type="dxa"/>
            <w:vAlign w:val="bottom"/>
          </w:tcPr>
          <w:p w14:paraId="2497E7E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72A9324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4,3%</w:t>
            </w:r>
          </w:p>
        </w:tc>
      </w:tr>
      <w:tr w:rsidR="000B0E98" w14:paraId="5AD73A64"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5B971654"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126" w:type="dxa"/>
            <w:vAlign w:val="bottom"/>
          </w:tcPr>
          <w:p w14:paraId="4E408B0D"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Guadalajara capital</w:t>
            </w:r>
          </w:p>
        </w:tc>
        <w:tc>
          <w:tcPr>
            <w:tcW w:w="1701" w:type="dxa"/>
            <w:vAlign w:val="bottom"/>
          </w:tcPr>
          <w:p w14:paraId="1D23593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1.717 €</w:t>
            </w:r>
          </w:p>
        </w:tc>
        <w:tc>
          <w:tcPr>
            <w:tcW w:w="1559" w:type="dxa"/>
            <w:vAlign w:val="bottom"/>
          </w:tcPr>
          <w:p w14:paraId="7021CD7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692" w:type="dxa"/>
            <w:vAlign w:val="bottom"/>
          </w:tcPr>
          <w:p w14:paraId="5BD3790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3,6%</w:t>
            </w:r>
          </w:p>
        </w:tc>
      </w:tr>
      <w:tr w:rsidR="000B0E98" w14:paraId="51BFD8AB"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0DE7EC4B"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126" w:type="dxa"/>
            <w:vAlign w:val="bottom"/>
          </w:tcPr>
          <w:p w14:paraId="1560A42F"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Valladolid capital</w:t>
            </w:r>
          </w:p>
        </w:tc>
        <w:tc>
          <w:tcPr>
            <w:tcW w:w="1701" w:type="dxa"/>
            <w:vAlign w:val="bottom"/>
          </w:tcPr>
          <w:p w14:paraId="3787559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1.815 €</w:t>
            </w:r>
          </w:p>
        </w:tc>
        <w:tc>
          <w:tcPr>
            <w:tcW w:w="1559" w:type="dxa"/>
            <w:vAlign w:val="bottom"/>
          </w:tcPr>
          <w:p w14:paraId="5DEC979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692" w:type="dxa"/>
            <w:vAlign w:val="bottom"/>
          </w:tcPr>
          <w:p w14:paraId="58806C1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3,5%</w:t>
            </w:r>
          </w:p>
        </w:tc>
      </w:tr>
      <w:tr w:rsidR="000B0E98" w14:paraId="3D382684"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47E7ECF1"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126" w:type="dxa"/>
            <w:vAlign w:val="bottom"/>
          </w:tcPr>
          <w:p w14:paraId="2779A4B5"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701" w:type="dxa"/>
            <w:vAlign w:val="bottom"/>
          </w:tcPr>
          <w:p w14:paraId="00B06E5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1.340 €</w:t>
            </w:r>
          </w:p>
        </w:tc>
        <w:tc>
          <w:tcPr>
            <w:tcW w:w="1559" w:type="dxa"/>
            <w:vAlign w:val="bottom"/>
          </w:tcPr>
          <w:p w14:paraId="0B8627D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692" w:type="dxa"/>
            <w:vAlign w:val="bottom"/>
          </w:tcPr>
          <w:p w14:paraId="34B274D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3,4%</w:t>
            </w:r>
          </w:p>
        </w:tc>
      </w:tr>
      <w:tr w:rsidR="000B0E98" w14:paraId="588671AC"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2E2A7B12"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126" w:type="dxa"/>
            <w:vAlign w:val="bottom"/>
          </w:tcPr>
          <w:p w14:paraId="2EC02CEB"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701" w:type="dxa"/>
            <w:vAlign w:val="bottom"/>
          </w:tcPr>
          <w:p w14:paraId="1D8802D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1.329 €</w:t>
            </w:r>
          </w:p>
        </w:tc>
        <w:tc>
          <w:tcPr>
            <w:tcW w:w="1559" w:type="dxa"/>
            <w:vAlign w:val="bottom"/>
          </w:tcPr>
          <w:p w14:paraId="05E2F42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692" w:type="dxa"/>
            <w:vAlign w:val="bottom"/>
          </w:tcPr>
          <w:p w14:paraId="6EBCB55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3,3%</w:t>
            </w:r>
          </w:p>
        </w:tc>
      </w:tr>
      <w:tr w:rsidR="000B0E98" w14:paraId="1D872FC1"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38C3B903"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126" w:type="dxa"/>
            <w:vAlign w:val="bottom"/>
          </w:tcPr>
          <w:p w14:paraId="479D86A6"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701" w:type="dxa"/>
            <w:vAlign w:val="bottom"/>
          </w:tcPr>
          <w:p w14:paraId="014370F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1.388 €</w:t>
            </w:r>
          </w:p>
        </w:tc>
        <w:tc>
          <w:tcPr>
            <w:tcW w:w="1559" w:type="dxa"/>
            <w:vAlign w:val="bottom"/>
          </w:tcPr>
          <w:p w14:paraId="135255D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692" w:type="dxa"/>
            <w:vAlign w:val="bottom"/>
          </w:tcPr>
          <w:p w14:paraId="58B4720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3,2%</w:t>
            </w:r>
          </w:p>
        </w:tc>
      </w:tr>
      <w:tr w:rsidR="000B0E98" w14:paraId="54437D18"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63FB98E"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126" w:type="dxa"/>
            <w:vAlign w:val="bottom"/>
          </w:tcPr>
          <w:p w14:paraId="35BE7080"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Ourense capital</w:t>
            </w:r>
          </w:p>
        </w:tc>
        <w:tc>
          <w:tcPr>
            <w:tcW w:w="1701" w:type="dxa"/>
            <w:vAlign w:val="bottom"/>
          </w:tcPr>
          <w:p w14:paraId="65EEB84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1.587 €</w:t>
            </w:r>
          </w:p>
        </w:tc>
        <w:tc>
          <w:tcPr>
            <w:tcW w:w="1559" w:type="dxa"/>
            <w:vAlign w:val="bottom"/>
          </w:tcPr>
          <w:p w14:paraId="121FD36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692" w:type="dxa"/>
            <w:vAlign w:val="bottom"/>
          </w:tcPr>
          <w:p w14:paraId="69FE1A4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w:t>
            </w:r>
          </w:p>
        </w:tc>
      </w:tr>
      <w:tr w:rsidR="000B0E98" w14:paraId="194332AF"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3C22F75B"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126" w:type="dxa"/>
            <w:vAlign w:val="bottom"/>
          </w:tcPr>
          <w:p w14:paraId="24783EA5"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León capital</w:t>
            </w:r>
          </w:p>
        </w:tc>
        <w:tc>
          <w:tcPr>
            <w:tcW w:w="1701" w:type="dxa"/>
            <w:vAlign w:val="bottom"/>
          </w:tcPr>
          <w:p w14:paraId="3407F89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1.566 €</w:t>
            </w:r>
          </w:p>
        </w:tc>
        <w:tc>
          <w:tcPr>
            <w:tcW w:w="1559" w:type="dxa"/>
            <w:vAlign w:val="bottom"/>
          </w:tcPr>
          <w:p w14:paraId="30D8789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692" w:type="dxa"/>
            <w:vAlign w:val="bottom"/>
          </w:tcPr>
          <w:p w14:paraId="7B98355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2,9%</w:t>
            </w:r>
          </w:p>
        </w:tc>
      </w:tr>
      <w:tr w:rsidR="000B0E98" w14:paraId="1BBE53C8"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41FC2297"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126" w:type="dxa"/>
            <w:vAlign w:val="bottom"/>
          </w:tcPr>
          <w:p w14:paraId="00C7CB7C"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Cuenca capital</w:t>
            </w:r>
          </w:p>
        </w:tc>
        <w:tc>
          <w:tcPr>
            <w:tcW w:w="1701" w:type="dxa"/>
            <w:vAlign w:val="bottom"/>
          </w:tcPr>
          <w:p w14:paraId="0BD5F23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1.482 €</w:t>
            </w:r>
          </w:p>
        </w:tc>
        <w:tc>
          <w:tcPr>
            <w:tcW w:w="1559" w:type="dxa"/>
            <w:vAlign w:val="bottom"/>
          </w:tcPr>
          <w:p w14:paraId="29BB161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692" w:type="dxa"/>
            <w:vAlign w:val="bottom"/>
          </w:tcPr>
          <w:p w14:paraId="094AF5A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2,7%</w:t>
            </w:r>
          </w:p>
        </w:tc>
      </w:tr>
      <w:tr w:rsidR="000B0E98" w14:paraId="130F11E4"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FA0EE84"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0BEB31C2"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 Coruña capital</w:t>
            </w:r>
          </w:p>
        </w:tc>
        <w:tc>
          <w:tcPr>
            <w:tcW w:w="1701" w:type="dxa"/>
            <w:vAlign w:val="bottom"/>
          </w:tcPr>
          <w:p w14:paraId="58E09BA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2.615 €</w:t>
            </w:r>
          </w:p>
        </w:tc>
        <w:tc>
          <w:tcPr>
            <w:tcW w:w="1559" w:type="dxa"/>
            <w:vAlign w:val="bottom"/>
          </w:tcPr>
          <w:p w14:paraId="3BBFDD5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692" w:type="dxa"/>
            <w:vAlign w:val="bottom"/>
          </w:tcPr>
          <w:p w14:paraId="4A9A0DC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2,7%</w:t>
            </w:r>
          </w:p>
        </w:tc>
      </w:tr>
      <w:tr w:rsidR="000B0E98" w14:paraId="061B9CF8"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442E0AB4"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355D820B"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Almería capital</w:t>
            </w:r>
          </w:p>
        </w:tc>
        <w:tc>
          <w:tcPr>
            <w:tcW w:w="1701" w:type="dxa"/>
            <w:vAlign w:val="bottom"/>
          </w:tcPr>
          <w:p w14:paraId="5F52B3F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1.513 €</w:t>
            </w:r>
          </w:p>
        </w:tc>
        <w:tc>
          <w:tcPr>
            <w:tcW w:w="1559" w:type="dxa"/>
            <w:vAlign w:val="bottom"/>
          </w:tcPr>
          <w:p w14:paraId="02CFE28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1692" w:type="dxa"/>
            <w:vAlign w:val="bottom"/>
          </w:tcPr>
          <w:p w14:paraId="7C31306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0,9%</w:t>
            </w:r>
          </w:p>
        </w:tc>
      </w:tr>
      <w:tr w:rsidR="000B0E98" w14:paraId="76E59E1A"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C6198B4"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126" w:type="dxa"/>
            <w:vAlign w:val="bottom"/>
          </w:tcPr>
          <w:p w14:paraId="772C1D96"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701" w:type="dxa"/>
            <w:vAlign w:val="bottom"/>
          </w:tcPr>
          <w:p w14:paraId="7277E86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2.002 €</w:t>
            </w:r>
          </w:p>
        </w:tc>
        <w:tc>
          <w:tcPr>
            <w:tcW w:w="1559" w:type="dxa"/>
            <w:vAlign w:val="bottom"/>
          </w:tcPr>
          <w:p w14:paraId="7D1C447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692" w:type="dxa"/>
            <w:vAlign w:val="bottom"/>
          </w:tcPr>
          <w:p w14:paraId="407C2D6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w:t>
            </w:r>
          </w:p>
        </w:tc>
      </w:tr>
      <w:tr w:rsidR="000B0E98" w14:paraId="544EF706"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1EF50AB"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126" w:type="dxa"/>
            <w:vAlign w:val="bottom"/>
          </w:tcPr>
          <w:p w14:paraId="34F68876"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701" w:type="dxa"/>
            <w:vAlign w:val="bottom"/>
          </w:tcPr>
          <w:p w14:paraId="70DDF69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2.790 €</w:t>
            </w:r>
          </w:p>
        </w:tc>
        <w:tc>
          <w:tcPr>
            <w:tcW w:w="1559" w:type="dxa"/>
            <w:vAlign w:val="bottom"/>
          </w:tcPr>
          <w:p w14:paraId="0E4B373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692" w:type="dxa"/>
            <w:vAlign w:val="bottom"/>
          </w:tcPr>
          <w:p w14:paraId="7691D96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-0,4%</w:t>
            </w:r>
          </w:p>
        </w:tc>
      </w:tr>
      <w:tr w:rsidR="000B0E98" w14:paraId="206BBBF1"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74678581"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Zamora</w:t>
            </w:r>
          </w:p>
        </w:tc>
        <w:tc>
          <w:tcPr>
            <w:tcW w:w="2126" w:type="dxa"/>
            <w:vAlign w:val="bottom"/>
          </w:tcPr>
          <w:p w14:paraId="4279AE62"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Zamora capital</w:t>
            </w:r>
          </w:p>
        </w:tc>
        <w:tc>
          <w:tcPr>
            <w:tcW w:w="1701" w:type="dxa"/>
            <w:vAlign w:val="bottom"/>
          </w:tcPr>
          <w:p w14:paraId="5123BDA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1.269 €</w:t>
            </w:r>
          </w:p>
        </w:tc>
        <w:tc>
          <w:tcPr>
            <w:tcW w:w="1559" w:type="dxa"/>
            <w:vAlign w:val="bottom"/>
          </w:tcPr>
          <w:p w14:paraId="632F26D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692" w:type="dxa"/>
            <w:vAlign w:val="bottom"/>
          </w:tcPr>
          <w:p w14:paraId="22F15C3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-1,9%</w:t>
            </w:r>
          </w:p>
        </w:tc>
      </w:tr>
      <w:tr w:rsidR="000B0E98" w14:paraId="213DBB72" w14:textId="77777777" w:rsidTr="00C82D4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015E018"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126" w:type="dxa"/>
            <w:vAlign w:val="bottom"/>
          </w:tcPr>
          <w:p w14:paraId="4242E6DD"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701" w:type="dxa"/>
            <w:vAlign w:val="bottom"/>
          </w:tcPr>
          <w:p w14:paraId="1B9F869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1.382 €</w:t>
            </w:r>
          </w:p>
        </w:tc>
        <w:tc>
          <w:tcPr>
            <w:tcW w:w="1559" w:type="dxa"/>
            <w:vAlign w:val="bottom"/>
          </w:tcPr>
          <w:p w14:paraId="51FA8A8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-1,1%</w:t>
            </w:r>
          </w:p>
        </w:tc>
        <w:tc>
          <w:tcPr>
            <w:tcW w:w="1692" w:type="dxa"/>
            <w:vAlign w:val="bottom"/>
          </w:tcPr>
          <w:p w14:paraId="13A0F75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-2,5%</w:t>
            </w:r>
          </w:p>
        </w:tc>
      </w:tr>
      <w:tr w:rsidR="000B0E98" w14:paraId="352C9D27" w14:textId="77777777" w:rsidTr="00C82D4B">
        <w:trPr>
          <w:trHeight w:val="2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584CBB09"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126" w:type="dxa"/>
            <w:vAlign w:val="bottom"/>
          </w:tcPr>
          <w:p w14:paraId="12B03212"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701" w:type="dxa"/>
            <w:vAlign w:val="bottom"/>
          </w:tcPr>
          <w:p w14:paraId="0C7DA24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1.559 €</w:t>
            </w:r>
          </w:p>
        </w:tc>
        <w:tc>
          <w:tcPr>
            <w:tcW w:w="1559" w:type="dxa"/>
            <w:vAlign w:val="bottom"/>
          </w:tcPr>
          <w:p w14:paraId="4AC81B9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1692" w:type="dxa"/>
            <w:vAlign w:val="bottom"/>
          </w:tcPr>
          <w:p w14:paraId="79D6815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-2,6%</w:t>
            </w:r>
          </w:p>
        </w:tc>
      </w:tr>
    </w:tbl>
    <w:p w14:paraId="0B95C400" w14:textId="77777777" w:rsidR="000B0E98"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0B8CFDE2" w14:textId="77777777" w:rsidR="000B0E98" w:rsidRDefault="00000000">
      <w:pPr>
        <w:spacing w:line="276" w:lineRule="auto"/>
        <w:jc w:val="both"/>
        <w:rPr>
          <w:rFonts w:ascii="Open Sans" w:eastAsia="Open Sans" w:hAnsi="Open Sans" w:cs="Open Sans"/>
          <w:color w:val="000000"/>
        </w:rPr>
      </w:pPr>
      <w:r w:rsidRPr="00C82D4B">
        <w:rPr>
          <w:rFonts w:ascii="Open Sans" w:eastAsia="Open Sans" w:hAnsi="Open Sans" w:cs="Open Sans"/>
          <w:b/>
          <w:bCs/>
          <w:color w:val="000000"/>
        </w:rPr>
        <w:t xml:space="preserve">El precio medio de la vivienda de segunda mano sube en el 84% de los 655 municipios con variación interanual analizados </w:t>
      </w:r>
      <w:r w:rsidRPr="00C82D4B">
        <w:rPr>
          <w:rFonts w:ascii="Open Sans" w:eastAsia="Open Sans" w:hAnsi="Open Sans" w:cs="Open Sans"/>
          <w:b/>
          <w:bCs/>
        </w:rPr>
        <w:t xml:space="preserve">por </w:t>
      </w:r>
      <w:hyperlink r:id="rId12">
        <w:r w:rsidRPr="00C82D4B">
          <w:rPr>
            <w:rFonts w:ascii="Open Sans" w:eastAsia="Open Sans" w:hAnsi="Open Sans" w:cs="Open Sans"/>
            <w:b/>
            <w:bCs/>
            <w:color w:val="0000FF"/>
            <w:u w:val="single"/>
          </w:rPr>
          <w:t>Fotocasa</w:t>
        </w:r>
      </w:hyperlink>
      <w:r>
        <w:rPr>
          <w:rFonts w:ascii="Open Sans" w:eastAsia="Open Sans" w:hAnsi="Open Sans" w:cs="Open Sans"/>
        </w:rPr>
        <w:t xml:space="preserve">. En 53 (8%) </w:t>
      </w:r>
      <w:r>
        <w:rPr>
          <w:rFonts w:ascii="Open Sans" w:eastAsia="Open Sans" w:hAnsi="Open Sans" w:cs="Open Sans"/>
          <w:color w:val="000000"/>
        </w:rPr>
        <w:t>de los municipios sube el valor interanual de la vivienda por encima del 20% y en concreto en ocho de estos municipios sube por encima del 40% y son: Torre-Pacheco (57,3%</w:t>
      </w:r>
      <w:r>
        <w:rPr>
          <w:rFonts w:ascii="Open Sans" w:eastAsia="Open Sans" w:hAnsi="Open Sans" w:cs="Open Sans"/>
        </w:rPr>
        <w:t xml:space="preserve">), </w:t>
      </w:r>
      <w:r>
        <w:rPr>
          <w:rFonts w:ascii="Open Sans" w:eastAsia="Open Sans" w:hAnsi="Open Sans" w:cs="Open Sans"/>
          <w:color w:val="000000"/>
        </w:rPr>
        <w:t>San Miguel de Salinas (50,2%</w:t>
      </w:r>
      <w:r>
        <w:rPr>
          <w:rFonts w:ascii="Open Sans" w:eastAsia="Open Sans" w:hAnsi="Open Sans" w:cs="Open Sans"/>
        </w:rPr>
        <w:t xml:space="preserve">), </w:t>
      </w:r>
      <w:r>
        <w:rPr>
          <w:rFonts w:ascii="Open Sans" w:eastAsia="Open Sans" w:hAnsi="Open Sans" w:cs="Open Sans"/>
          <w:color w:val="000000"/>
        </w:rPr>
        <w:t>Mutxamel (45,9%</w:t>
      </w:r>
      <w:r>
        <w:rPr>
          <w:rFonts w:ascii="Open Sans" w:eastAsia="Open Sans" w:hAnsi="Open Sans" w:cs="Open Sans"/>
        </w:rPr>
        <w:t xml:space="preserve">), </w:t>
      </w:r>
      <w:r>
        <w:rPr>
          <w:rFonts w:ascii="Open Sans" w:eastAsia="Open Sans" w:hAnsi="Open Sans" w:cs="Open Sans"/>
          <w:color w:val="000000"/>
        </w:rPr>
        <w:t>Santiago del Teide (44,8%</w:t>
      </w:r>
      <w:r>
        <w:rPr>
          <w:rFonts w:ascii="Open Sans" w:eastAsia="Open Sans" w:hAnsi="Open Sans" w:cs="Open Sans"/>
        </w:rPr>
        <w:t xml:space="preserve">), </w:t>
      </w:r>
      <w:r>
        <w:rPr>
          <w:rFonts w:ascii="Open Sans" w:eastAsia="Open Sans" w:hAnsi="Open Sans" w:cs="Open Sans"/>
          <w:color w:val="000000"/>
        </w:rPr>
        <w:t>Paiporta (42,4%</w:t>
      </w:r>
      <w:r>
        <w:rPr>
          <w:rFonts w:ascii="Open Sans" w:eastAsia="Open Sans" w:hAnsi="Open Sans" w:cs="Open Sans"/>
        </w:rPr>
        <w:t xml:space="preserve">), </w:t>
      </w:r>
      <w:proofErr w:type="spellStart"/>
      <w:r>
        <w:rPr>
          <w:rFonts w:ascii="Open Sans" w:eastAsia="Open Sans" w:hAnsi="Open Sans" w:cs="Open Sans"/>
          <w:color w:val="000000"/>
        </w:rPr>
        <w:t>Cájar</w:t>
      </w:r>
      <w:proofErr w:type="spellEnd"/>
      <w:r>
        <w:rPr>
          <w:rFonts w:ascii="Open Sans" w:eastAsia="Open Sans" w:hAnsi="Open Sans" w:cs="Open Sans"/>
          <w:color w:val="000000"/>
        </w:rPr>
        <w:t xml:space="preserve"> (42,0%</w:t>
      </w:r>
      <w:r>
        <w:rPr>
          <w:rFonts w:ascii="Open Sans" w:eastAsia="Open Sans" w:hAnsi="Open Sans" w:cs="Open Sans"/>
        </w:rPr>
        <w:t xml:space="preserve">), </w:t>
      </w:r>
      <w:proofErr w:type="spellStart"/>
      <w:r>
        <w:rPr>
          <w:rFonts w:ascii="Open Sans" w:eastAsia="Open Sans" w:hAnsi="Open Sans" w:cs="Open Sans"/>
          <w:color w:val="000000"/>
        </w:rPr>
        <w:t>Benahavís</w:t>
      </w:r>
      <w:proofErr w:type="spellEnd"/>
      <w:r>
        <w:rPr>
          <w:rFonts w:ascii="Open Sans" w:eastAsia="Open Sans" w:hAnsi="Open Sans" w:cs="Open Sans"/>
          <w:color w:val="000000"/>
        </w:rPr>
        <w:t xml:space="preserve"> (41,0%</w:t>
      </w:r>
      <w:r>
        <w:rPr>
          <w:rFonts w:ascii="Open Sans" w:eastAsia="Open Sans" w:hAnsi="Open Sans" w:cs="Open Sans"/>
        </w:rPr>
        <w:t xml:space="preserve">) y </w:t>
      </w:r>
      <w:r>
        <w:rPr>
          <w:rFonts w:ascii="Open Sans" w:eastAsia="Open Sans" w:hAnsi="Open Sans" w:cs="Open Sans"/>
          <w:color w:val="000000"/>
        </w:rPr>
        <w:t>Casares (40,0%</w:t>
      </w:r>
      <w:r>
        <w:rPr>
          <w:rFonts w:ascii="Open Sans" w:eastAsia="Open Sans" w:hAnsi="Open Sans" w:cs="Open Sans"/>
        </w:rPr>
        <w:t>).</w:t>
      </w:r>
    </w:p>
    <w:p w14:paraId="3AF47E53" w14:textId="77777777" w:rsidR="000B0E98"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sidRPr="00C82D4B">
        <w:rPr>
          <w:rFonts w:ascii="Open Sans" w:eastAsia="Open Sans" w:hAnsi="Open Sans" w:cs="Open Sans"/>
          <w:b/>
          <w:bCs/>
          <w:color w:val="000000"/>
        </w:rPr>
        <w:t>En cuanto al precio por metro cuadrado en enero, vemos que el orden de las ciudades más caras es: Eivissa con 6.747 euros/m</w:t>
      </w:r>
      <w:r w:rsidRPr="00C82D4B">
        <w:rPr>
          <w:rFonts w:ascii="Open Sans" w:eastAsia="Open Sans" w:hAnsi="Open Sans" w:cs="Open Sans"/>
          <w:b/>
          <w:bCs/>
          <w:color w:val="000000"/>
          <w:vertAlign w:val="superscript"/>
        </w:rPr>
        <w:t>2</w:t>
      </w:r>
      <w:r w:rsidRPr="00C82D4B">
        <w:rPr>
          <w:rFonts w:ascii="Open Sans" w:eastAsia="Open Sans" w:hAnsi="Open Sans" w:cs="Open Sans"/>
          <w:b/>
          <w:bCs/>
          <w:color w:val="000000"/>
        </w:rPr>
        <w:t xml:space="preserve"> y Donostia - San Sebastián con 6.058 euros/m</w:t>
      </w:r>
      <w:r w:rsidRPr="00C82D4B">
        <w:rPr>
          <w:rFonts w:ascii="Open Sans" w:eastAsia="Open Sans" w:hAnsi="Open Sans" w:cs="Open Sans"/>
          <w:b/>
          <w:bCs/>
          <w:color w:val="000000"/>
          <w:vertAlign w:val="superscript"/>
        </w:rPr>
        <w:t>2</w:t>
      </w:r>
      <w:r>
        <w:rPr>
          <w:rFonts w:ascii="Open Sans" w:eastAsia="Open Sans" w:hAnsi="Open Sans" w:cs="Open Sans"/>
          <w:color w:val="000000"/>
        </w:rPr>
        <w:t>. Por otro lado, los municipios más económicos son</w:t>
      </w:r>
      <w:r>
        <w:rPr>
          <w:rFonts w:ascii="Times New Roman" w:eastAsia="Times New Roman" w:hAnsi="Times New Roman" w:cs="Times New Roman"/>
          <w:color w:val="000000"/>
        </w:rPr>
        <w:t xml:space="preserve"> </w:t>
      </w:r>
      <w:r>
        <w:rPr>
          <w:rFonts w:ascii="Open Sans" w:eastAsia="Open Sans" w:hAnsi="Open Sans" w:cs="Open Sans"/>
          <w:color w:val="000000"/>
        </w:rPr>
        <w:t>Malagón con 505 euros/m</w:t>
      </w:r>
      <w:r>
        <w:rPr>
          <w:rFonts w:ascii="Open Sans" w:eastAsia="Open Sans" w:hAnsi="Open Sans" w:cs="Open Sans"/>
          <w:color w:val="000000"/>
          <w:vertAlign w:val="superscript"/>
        </w:rPr>
        <w:t>2</w:t>
      </w:r>
      <w:r>
        <w:rPr>
          <w:rFonts w:ascii="Open Sans" w:eastAsia="Open Sans" w:hAnsi="Open Sans" w:cs="Open Sans"/>
          <w:color w:val="000000"/>
        </w:rPr>
        <w:t xml:space="preserve"> y La Carolina con 636 euros/m</w:t>
      </w:r>
      <w:r>
        <w:rPr>
          <w:rFonts w:ascii="Open Sans" w:eastAsia="Open Sans" w:hAnsi="Open Sans" w:cs="Open Sans"/>
          <w:color w:val="000000"/>
          <w:vertAlign w:val="superscript"/>
        </w:rPr>
        <w:t>2</w:t>
      </w:r>
      <w:r>
        <w:rPr>
          <w:rFonts w:ascii="Open Sans" w:eastAsia="Open Sans" w:hAnsi="Open Sans" w:cs="Open Sans"/>
          <w:color w:val="000000"/>
        </w:rPr>
        <w:t>.</w:t>
      </w:r>
    </w:p>
    <w:p w14:paraId="509F0AF8" w14:textId="77777777" w:rsidR="000B0E98"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incremento interanual</w:t>
      </w:r>
    </w:p>
    <w:tbl>
      <w:tblPr>
        <w:tblStyle w:val="5"/>
        <w:tblW w:w="893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43"/>
        <w:gridCol w:w="1843"/>
        <w:gridCol w:w="1984"/>
        <w:gridCol w:w="1560"/>
        <w:gridCol w:w="1701"/>
      </w:tblGrid>
      <w:tr w:rsidR="000B0E98" w14:paraId="17F07F93" w14:textId="77777777" w:rsidTr="000B0E9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074BD9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843" w:type="dxa"/>
            <w:vAlign w:val="center"/>
          </w:tcPr>
          <w:p w14:paraId="199AEAA2" w14:textId="77777777" w:rsidR="000B0E9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vAlign w:val="center"/>
          </w:tcPr>
          <w:p w14:paraId="6727FDFA"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2024</w:t>
            </w:r>
          </w:p>
          <w:p w14:paraId="04473CD9"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60" w:type="dxa"/>
            <w:vAlign w:val="center"/>
          </w:tcPr>
          <w:p w14:paraId="3BF60488"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6818BBFB"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B0E98" w14:paraId="45C33E82" w14:textId="77777777" w:rsidTr="000B0E9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005AF9C1"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1843" w:type="dxa"/>
            <w:vAlign w:val="bottom"/>
          </w:tcPr>
          <w:p w14:paraId="3D2C224D"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Torre-Pacheco</w:t>
            </w:r>
          </w:p>
        </w:tc>
        <w:tc>
          <w:tcPr>
            <w:tcW w:w="1984" w:type="dxa"/>
            <w:vAlign w:val="bottom"/>
          </w:tcPr>
          <w:p w14:paraId="612CBED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1.474 €</w:t>
            </w:r>
          </w:p>
        </w:tc>
        <w:tc>
          <w:tcPr>
            <w:tcW w:w="1560" w:type="dxa"/>
            <w:vAlign w:val="bottom"/>
          </w:tcPr>
          <w:p w14:paraId="0CA2F2D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c>
          <w:tcPr>
            <w:tcW w:w="1701" w:type="dxa"/>
            <w:vAlign w:val="bottom"/>
          </w:tcPr>
          <w:p w14:paraId="6249D6D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57,3%</w:t>
            </w:r>
          </w:p>
        </w:tc>
      </w:tr>
      <w:tr w:rsidR="000B0E98" w14:paraId="2F9274F8"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6E41E39B"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43" w:type="dxa"/>
            <w:vAlign w:val="bottom"/>
          </w:tcPr>
          <w:p w14:paraId="70C59E1A"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 Miguel de Salinas</w:t>
            </w:r>
          </w:p>
        </w:tc>
        <w:tc>
          <w:tcPr>
            <w:tcW w:w="1984" w:type="dxa"/>
            <w:vAlign w:val="bottom"/>
          </w:tcPr>
          <w:p w14:paraId="684F41C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2.152 €</w:t>
            </w:r>
          </w:p>
        </w:tc>
        <w:tc>
          <w:tcPr>
            <w:tcW w:w="1560" w:type="dxa"/>
            <w:vAlign w:val="bottom"/>
          </w:tcPr>
          <w:p w14:paraId="439A821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w:t>
            </w:r>
          </w:p>
        </w:tc>
        <w:tc>
          <w:tcPr>
            <w:tcW w:w="1701" w:type="dxa"/>
            <w:vAlign w:val="bottom"/>
          </w:tcPr>
          <w:p w14:paraId="197EC68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50,2%</w:t>
            </w:r>
          </w:p>
        </w:tc>
      </w:tr>
      <w:tr w:rsidR="000B0E98" w14:paraId="1BF71F8F" w14:textId="77777777" w:rsidTr="000B0E9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209E1EB8"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43" w:type="dxa"/>
            <w:vAlign w:val="bottom"/>
          </w:tcPr>
          <w:p w14:paraId="6D0D3D67"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Mutxamel</w:t>
            </w:r>
          </w:p>
        </w:tc>
        <w:tc>
          <w:tcPr>
            <w:tcW w:w="1984" w:type="dxa"/>
            <w:vAlign w:val="bottom"/>
          </w:tcPr>
          <w:p w14:paraId="2FF979F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1.851 €</w:t>
            </w:r>
          </w:p>
        </w:tc>
        <w:tc>
          <w:tcPr>
            <w:tcW w:w="1560" w:type="dxa"/>
            <w:vAlign w:val="bottom"/>
          </w:tcPr>
          <w:p w14:paraId="10C9327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13,7%</w:t>
            </w:r>
          </w:p>
        </w:tc>
        <w:tc>
          <w:tcPr>
            <w:tcW w:w="1701" w:type="dxa"/>
            <w:vAlign w:val="bottom"/>
          </w:tcPr>
          <w:p w14:paraId="11A2572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45,9%</w:t>
            </w:r>
          </w:p>
        </w:tc>
      </w:tr>
      <w:tr w:rsidR="000B0E98" w14:paraId="248DAFAC"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72826BF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843" w:type="dxa"/>
            <w:vAlign w:val="bottom"/>
          </w:tcPr>
          <w:p w14:paraId="1075CE36"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Santiago del Teide</w:t>
            </w:r>
          </w:p>
        </w:tc>
        <w:tc>
          <w:tcPr>
            <w:tcW w:w="1984" w:type="dxa"/>
            <w:vAlign w:val="bottom"/>
          </w:tcPr>
          <w:p w14:paraId="1274A67E"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3.222 €</w:t>
            </w:r>
          </w:p>
        </w:tc>
        <w:tc>
          <w:tcPr>
            <w:tcW w:w="1560" w:type="dxa"/>
            <w:vAlign w:val="bottom"/>
          </w:tcPr>
          <w:p w14:paraId="2023DE1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w:t>
            </w:r>
          </w:p>
        </w:tc>
        <w:tc>
          <w:tcPr>
            <w:tcW w:w="1701" w:type="dxa"/>
            <w:vAlign w:val="bottom"/>
          </w:tcPr>
          <w:p w14:paraId="1B0B88D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44,8%</w:t>
            </w:r>
          </w:p>
        </w:tc>
      </w:tr>
      <w:tr w:rsidR="000B0E98" w14:paraId="1C90BFA0" w14:textId="77777777" w:rsidTr="000B0E9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6A990DDB"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843" w:type="dxa"/>
            <w:vAlign w:val="bottom"/>
          </w:tcPr>
          <w:p w14:paraId="0CB5897E"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Paiporta</w:t>
            </w:r>
          </w:p>
        </w:tc>
        <w:tc>
          <w:tcPr>
            <w:tcW w:w="1984" w:type="dxa"/>
            <w:vAlign w:val="bottom"/>
          </w:tcPr>
          <w:p w14:paraId="2B684EB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1.896 €</w:t>
            </w:r>
          </w:p>
        </w:tc>
        <w:tc>
          <w:tcPr>
            <w:tcW w:w="1560" w:type="dxa"/>
            <w:vAlign w:val="bottom"/>
          </w:tcPr>
          <w:p w14:paraId="5BA06ED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6,9%</w:t>
            </w:r>
          </w:p>
        </w:tc>
        <w:tc>
          <w:tcPr>
            <w:tcW w:w="1701" w:type="dxa"/>
            <w:vAlign w:val="bottom"/>
          </w:tcPr>
          <w:p w14:paraId="34C8F5F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42,4%</w:t>
            </w:r>
          </w:p>
        </w:tc>
      </w:tr>
      <w:tr w:rsidR="000B0E98" w14:paraId="142F64B7"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78142E1F"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843" w:type="dxa"/>
            <w:vAlign w:val="bottom"/>
          </w:tcPr>
          <w:p w14:paraId="393A42AA"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Cájar</w:t>
            </w:r>
            <w:proofErr w:type="spellEnd"/>
          </w:p>
        </w:tc>
        <w:tc>
          <w:tcPr>
            <w:tcW w:w="1984" w:type="dxa"/>
            <w:vAlign w:val="bottom"/>
          </w:tcPr>
          <w:p w14:paraId="0B1C40B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1.622 €</w:t>
            </w:r>
          </w:p>
        </w:tc>
        <w:tc>
          <w:tcPr>
            <w:tcW w:w="1560" w:type="dxa"/>
            <w:vAlign w:val="bottom"/>
          </w:tcPr>
          <w:p w14:paraId="55EB4E7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-6,3%</w:t>
            </w:r>
          </w:p>
        </w:tc>
        <w:tc>
          <w:tcPr>
            <w:tcW w:w="1701" w:type="dxa"/>
            <w:vAlign w:val="bottom"/>
          </w:tcPr>
          <w:p w14:paraId="3F2F49C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42,0%</w:t>
            </w:r>
          </w:p>
        </w:tc>
      </w:tr>
      <w:tr w:rsidR="000B0E98" w14:paraId="71414F04" w14:textId="77777777" w:rsidTr="000B0E9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79378423"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843" w:type="dxa"/>
            <w:vAlign w:val="bottom"/>
          </w:tcPr>
          <w:p w14:paraId="61D533BD"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Benahavís</w:t>
            </w:r>
            <w:proofErr w:type="spellEnd"/>
          </w:p>
        </w:tc>
        <w:tc>
          <w:tcPr>
            <w:tcW w:w="1984" w:type="dxa"/>
            <w:vAlign w:val="bottom"/>
          </w:tcPr>
          <w:p w14:paraId="4B2ED1C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4.771 €</w:t>
            </w:r>
          </w:p>
        </w:tc>
        <w:tc>
          <w:tcPr>
            <w:tcW w:w="1560" w:type="dxa"/>
            <w:vAlign w:val="bottom"/>
          </w:tcPr>
          <w:p w14:paraId="5E3252E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701" w:type="dxa"/>
            <w:vAlign w:val="bottom"/>
          </w:tcPr>
          <w:p w14:paraId="4BA4183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41,0%</w:t>
            </w:r>
          </w:p>
        </w:tc>
      </w:tr>
      <w:tr w:rsidR="000B0E98" w14:paraId="15D1918F"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71813B45"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843" w:type="dxa"/>
            <w:vAlign w:val="bottom"/>
          </w:tcPr>
          <w:p w14:paraId="05CBB8C9"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Casares</w:t>
            </w:r>
          </w:p>
        </w:tc>
        <w:tc>
          <w:tcPr>
            <w:tcW w:w="1984" w:type="dxa"/>
            <w:vAlign w:val="bottom"/>
          </w:tcPr>
          <w:p w14:paraId="737CAE1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3.345 €</w:t>
            </w:r>
          </w:p>
        </w:tc>
        <w:tc>
          <w:tcPr>
            <w:tcW w:w="1560" w:type="dxa"/>
            <w:vAlign w:val="bottom"/>
          </w:tcPr>
          <w:p w14:paraId="112F959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701" w:type="dxa"/>
            <w:vAlign w:val="bottom"/>
          </w:tcPr>
          <w:p w14:paraId="698B087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40,0%</w:t>
            </w:r>
          </w:p>
        </w:tc>
      </w:tr>
      <w:tr w:rsidR="000B0E98" w14:paraId="6043AD5A" w14:textId="77777777" w:rsidTr="000B0E9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23C9CEE0"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843" w:type="dxa"/>
            <w:vAlign w:val="bottom"/>
          </w:tcPr>
          <w:p w14:paraId="10123C7F"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Guía de Isora</w:t>
            </w:r>
          </w:p>
        </w:tc>
        <w:tc>
          <w:tcPr>
            <w:tcW w:w="1984" w:type="dxa"/>
            <w:vAlign w:val="bottom"/>
          </w:tcPr>
          <w:p w14:paraId="26A794C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3.768 €</w:t>
            </w:r>
          </w:p>
        </w:tc>
        <w:tc>
          <w:tcPr>
            <w:tcW w:w="1560" w:type="dxa"/>
            <w:vAlign w:val="bottom"/>
          </w:tcPr>
          <w:p w14:paraId="06044CF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701" w:type="dxa"/>
            <w:vAlign w:val="bottom"/>
          </w:tcPr>
          <w:p w14:paraId="6E08BCE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38,7%</w:t>
            </w:r>
          </w:p>
        </w:tc>
      </w:tr>
      <w:tr w:rsidR="000B0E98" w14:paraId="1A52C1E7"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1F5E41D2"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1843" w:type="dxa"/>
            <w:vAlign w:val="bottom"/>
          </w:tcPr>
          <w:p w14:paraId="7E0FCCE2"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Ayamonte</w:t>
            </w:r>
          </w:p>
        </w:tc>
        <w:tc>
          <w:tcPr>
            <w:tcW w:w="1984" w:type="dxa"/>
            <w:vAlign w:val="bottom"/>
          </w:tcPr>
          <w:p w14:paraId="3F33F1C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2.082 €</w:t>
            </w:r>
          </w:p>
        </w:tc>
        <w:tc>
          <w:tcPr>
            <w:tcW w:w="1560" w:type="dxa"/>
            <w:vAlign w:val="bottom"/>
          </w:tcPr>
          <w:p w14:paraId="46CEA2D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c>
          <w:tcPr>
            <w:tcW w:w="1701" w:type="dxa"/>
            <w:vAlign w:val="bottom"/>
          </w:tcPr>
          <w:p w14:paraId="0049627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38,5%</w:t>
            </w:r>
          </w:p>
        </w:tc>
      </w:tr>
    </w:tbl>
    <w:p w14:paraId="365F9711" w14:textId="77777777" w:rsidR="00C82D4B" w:rsidRDefault="00C82D4B">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p>
    <w:p w14:paraId="26603BF8" w14:textId="77777777" w:rsidR="00C82D4B" w:rsidRDefault="00C82D4B">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p>
    <w:p w14:paraId="1A4A13BE" w14:textId="77777777" w:rsidR="00C82D4B" w:rsidRDefault="00C82D4B">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p>
    <w:p w14:paraId="73E57283" w14:textId="54E96EBC" w:rsidR="000B0E98"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Municipios con mayor descenso interanual</w:t>
      </w:r>
    </w:p>
    <w:tbl>
      <w:tblPr>
        <w:tblStyle w:val="4"/>
        <w:tblW w:w="893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1"/>
        <w:gridCol w:w="1843"/>
        <w:gridCol w:w="1985"/>
        <w:gridCol w:w="1701"/>
        <w:gridCol w:w="1701"/>
      </w:tblGrid>
      <w:tr w:rsidR="000B0E98" w14:paraId="2B960BCF" w14:textId="77777777" w:rsidTr="000B0E9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467119E"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843" w:type="dxa"/>
            <w:vAlign w:val="center"/>
          </w:tcPr>
          <w:p w14:paraId="411BBA62" w14:textId="77777777" w:rsidR="000B0E9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vAlign w:val="center"/>
          </w:tcPr>
          <w:p w14:paraId="5FCA0F3A"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2024</w:t>
            </w:r>
          </w:p>
          <w:p w14:paraId="65B704CD"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701" w:type="dxa"/>
            <w:vAlign w:val="center"/>
          </w:tcPr>
          <w:p w14:paraId="3940196B"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6B1BFBC1"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B0E98" w14:paraId="1AFB2330" w14:textId="77777777" w:rsidTr="000B0E9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364FBEDE"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843" w:type="dxa"/>
            <w:vAlign w:val="bottom"/>
          </w:tcPr>
          <w:p w14:paraId="2C5A2D1B"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Xeraco</w:t>
            </w:r>
            <w:proofErr w:type="spellEnd"/>
          </w:p>
        </w:tc>
        <w:tc>
          <w:tcPr>
            <w:tcW w:w="1985" w:type="dxa"/>
            <w:vAlign w:val="bottom"/>
          </w:tcPr>
          <w:p w14:paraId="1A813236"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1.553 € </w:t>
            </w:r>
          </w:p>
        </w:tc>
        <w:tc>
          <w:tcPr>
            <w:tcW w:w="1701" w:type="dxa"/>
            <w:vAlign w:val="bottom"/>
          </w:tcPr>
          <w:p w14:paraId="69700D7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-2,3%</w:t>
            </w:r>
          </w:p>
        </w:tc>
        <w:tc>
          <w:tcPr>
            <w:tcW w:w="1701" w:type="dxa"/>
            <w:vAlign w:val="bottom"/>
          </w:tcPr>
          <w:p w14:paraId="0AC0A15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-11,1%</w:t>
            </w:r>
          </w:p>
        </w:tc>
      </w:tr>
      <w:tr w:rsidR="000B0E98" w14:paraId="3F87E4D0"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F8196F8"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43" w:type="dxa"/>
            <w:vAlign w:val="bottom"/>
          </w:tcPr>
          <w:p w14:paraId="19897A38"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Martorell</w:t>
            </w:r>
          </w:p>
        </w:tc>
        <w:tc>
          <w:tcPr>
            <w:tcW w:w="1985" w:type="dxa"/>
            <w:vAlign w:val="bottom"/>
          </w:tcPr>
          <w:p w14:paraId="4A226CD1"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1.978 € </w:t>
            </w:r>
          </w:p>
        </w:tc>
        <w:tc>
          <w:tcPr>
            <w:tcW w:w="1701" w:type="dxa"/>
            <w:vAlign w:val="bottom"/>
          </w:tcPr>
          <w:p w14:paraId="25B569C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c>
          <w:tcPr>
            <w:tcW w:w="1701" w:type="dxa"/>
            <w:vAlign w:val="bottom"/>
          </w:tcPr>
          <w:p w14:paraId="3BA8386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-10,3%</w:t>
            </w:r>
          </w:p>
        </w:tc>
      </w:tr>
      <w:tr w:rsidR="000B0E98" w14:paraId="159EA33C" w14:textId="77777777" w:rsidTr="000B0E9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5B61D7E7"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1843" w:type="dxa"/>
            <w:vAlign w:val="bottom"/>
          </w:tcPr>
          <w:p w14:paraId="53A498AD"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Arrasate</w:t>
            </w:r>
            <w:proofErr w:type="spellEnd"/>
            <w:r>
              <w:rPr>
                <w:rFonts w:ascii="Open Sans" w:eastAsia="Open Sans" w:hAnsi="Open Sans" w:cs="Open Sans"/>
                <w:sz w:val="22"/>
                <w:szCs w:val="22"/>
              </w:rPr>
              <w:t xml:space="preserve"> / Mondragón</w:t>
            </w:r>
          </w:p>
        </w:tc>
        <w:tc>
          <w:tcPr>
            <w:tcW w:w="1985" w:type="dxa"/>
            <w:vAlign w:val="bottom"/>
          </w:tcPr>
          <w:p w14:paraId="6C8203EE"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2.173 € </w:t>
            </w:r>
          </w:p>
        </w:tc>
        <w:tc>
          <w:tcPr>
            <w:tcW w:w="1701" w:type="dxa"/>
            <w:vAlign w:val="bottom"/>
          </w:tcPr>
          <w:p w14:paraId="52DDAE8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-1,8%</w:t>
            </w:r>
          </w:p>
        </w:tc>
        <w:tc>
          <w:tcPr>
            <w:tcW w:w="1701" w:type="dxa"/>
            <w:vAlign w:val="bottom"/>
          </w:tcPr>
          <w:p w14:paraId="1D7E696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-10,2%</w:t>
            </w:r>
          </w:p>
        </w:tc>
      </w:tr>
      <w:tr w:rsidR="000B0E98" w14:paraId="0AEB1654"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01E8F038"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43" w:type="dxa"/>
            <w:vAlign w:val="bottom"/>
          </w:tcPr>
          <w:p w14:paraId="60544964"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Joan de Vilatorrada</w:t>
            </w:r>
          </w:p>
        </w:tc>
        <w:tc>
          <w:tcPr>
            <w:tcW w:w="1985" w:type="dxa"/>
            <w:vAlign w:val="bottom"/>
          </w:tcPr>
          <w:p w14:paraId="1C907240"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1.542 € </w:t>
            </w:r>
          </w:p>
        </w:tc>
        <w:tc>
          <w:tcPr>
            <w:tcW w:w="1701" w:type="dxa"/>
            <w:vAlign w:val="bottom"/>
          </w:tcPr>
          <w:p w14:paraId="6C7BC17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1701" w:type="dxa"/>
            <w:vAlign w:val="bottom"/>
          </w:tcPr>
          <w:p w14:paraId="62B9BF4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-9,8%</w:t>
            </w:r>
          </w:p>
        </w:tc>
      </w:tr>
      <w:tr w:rsidR="000B0E98" w14:paraId="13FB473D" w14:textId="77777777" w:rsidTr="000B0E9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77C455B3"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1843" w:type="dxa"/>
            <w:vAlign w:val="bottom"/>
          </w:tcPr>
          <w:p w14:paraId="4218B547"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L'Ampolla</w:t>
            </w:r>
            <w:proofErr w:type="spellEnd"/>
          </w:p>
        </w:tc>
        <w:tc>
          <w:tcPr>
            <w:tcW w:w="1985" w:type="dxa"/>
            <w:vAlign w:val="bottom"/>
          </w:tcPr>
          <w:p w14:paraId="48EF4B5F"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1.655 € </w:t>
            </w:r>
          </w:p>
        </w:tc>
        <w:tc>
          <w:tcPr>
            <w:tcW w:w="1701" w:type="dxa"/>
            <w:vAlign w:val="bottom"/>
          </w:tcPr>
          <w:p w14:paraId="1F2B488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1701" w:type="dxa"/>
            <w:vAlign w:val="bottom"/>
          </w:tcPr>
          <w:p w14:paraId="5A8AA57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-9,4%</w:t>
            </w:r>
          </w:p>
        </w:tc>
      </w:tr>
      <w:tr w:rsidR="000B0E98" w14:paraId="648BE298"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9E8A3B0"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43" w:type="dxa"/>
            <w:vAlign w:val="bottom"/>
          </w:tcPr>
          <w:p w14:paraId="5CDC5713"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Vic</w:t>
            </w:r>
          </w:p>
        </w:tc>
        <w:tc>
          <w:tcPr>
            <w:tcW w:w="1985" w:type="dxa"/>
            <w:vAlign w:val="bottom"/>
          </w:tcPr>
          <w:p w14:paraId="0C056054"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2.210 € </w:t>
            </w:r>
          </w:p>
        </w:tc>
        <w:tc>
          <w:tcPr>
            <w:tcW w:w="1701" w:type="dxa"/>
            <w:vAlign w:val="bottom"/>
          </w:tcPr>
          <w:p w14:paraId="454D239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-2,9%</w:t>
            </w:r>
          </w:p>
        </w:tc>
        <w:tc>
          <w:tcPr>
            <w:tcW w:w="1701" w:type="dxa"/>
            <w:vAlign w:val="bottom"/>
          </w:tcPr>
          <w:p w14:paraId="3B5C71F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-9,2%</w:t>
            </w:r>
          </w:p>
        </w:tc>
      </w:tr>
      <w:tr w:rsidR="000B0E98" w14:paraId="6376306D" w14:textId="77777777" w:rsidTr="000B0E9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580DC53"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843" w:type="dxa"/>
            <w:vAlign w:val="bottom"/>
          </w:tcPr>
          <w:p w14:paraId="1B9146B4"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Colindres</w:t>
            </w:r>
          </w:p>
        </w:tc>
        <w:tc>
          <w:tcPr>
            <w:tcW w:w="1985" w:type="dxa"/>
            <w:vAlign w:val="bottom"/>
          </w:tcPr>
          <w:p w14:paraId="2F52261B"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1.633 € </w:t>
            </w:r>
          </w:p>
        </w:tc>
        <w:tc>
          <w:tcPr>
            <w:tcW w:w="1701" w:type="dxa"/>
            <w:vAlign w:val="bottom"/>
          </w:tcPr>
          <w:p w14:paraId="7D8CB4E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701" w:type="dxa"/>
            <w:vAlign w:val="bottom"/>
          </w:tcPr>
          <w:p w14:paraId="1A0596C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-8,5%</w:t>
            </w:r>
          </w:p>
        </w:tc>
      </w:tr>
      <w:tr w:rsidR="000B0E98" w14:paraId="4314B269"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482CA129"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1843" w:type="dxa"/>
            <w:vAlign w:val="bottom"/>
          </w:tcPr>
          <w:p w14:paraId="732F7A62"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Poio</w:t>
            </w:r>
          </w:p>
        </w:tc>
        <w:tc>
          <w:tcPr>
            <w:tcW w:w="1985" w:type="dxa"/>
            <w:vAlign w:val="bottom"/>
          </w:tcPr>
          <w:p w14:paraId="7F76EF4B"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1.800 € </w:t>
            </w:r>
          </w:p>
        </w:tc>
        <w:tc>
          <w:tcPr>
            <w:tcW w:w="1701" w:type="dxa"/>
            <w:vAlign w:val="bottom"/>
          </w:tcPr>
          <w:p w14:paraId="10C70D7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1701" w:type="dxa"/>
            <w:vAlign w:val="bottom"/>
          </w:tcPr>
          <w:p w14:paraId="3F5BE2B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-8,5%</w:t>
            </w:r>
          </w:p>
        </w:tc>
      </w:tr>
      <w:tr w:rsidR="000B0E98" w14:paraId="00EA53A7" w14:textId="77777777" w:rsidTr="000B0E9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0C0D47A1"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843" w:type="dxa"/>
            <w:vAlign w:val="bottom"/>
          </w:tcPr>
          <w:p w14:paraId="7481AB06"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Grado</w:t>
            </w:r>
          </w:p>
        </w:tc>
        <w:tc>
          <w:tcPr>
            <w:tcW w:w="1985" w:type="dxa"/>
            <w:vAlign w:val="bottom"/>
          </w:tcPr>
          <w:p w14:paraId="2D8B0695"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963 € </w:t>
            </w:r>
          </w:p>
        </w:tc>
        <w:tc>
          <w:tcPr>
            <w:tcW w:w="1701" w:type="dxa"/>
            <w:vAlign w:val="bottom"/>
          </w:tcPr>
          <w:p w14:paraId="4988504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1701" w:type="dxa"/>
            <w:vAlign w:val="bottom"/>
          </w:tcPr>
          <w:p w14:paraId="0D7C9EF2"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-8,4%</w:t>
            </w:r>
          </w:p>
        </w:tc>
      </w:tr>
      <w:tr w:rsidR="000B0E98" w14:paraId="5BA381B2"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3897E7D0"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1843" w:type="dxa"/>
            <w:vAlign w:val="bottom"/>
          </w:tcPr>
          <w:p w14:paraId="36A4EE9B"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Betanzos</w:t>
            </w:r>
          </w:p>
        </w:tc>
        <w:tc>
          <w:tcPr>
            <w:tcW w:w="1985" w:type="dxa"/>
            <w:vAlign w:val="bottom"/>
          </w:tcPr>
          <w:p w14:paraId="70627FA8"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1.216 € </w:t>
            </w:r>
          </w:p>
        </w:tc>
        <w:tc>
          <w:tcPr>
            <w:tcW w:w="1701" w:type="dxa"/>
            <w:vAlign w:val="bottom"/>
          </w:tcPr>
          <w:p w14:paraId="0DC8379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-3,2%</w:t>
            </w:r>
          </w:p>
        </w:tc>
        <w:tc>
          <w:tcPr>
            <w:tcW w:w="1701" w:type="dxa"/>
            <w:vAlign w:val="bottom"/>
          </w:tcPr>
          <w:p w14:paraId="55092A2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-8,0%</w:t>
            </w:r>
          </w:p>
        </w:tc>
      </w:tr>
    </w:tbl>
    <w:p w14:paraId="2AB36DD8" w14:textId="77777777" w:rsidR="000B0E98" w:rsidRDefault="00000000">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Municipios con mayor precio </w:t>
      </w:r>
    </w:p>
    <w:tbl>
      <w:tblPr>
        <w:tblStyle w:val="3"/>
        <w:tblW w:w="893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1984"/>
        <w:gridCol w:w="1985"/>
        <w:gridCol w:w="1701"/>
        <w:gridCol w:w="1701"/>
      </w:tblGrid>
      <w:tr w:rsidR="000B0E98" w14:paraId="3587DB98" w14:textId="77777777" w:rsidTr="000B0E98">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4089CBB0"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984" w:type="dxa"/>
            <w:vAlign w:val="center"/>
          </w:tcPr>
          <w:p w14:paraId="0157FF13" w14:textId="77777777" w:rsidR="000B0E9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vAlign w:val="center"/>
          </w:tcPr>
          <w:p w14:paraId="27E1311A"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2024</w:t>
            </w:r>
          </w:p>
          <w:p w14:paraId="05258AF1"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701" w:type="dxa"/>
            <w:vAlign w:val="center"/>
          </w:tcPr>
          <w:p w14:paraId="0C4FEC06"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711E614E"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B0E98" w14:paraId="245B213A" w14:textId="77777777" w:rsidTr="000B0E9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80027D1"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79044F58"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Eivissa</w:t>
            </w:r>
          </w:p>
        </w:tc>
        <w:tc>
          <w:tcPr>
            <w:tcW w:w="1985" w:type="dxa"/>
            <w:vAlign w:val="bottom"/>
          </w:tcPr>
          <w:p w14:paraId="3564DBA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6.747 €</w:t>
            </w:r>
          </w:p>
        </w:tc>
        <w:tc>
          <w:tcPr>
            <w:tcW w:w="1701" w:type="dxa"/>
            <w:vAlign w:val="bottom"/>
          </w:tcPr>
          <w:p w14:paraId="794C6DA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5,4%</w:t>
            </w:r>
          </w:p>
        </w:tc>
        <w:tc>
          <w:tcPr>
            <w:tcW w:w="1701" w:type="dxa"/>
            <w:vAlign w:val="bottom"/>
          </w:tcPr>
          <w:p w14:paraId="0417E93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18,9%</w:t>
            </w:r>
          </w:p>
        </w:tc>
      </w:tr>
      <w:tr w:rsidR="000B0E98" w14:paraId="23D1E7BA"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1668AA"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1984" w:type="dxa"/>
            <w:vAlign w:val="bottom"/>
          </w:tcPr>
          <w:p w14:paraId="11BA1D40"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985" w:type="dxa"/>
            <w:vAlign w:val="bottom"/>
          </w:tcPr>
          <w:p w14:paraId="2C00CB6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6.058 €</w:t>
            </w:r>
          </w:p>
        </w:tc>
        <w:tc>
          <w:tcPr>
            <w:tcW w:w="1701" w:type="dxa"/>
            <w:vAlign w:val="bottom"/>
          </w:tcPr>
          <w:p w14:paraId="3588469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w:t>
            </w:r>
          </w:p>
        </w:tc>
        <w:tc>
          <w:tcPr>
            <w:tcW w:w="1701" w:type="dxa"/>
            <w:vAlign w:val="bottom"/>
          </w:tcPr>
          <w:p w14:paraId="4809320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7,4%</w:t>
            </w:r>
          </w:p>
        </w:tc>
      </w:tr>
      <w:tr w:rsidR="000B0E98" w14:paraId="46FC3161" w14:textId="77777777" w:rsidTr="000B0E9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B39D97"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1984" w:type="dxa"/>
            <w:vAlign w:val="bottom"/>
          </w:tcPr>
          <w:p w14:paraId="73B18D95"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Zarautz</w:t>
            </w:r>
          </w:p>
        </w:tc>
        <w:tc>
          <w:tcPr>
            <w:tcW w:w="1985" w:type="dxa"/>
            <w:vAlign w:val="bottom"/>
          </w:tcPr>
          <w:p w14:paraId="7D91844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5.948 €</w:t>
            </w:r>
          </w:p>
        </w:tc>
        <w:tc>
          <w:tcPr>
            <w:tcW w:w="1701" w:type="dxa"/>
            <w:vAlign w:val="bottom"/>
          </w:tcPr>
          <w:p w14:paraId="528BF75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-1,3%</w:t>
            </w:r>
          </w:p>
        </w:tc>
        <w:tc>
          <w:tcPr>
            <w:tcW w:w="1701" w:type="dxa"/>
            <w:vAlign w:val="bottom"/>
          </w:tcPr>
          <w:p w14:paraId="5E9CF8A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0B0E98" w14:paraId="60AE0C10"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3FF22B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7DE497F4"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Santa Eulària des </w:t>
            </w:r>
            <w:proofErr w:type="spellStart"/>
            <w:r>
              <w:rPr>
                <w:rFonts w:ascii="Open Sans" w:eastAsia="Open Sans" w:hAnsi="Open Sans" w:cs="Open Sans"/>
                <w:sz w:val="22"/>
                <w:szCs w:val="22"/>
              </w:rPr>
              <w:t>Riu</w:t>
            </w:r>
            <w:proofErr w:type="spellEnd"/>
          </w:p>
        </w:tc>
        <w:tc>
          <w:tcPr>
            <w:tcW w:w="1985" w:type="dxa"/>
            <w:vAlign w:val="bottom"/>
          </w:tcPr>
          <w:p w14:paraId="45A6700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5.740 €</w:t>
            </w:r>
          </w:p>
        </w:tc>
        <w:tc>
          <w:tcPr>
            <w:tcW w:w="1701" w:type="dxa"/>
            <w:vAlign w:val="bottom"/>
          </w:tcPr>
          <w:p w14:paraId="1D2507F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-4,3%</w:t>
            </w:r>
          </w:p>
        </w:tc>
        <w:tc>
          <w:tcPr>
            <w:tcW w:w="1701" w:type="dxa"/>
            <w:vAlign w:val="bottom"/>
          </w:tcPr>
          <w:p w14:paraId="30AFBB3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-7,4%</w:t>
            </w:r>
          </w:p>
        </w:tc>
      </w:tr>
      <w:tr w:rsidR="000B0E98" w14:paraId="0D22DD92" w14:textId="77777777" w:rsidTr="000B0E9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011AEE9"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984" w:type="dxa"/>
            <w:vAlign w:val="bottom"/>
          </w:tcPr>
          <w:p w14:paraId="116FE61B"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Moraleja</w:t>
            </w:r>
          </w:p>
        </w:tc>
        <w:tc>
          <w:tcPr>
            <w:tcW w:w="1985" w:type="dxa"/>
            <w:vAlign w:val="bottom"/>
          </w:tcPr>
          <w:p w14:paraId="0CDB5BE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5.528 €</w:t>
            </w:r>
          </w:p>
        </w:tc>
        <w:tc>
          <w:tcPr>
            <w:tcW w:w="1701" w:type="dxa"/>
            <w:vAlign w:val="bottom"/>
          </w:tcPr>
          <w:p w14:paraId="566141F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-3,0%</w:t>
            </w:r>
          </w:p>
        </w:tc>
        <w:tc>
          <w:tcPr>
            <w:tcW w:w="1701" w:type="dxa"/>
            <w:vAlign w:val="bottom"/>
          </w:tcPr>
          <w:p w14:paraId="6C2CC8D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1,0%</w:t>
            </w:r>
          </w:p>
        </w:tc>
      </w:tr>
      <w:tr w:rsidR="000B0E98" w14:paraId="4DCC6CEE"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D9AD354"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07A9F438"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Calvià</w:t>
            </w:r>
          </w:p>
        </w:tc>
        <w:tc>
          <w:tcPr>
            <w:tcW w:w="1985" w:type="dxa"/>
            <w:vAlign w:val="bottom"/>
          </w:tcPr>
          <w:p w14:paraId="1E0AAC6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5.458 €</w:t>
            </w:r>
          </w:p>
        </w:tc>
        <w:tc>
          <w:tcPr>
            <w:tcW w:w="1701" w:type="dxa"/>
            <w:vAlign w:val="bottom"/>
          </w:tcPr>
          <w:p w14:paraId="1A84139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1701" w:type="dxa"/>
            <w:vAlign w:val="bottom"/>
          </w:tcPr>
          <w:p w14:paraId="57F0D94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9,2%</w:t>
            </w:r>
          </w:p>
        </w:tc>
      </w:tr>
      <w:tr w:rsidR="000B0E98" w14:paraId="0F883049" w14:textId="77777777" w:rsidTr="000B0E9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67BD522"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47AC37B1"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Andratx</w:t>
            </w:r>
          </w:p>
        </w:tc>
        <w:tc>
          <w:tcPr>
            <w:tcW w:w="1985" w:type="dxa"/>
            <w:vAlign w:val="bottom"/>
          </w:tcPr>
          <w:p w14:paraId="34E15FF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5.354 €</w:t>
            </w:r>
          </w:p>
        </w:tc>
        <w:tc>
          <w:tcPr>
            <w:tcW w:w="1701" w:type="dxa"/>
            <w:vAlign w:val="bottom"/>
          </w:tcPr>
          <w:p w14:paraId="452A3D7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701" w:type="dxa"/>
          </w:tcPr>
          <w:p w14:paraId="0085292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w:t>
            </w:r>
          </w:p>
        </w:tc>
      </w:tr>
      <w:tr w:rsidR="000B0E98" w14:paraId="4B936B23"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6B10AB4"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00F48ADA"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Sant Josep de </w:t>
            </w:r>
            <w:proofErr w:type="spellStart"/>
            <w:r>
              <w:rPr>
                <w:rFonts w:ascii="Open Sans" w:eastAsia="Open Sans" w:hAnsi="Open Sans" w:cs="Open Sans"/>
                <w:sz w:val="22"/>
                <w:szCs w:val="22"/>
              </w:rPr>
              <w:t>sa</w:t>
            </w:r>
            <w:proofErr w:type="spellEnd"/>
            <w:r>
              <w:rPr>
                <w:rFonts w:ascii="Open Sans" w:eastAsia="Open Sans" w:hAnsi="Open Sans" w:cs="Open Sans"/>
                <w:sz w:val="22"/>
                <w:szCs w:val="22"/>
              </w:rPr>
              <w:t xml:space="preserve"> Talaia</w:t>
            </w:r>
          </w:p>
        </w:tc>
        <w:tc>
          <w:tcPr>
            <w:tcW w:w="1985" w:type="dxa"/>
            <w:vAlign w:val="bottom"/>
          </w:tcPr>
          <w:p w14:paraId="407F74D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5.275 €</w:t>
            </w:r>
          </w:p>
        </w:tc>
        <w:tc>
          <w:tcPr>
            <w:tcW w:w="1701" w:type="dxa"/>
            <w:vAlign w:val="bottom"/>
          </w:tcPr>
          <w:p w14:paraId="74B1EC9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01" w:type="dxa"/>
          </w:tcPr>
          <w:p w14:paraId="68CE40A8"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w:t>
            </w:r>
          </w:p>
        </w:tc>
      </w:tr>
      <w:tr w:rsidR="000B0E98" w14:paraId="732CBEFB" w14:textId="77777777" w:rsidTr="000B0E9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181EC16"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984" w:type="dxa"/>
            <w:vAlign w:val="bottom"/>
          </w:tcPr>
          <w:p w14:paraId="204B080C" w14:textId="77777777" w:rsidR="000B0E9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Sitges</w:t>
            </w:r>
          </w:p>
        </w:tc>
        <w:tc>
          <w:tcPr>
            <w:tcW w:w="1985" w:type="dxa"/>
            <w:vAlign w:val="bottom"/>
          </w:tcPr>
          <w:p w14:paraId="7980782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5.096 €</w:t>
            </w:r>
          </w:p>
        </w:tc>
        <w:tc>
          <w:tcPr>
            <w:tcW w:w="1701" w:type="dxa"/>
            <w:vAlign w:val="bottom"/>
          </w:tcPr>
          <w:p w14:paraId="508EF23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-1,8%</w:t>
            </w:r>
          </w:p>
        </w:tc>
        <w:tc>
          <w:tcPr>
            <w:tcW w:w="1701" w:type="dxa"/>
            <w:vAlign w:val="bottom"/>
          </w:tcPr>
          <w:p w14:paraId="16EF3E1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4,9%</w:t>
            </w:r>
          </w:p>
        </w:tc>
      </w:tr>
      <w:tr w:rsidR="000B0E98" w14:paraId="4BF70F53" w14:textId="77777777" w:rsidTr="000B0E9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6A794DA"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984" w:type="dxa"/>
            <w:vAlign w:val="bottom"/>
          </w:tcPr>
          <w:p w14:paraId="360637CD" w14:textId="77777777" w:rsidR="000B0E9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Cugat del Vallès</w:t>
            </w:r>
          </w:p>
        </w:tc>
        <w:tc>
          <w:tcPr>
            <w:tcW w:w="1985" w:type="dxa"/>
            <w:vAlign w:val="bottom"/>
          </w:tcPr>
          <w:p w14:paraId="27978DB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4.971 €</w:t>
            </w:r>
          </w:p>
        </w:tc>
        <w:tc>
          <w:tcPr>
            <w:tcW w:w="1701" w:type="dxa"/>
            <w:vAlign w:val="bottom"/>
          </w:tcPr>
          <w:p w14:paraId="7C23671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701" w:type="dxa"/>
            <w:vAlign w:val="bottom"/>
          </w:tcPr>
          <w:p w14:paraId="7536A223"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8,0%</w:t>
            </w:r>
          </w:p>
        </w:tc>
      </w:tr>
    </w:tbl>
    <w:p w14:paraId="16D2A6EB" w14:textId="77777777" w:rsidR="00C82D4B" w:rsidRDefault="00C82D4B">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60F63D81" w14:textId="77777777" w:rsidR="00C82D4B" w:rsidRDefault="00C82D4B">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2EA08852" w14:textId="77777777" w:rsidR="00C82D4B" w:rsidRDefault="00C82D4B">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42C9A0C1" w14:textId="77777777" w:rsidR="00C82D4B" w:rsidRDefault="00C82D4B">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6013D1AC" w14:textId="5F9A700E" w:rsidR="000B0E98"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Distritos de Madrid</w:t>
      </w:r>
    </w:p>
    <w:p w14:paraId="55477320" w14:textId="31187C5A" w:rsidR="00C82D4B" w:rsidRPr="00C82D4B" w:rsidRDefault="00000000">
      <w:pPr>
        <w:spacing w:line="276" w:lineRule="auto"/>
        <w:jc w:val="both"/>
        <w:rPr>
          <w:rFonts w:ascii="Open Sans" w:eastAsia="Open Sans" w:hAnsi="Open Sans" w:cs="Open Sans"/>
          <w:b/>
          <w:bCs/>
          <w:color w:val="000000"/>
        </w:rPr>
      </w:pPr>
      <w:r>
        <w:rPr>
          <w:rFonts w:ascii="Open Sans" w:eastAsia="Open Sans" w:hAnsi="Open Sans" w:cs="Open Sans"/>
          <w:color w:val="000000"/>
        </w:rPr>
        <w:t xml:space="preserve">El precio medio de la vivienda de segunda mano sube en los 21 distritos con variación interanual analizados por </w:t>
      </w:r>
      <w:hyperlink r:id="rId13">
        <w:r>
          <w:rPr>
            <w:rFonts w:ascii="Open Sans" w:eastAsia="Open Sans" w:hAnsi="Open Sans" w:cs="Open Sans"/>
            <w:color w:val="0000FF"/>
            <w:u w:val="single"/>
          </w:rPr>
          <w:t>Fotocasa</w:t>
        </w:r>
      </w:hyperlink>
      <w:r>
        <w:rPr>
          <w:rFonts w:ascii="Open Sans" w:eastAsia="Open Sans" w:hAnsi="Open Sans" w:cs="Open Sans"/>
          <w:color w:val="4472C4"/>
        </w:rPr>
        <w:t xml:space="preserve">. </w:t>
      </w:r>
      <w:r w:rsidRPr="00C82D4B">
        <w:rPr>
          <w:rFonts w:ascii="Open Sans" w:eastAsia="Open Sans" w:hAnsi="Open Sans" w:cs="Open Sans"/>
          <w:b/>
          <w:bCs/>
          <w:color w:val="000000"/>
        </w:rPr>
        <w:t>Los cinco incrementos de la vivienda más acusados corresponden a los distritos de Centro (20,1%), Barrio de Salamanca (17,7%), Moncloa - Aravaca (12,8%), Tetuán (11,9%) y Moratalaz (11,6%).</w:t>
      </w:r>
    </w:p>
    <w:p w14:paraId="3347A021" w14:textId="77777777" w:rsidR="000B0E98" w:rsidRDefault="000B0E98">
      <w:pPr>
        <w:spacing w:line="276" w:lineRule="auto"/>
        <w:jc w:val="both"/>
        <w:rPr>
          <w:rFonts w:ascii="Open Sans" w:eastAsia="Open Sans" w:hAnsi="Open Sans" w:cs="Open Sans"/>
          <w:color w:val="000000"/>
        </w:rPr>
      </w:pPr>
    </w:p>
    <w:p w14:paraId="5DD6D499" w14:textId="77777777" w:rsidR="000B0E98"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enero, vemos que los cuatro distritos más caros son Barrio de Salamanca con 8.636 euros/m</w:t>
      </w:r>
      <w:r>
        <w:rPr>
          <w:rFonts w:ascii="Open Sans" w:eastAsia="Open Sans" w:hAnsi="Open Sans" w:cs="Open Sans"/>
          <w:color w:val="000000"/>
          <w:vertAlign w:val="superscript"/>
        </w:rPr>
        <w:t>2</w:t>
      </w:r>
      <w:r>
        <w:rPr>
          <w:rFonts w:ascii="Open Sans" w:eastAsia="Open Sans" w:hAnsi="Open Sans" w:cs="Open Sans"/>
          <w:color w:val="000000"/>
        </w:rPr>
        <w:t>, Centro con 6.854 euros/m</w:t>
      </w:r>
      <w:r>
        <w:rPr>
          <w:rFonts w:ascii="Open Sans" w:eastAsia="Open Sans" w:hAnsi="Open Sans" w:cs="Open Sans"/>
          <w:color w:val="000000"/>
          <w:vertAlign w:val="superscript"/>
        </w:rPr>
        <w:t>2</w:t>
      </w:r>
      <w:r>
        <w:rPr>
          <w:rFonts w:ascii="Open Sans" w:eastAsia="Open Sans" w:hAnsi="Open Sans" w:cs="Open Sans"/>
          <w:color w:val="000000"/>
        </w:rPr>
        <w:t>, Chamberí con 6.673 euros/m</w:t>
      </w:r>
      <w:r>
        <w:rPr>
          <w:rFonts w:ascii="Open Sans" w:eastAsia="Open Sans" w:hAnsi="Open Sans" w:cs="Open Sans"/>
          <w:color w:val="000000"/>
          <w:vertAlign w:val="superscript"/>
        </w:rPr>
        <w:t>2</w:t>
      </w:r>
      <w:r>
        <w:rPr>
          <w:rFonts w:ascii="Open Sans" w:eastAsia="Open Sans" w:hAnsi="Open Sans" w:cs="Open Sans"/>
          <w:color w:val="000000"/>
        </w:rPr>
        <w:t xml:space="preserve"> y Chamartín con 6.071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 Villaverde con 2.032 euros/m</w:t>
      </w:r>
      <w:r>
        <w:rPr>
          <w:rFonts w:ascii="Open Sans" w:eastAsia="Open Sans" w:hAnsi="Open Sans" w:cs="Open Sans"/>
          <w:color w:val="000000"/>
          <w:vertAlign w:val="superscript"/>
        </w:rPr>
        <w:t>2</w:t>
      </w:r>
      <w:r>
        <w:rPr>
          <w:rFonts w:ascii="Open Sans" w:eastAsia="Open Sans" w:hAnsi="Open Sans" w:cs="Open Sans"/>
          <w:color w:val="000000"/>
        </w:rPr>
        <w:t>, Usera con 2.446 euros/m</w:t>
      </w:r>
      <w:r>
        <w:rPr>
          <w:rFonts w:ascii="Open Sans" w:eastAsia="Open Sans" w:hAnsi="Open Sans" w:cs="Open Sans"/>
          <w:color w:val="000000"/>
          <w:vertAlign w:val="superscript"/>
        </w:rPr>
        <w:t>2</w:t>
      </w:r>
      <w:r>
        <w:rPr>
          <w:rFonts w:ascii="Open Sans" w:eastAsia="Open Sans" w:hAnsi="Open Sans" w:cs="Open Sans"/>
          <w:color w:val="000000"/>
        </w:rPr>
        <w:t xml:space="preserve"> y Puente de Vallecas con 2.032 euros/m</w:t>
      </w:r>
      <w:r>
        <w:rPr>
          <w:rFonts w:ascii="Open Sans" w:eastAsia="Open Sans" w:hAnsi="Open Sans" w:cs="Open Sans"/>
          <w:color w:val="000000"/>
          <w:vertAlign w:val="superscript"/>
        </w:rPr>
        <w:t>2</w:t>
      </w:r>
      <w:r>
        <w:rPr>
          <w:rFonts w:ascii="Open Sans" w:eastAsia="Open Sans" w:hAnsi="Open Sans" w:cs="Open Sans"/>
          <w:color w:val="000000"/>
        </w:rPr>
        <w:t>.</w:t>
      </w:r>
    </w:p>
    <w:p w14:paraId="15A6DDC8" w14:textId="77777777" w:rsidR="000B0E98" w:rsidRDefault="000B0E98">
      <w:pPr>
        <w:spacing w:line="276" w:lineRule="auto"/>
        <w:jc w:val="both"/>
        <w:rPr>
          <w:rFonts w:ascii="Open Sans" w:eastAsia="Open Sans" w:hAnsi="Open Sans" w:cs="Open Sans"/>
          <w:color w:val="000000"/>
        </w:rPr>
      </w:pPr>
    </w:p>
    <w:tbl>
      <w:tblPr>
        <w:tblStyle w:val="2"/>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2268"/>
        <w:gridCol w:w="1985"/>
        <w:gridCol w:w="1963"/>
      </w:tblGrid>
      <w:tr w:rsidR="000B0E98" w14:paraId="585C8BA2" w14:textId="77777777" w:rsidTr="000B0E98">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FFFFFF"/>
            </w:tcBorders>
            <w:vAlign w:val="center"/>
          </w:tcPr>
          <w:p w14:paraId="3D970039"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268" w:type="dxa"/>
            <w:tcBorders>
              <w:bottom w:val="single" w:sz="4" w:space="0" w:color="FFFFFF"/>
            </w:tcBorders>
            <w:vAlign w:val="center"/>
          </w:tcPr>
          <w:p w14:paraId="64F057E2"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2024</w:t>
            </w:r>
          </w:p>
          <w:p w14:paraId="73685662"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85" w:type="dxa"/>
            <w:tcBorders>
              <w:bottom w:val="single" w:sz="4" w:space="0" w:color="FFFFFF"/>
            </w:tcBorders>
            <w:vAlign w:val="center"/>
          </w:tcPr>
          <w:p w14:paraId="04C6F347"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63" w:type="dxa"/>
            <w:tcBorders>
              <w:bottom w:val="single" w:sz="4" w:space="0" w:color="FFFFFF"/>
            </w:tcBorders>
            <w:vAlign w:val="center"/>
          </w:tcPr>
          <w:p w14:paraId="5F6FA011"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B0E98" w14:paraId="6E1C90D7"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7165AF6C"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tcBorders>
              <w:top w:val="single" w:sz="4" w:space="0" w:color="FFFFFF"/>
              <w:left w:val="single" w:sz="4" w:space="0" w:color="FFFFFF"/>
              <w:bottom w:val="single" w:sz="4" w:space="0" w:color="FFFFFF"/>
              <w:right w:val="single" w:sz="4" w:space="0" w:color="FFFFFF"/>
            </w:tcBorders>
            <w:vAlign w:val="bottom"/>
          </w:tcPr>
          <w:p w14:paraId="6507BFD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6.854 €</w:t>
            </w:r>
          </w:p>
        </w:tc>
        <w:tc>
          <w:tcPr>
            <w:tcW w:w="1985" w:type="dxa"/>
            <w:tcBorders>
              <w:top w:val="single" w:sz="4" w:space="0" w:color="FFFFFF"/>
              <w:left w:val="single" w:sz="4" w:space="0" w:color="FFFFFF"/>
              <w:bottom w:val="single" w:sz="4" w:space="0" w:color="FFFFFF"/>
              <w:right w:val="single" w:sz="4" w:space="0" w:color="FFFFFF"/>
            </w:tcBorders>
            <w:vAlign w:val="bottom"/>
          </w:tcPr>
          <w:p w14:paraId="755678E2"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11686CA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20,1%</w:t>
            </w:r>
          </w:p>
        </w:tc>
      </w:tr>
      <w:tr w:rsidR="000B0E98" w14:paraId="6F9C4827"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58ED69F6"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tcBorders>
              <w:top w:val="single" w:sz="4" w:space="0" w:color="FFFFFF"/>
              <w:left w:val="single" w:sz="4" w:space="0" w:color="FFFFFF"/>
              <w:bottom w:val="single" w:sz="4" w:space="0" w:color="FFFFFF"/>
              <w:right w:val="single" w:sz="4" w:space="0" w:color="FFFFFF"/>
            </w:tcBorders>
            <w:vAlign w:val="bottom"/>
          </w:tcPr>
          <w:p w14:paraId="2706E4E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8.336 €</w:t>
            </w:r>
          </w:p>
        </w:tc>
        <w:tc>
          <w:tcPr>
            <w:tcW w:w="1985" w:type="dxa"/>
            <w:tcBorders>
              <w:top w:val="single" w:sz="4" w:space="0" w:color="FFFFFF"/>
              <w:left w:val="single" w:sz="4" w:space="0" w:color="FFFFFF"/>
              <w:bottom w:val="single" w:sz="4" w:space="0" w:color="FFFFFF"/>
              <w:right w:val="single" w:sz="4" w:space="0" w:color="FFFFFF"/>
            </w:tcBorders>
            <w:vAlign w:val="bottom"/>
          </w:tcPr>
          <w:p w14:paraId="4E881FE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2,8%</w:t>
            </w:r>
          </w:p>
        </w:tc>
        <w:tc>
          <w:tcPr>
            <w:tcW w:w="1963" w:type="dxa"/>
            <w:tcBorders>
              <w:top w:val="single" w:sz="4" w:space="0" w:color="FFFFFF"/>
              <w:left w:val="single" w:sz="4" w:space="0" w:color="FFFFFF"/>
              <w:bottom w:val="single" w:sz="4" w:space="0" w:color="FFFFFF"/>
              <w:right w:val="single" w:sz="4" w:space="0" w:color="FFFFFF"/>
            </w:tcBorders>
            <w:vAlign w:val="bottom"/>
          </w:tcPr>
          <w:p w14:paraId="573D8ECE"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17,7%</w:t>
            </w:r>
          </w:p>
        </w:tc>
      </w:tr>
      <w:tr w:rsidR="000B0E98" w14:paraId="49FF2A53"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5988FFC5"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tcBorders>
              <w:top w:val="single" w:sz="4" w:space="0" w:color="FFFFFF"/>
              <w:left w:val="single" w:sz="4" w:space="0" w:color="FFFFFF"/>
              <w:bottom w:val="single" w:sz="4" w:space="0" w:color="FFFFFF"/>
              <w:right w:val="single" w:sz="4" w:space="0" w:color="FFFFFF"/>
            </w:tcBorders>
            <w:vAlign w:val="bottom"/>
          </w:tcPr>
          <w:p w14:paraId="77C90F4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5.245 €</w:t>
            </w:r>
          </w:p>
        </w:tc>
        <w:tc>
          <w:tcPr>
            <w:tcW w:w="1985" w:type="dxa"/>
            <w:tcBorders>
              <w:top w:val="single" w:sz="4" w:space="0" w:color="FFFFFF"/>
              <w:left w:val="single" w:sz="4" w:space="0" w:color="FFFFFF"/>
              <w:bottom w:val="single" w:sz="4" w:space="0" w:color="FFFFFF"/>
              <w:right w:val="single" w:sz="4" w:space="0" w:color="FFFFFF"/>
            </w:tcBorders>
            <w:vAlign w:val="bottom"/>
          </w:tcPr>
          <w:p w14:paraId="775C8B3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4,8%</w:t>
            </w:r>
          </w:p>
        </w:tc>
        <w:tc>
          <w:tcPr>
            <w:tcW w:w="1963" w:type="dxa"/>
            <w:tcBorders>
              <w:top w:val="single" w:sz="4" w:space="0" w:color="FFFFFF"/>
              <w:left w:val="single" w:sz="4" w:space="0" w:color="FFFFFF"/>
              <w:bottom w:val="single" w:sz="4" w:space="0" w:color="FFFFFF"/>
              <w:right w:val="single" w:sz="4" w:space="0" w:color="FFFFFF"/>
            </w:tcBorders>
            <w:vAlign w:val="bottom"/>
          </w:tcPr>
          <w:p w14:paraId="34555DE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12,8%</w:t>
            </w:r>
          </w:p>
        </w:tc>
      </w:tr>
      <w:tr w:rsidR="000B0E98" w14:paraId="689F3045"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5D0784B9"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tcBorders>
              <w:top w:val="single" w:sz="4" w:space="0" w:color="FFFFFF"/>
              <w:left w:val="single" w:sz="4" w:space="0" w:color="FFFFFF"/>
              <w:bottom w:val="single" w:sz="4" w:space="0" w:color="FFFFFF"/>
              <w:right w:val="single" w:sz="4" w:space="0" w:color="FFFFFF"/>
            </w:tcBorders>
            <w:vAlign w:val="bottom"/>
          </w:tcPr>
          <w:p w14:paraId="047B8D7E"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4.865 €</w:t>
            </w:r>
          </w:p>
        </w:tc>
        <w:tc>
          <w:tcPr>
            <w:tcW w:w="1985" w:type="dxa"/>
            <w:tcBorders>
              <w:top w:val="single" w:sz="4" w:space="0" w:color="FFFFFF"/>
              <w:left w:val="single" w:sz="4" w:space="0" w:color="FFFFFF"/>
              <w:bottom w:val="single" w:sz="4" w:space="0" w:color="FFFFFF"/>
              <w:right w:val="single" w:sz="4" w:space="0" w:color="FFFFFF"/>
            </w:tcBorders>
            <w:vAlign w:val="bottom"/>
          </w:tcPr>
          <w:p w14:paraId="12EFDDE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-0,7%</w:t>
            </w:r>
          </w:p>
        </w:tc>
        <w:tc>
          <w:tcPr>
            <w:tcW w:w="1963" w:type="dxa"/>
            <w:tcBorders>
              <w:top w:val="single" w:sz="4" w:space="0" w:color="FFFFFF"/>
              <w:left w:val="single" w:sz="4" w:space="0" w:color="FFFFFF"/>
              <w:bottom w:val="single" w:sz="4" w:space="0" w:color="FFFFFF"/>
              <w:right w:val="single" w:sz="4" w:space="0" w:color="FFFFFF"/>
            </w:tcBorders>
            <w:vAlign w:val="bottom"/>
          </w:tcPr>
          <w:p w14:paraId="172103E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11,9%</w:t>
            </w:r>
          </w:p>
        </w:tc>
      </w:tr>
      <w:tr w:rsidR="000B0E98" w14:paraId="100E0596"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3E0BBD3B"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Moratalaz</w:t>
            </w:r>
          </w:p>
        </w:tc>
        <w:tc>
          <w:tcPr>
            <w:tcW w:w="2268" w:type="dxa"/>
            <w:tcBorders>
              <w:top w:val="single" w:sz="4" w:space="0" w:color="FFFFFF"/>
              <w:left w:val="single" w:sz="4" w:space="0" w:color="FFFFFF"/>
              <w:bottom w:val="single" w:sz="4" w:space="0" w:color="FFFFFF"/>
              <w:right w:val="single" w:sz="4" w:space="0" w:color="FFFFFF"/>
            </w:tcBorders>
            <w:vAlign w:val="bottom"/>
          </w:tcPr>
          <w:p w14:paraId="6367451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2.962 €</w:t>
            </w:r>
          </w:p>
        </w:tc>
        <w:tc>
          <w:tcPr>
            <w:tcW w:w="1985" w:type="dxa"/>
            <w:tcBorders>
              <w:top w:val="single" w:sz="4" w:space="0" w:color="FFFFFF"/>
              <w:left w:val="single" w:sz="4" w:space="0" w:color="FFFFFF"/>
              <w:bottom w:val="single" w:sz="4" w:space="0" w:color="FFFFFF"/>
              <w:right w:val="single" w:sz="4" w:space="0" w:color="FFFFFF"/>
            </w:tcBorders>
            <w:vAlign w:val="bottom"/>
          </w:tcPr>
          <w:p w14:paraId="0BD185B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00030CC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11,6%</w:t>
            </w:r>
          </w:p>
        </w:tc>
      </w:tr>
      <w:tr w:rsidR="000B0E98" w14:paraId="345ACF29"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04F9166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62DE071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2.761 €</w:t>
            </w:r>
          </w:p>
        </w:tc>
        <w:tc>
          <w:tcPr>
            <w:tcW w:w="1985" w:type="dxa"/>
            <w:tcBorders>
              <w:top w:val="single" w:sz="4" w:space="0" w:color="FFFFFF"/>
              <w:left w:val="single" w:sz="4" w:space="0" w:color="FFFFFF"/>
              <w:bottom w:val="single" w:sz="4" w:space="0" w:color="FFFFFF"/>
              <w:right w:val="single" w:sz="4" w:space="0" w:color="FFFFFF"/>
            </w:tcBorders>
            <w:vAlign w:val="bottom"/>
          </w:tcPr>
          <w:p w14:paraId="7AC3A58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w:t>
            </w:r>
          </w:p>
        </w:tc>
        <w:tc>
          <w:tcPr>
            <w:tcW w:w="1963" w:type="dxa"/>
            <w:tcBorders>
              <w:top w:val="single" w:sz="4" w:space="0" w:color="FFFFFF"/>
              <w:left w:val="single" w:sz="4" w:space="0" w:color="FFFFFF"/>
              <w:bottom w:val="single" w:sz="4" w:space="0" w:color="FFFFFF"/>
              <w:right w:val="single" w:sz="4" w:space="0" w:color="FFFFFF"/>
            </w:tcBorders>
            <w:vAlign w:val="bottom"/>
          </w:tcPr>
          <w:p w14:paraId="3EB156C6"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9,9%</w:t>
            </w:r>
          </w:p>
        </w:tc>
      </w:tr>
      <w:tr w:rsidR="000B0E98" w14:paraId="0EC5982A"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1ACA1A95"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tcBorders>
              <w:top w:val="single" w:sz="4" w:space="0" w:color="FFFFFF"/>
              <w:left w:val="single" w:sz="4" w:space="0" w:color="FFFFFF"/>
              <w:bottom w:val="single" w:sz="4" w:space="0" w:color="FFFFFF"/>
              <w:right w:val="single" w:sz="4" w:space="0" w:color="FFFFFF"/>
            </w:tcBorders>
            <w:vAlign w:val="bottom"/>
          </w:tcPr>
          <w:p w14:paraId="566A92E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2.446 €</w:t>
            </w:r>
          </w:p>
        </w:tc>
        <w:tc>
          <w:tcPr>
            <w:tcW w:w="1985" w:type="dxa"/>
            <w:tcBorders>
              <w:top w:val="single" w:sz="4" w:space="0" w:color="FFFFFF"/>
              <w:left w:val="single" w:sz="4" w:space="0" w:color="FFFFFF"/>
              <w:bottom w:val="single" w:sz="4" w:space="0" w:color="FFFFFF"/>
              <w:right w:val="single" w:sz="4" w:space="0" w:color="FFFFFF"/>
            </w:tcBorders>
            <w:vAlign w:val="bottom"/>
          </w:tcPr>
          <w:p w14:paraId="5193954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4,7%</w:t>
            </w:r>
          </w:p>
        </w:tc>
        <w:tc>
          <w:tcPr>
            <w:tcW w:w="1963" w:type="dxa"/>
            <w:tcBorders>
              <w:top w:val="single" w:sz="4" w:space="0" w:color="FFFFFF"/>
              <w:left w:val="single" w:sz="4" w:space="0" w:color="FFFFFF"/>
              <w:bottom w:val="single" w:sz="4" w:space="0" w:color="FFFFFF"/>
              <w:right w:val="single" w:sz="4" w:space="0" w:color="FFFFFF"/>
            </w:tcBorders>
            <w:vAlign w:val="bottom"/>
          </w:tcPr>
          <w:p w14:paraId="25D2459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8,7%</w:t>
            </w:r>
          </w:p>
        </w:tc>
      </w:tr>
      <w:tr w:rsidR="000B0E98" w14:paraId="54266E92"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4D6B4DF6"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tcBorders>
              <w:top w:val="single" w:sz="4" w:space="0" w:color="FFFFFF"/>
              <w:left w:val="single" w:sz="4" w:space="0" w:color="FFFFFF"/>
              <w:bottom w:val="single" w:sz="4" w:space="0" w:color="FFFFFF"/>
              <w:right w:val="single" w:sz="4" w:space="0" w:color="FFFFFF"/>
            </w:tcBorders>
            <w:vAlign w:val="bottom"/>
          </w:tcPr>
          <w:p w14:paraId="289AB3E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6.071 €</w:t>
            </w:r>
          </w:p>
        </w:tc>
        <w:tc>
          <w:tcPr>
            <w:tcW w:w="1985" w:type="dxa"/>
            <w:tcBorders>
              <w:top w:val="single" w:sz="4" w:space="0" w:color="FFFFFF"/>
              <w:left w:val="single" w:sz="4" w:space="0" w:color="FFFFFF"/>
              <w:bottom w:val="single" w:sz="4" w:space="0" w:color="FFFFFF"/>
              <w:right w:val="single" w:sz="4" w:space="0" w:color="FFFFFF"/>
            </w:tcBorders>
            <w:vAlign w:val="bottom"/>
          </w:tcPr>
          <w:p w14:paraId="51F38C97"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w:t>
            </w:r>
          </w:p>
        </w:tc>
        <w:tc>
          <w:tcPr>
            <w:tcW w:w="1963" w:type="dxa"/>
            <w:tcBorders>
              <w:top w:val="single" w:sz="4" w:space="0" w:color="FFFFFF"/>
              <w:left w:val="single" w:sz="4" w:space="0" w:color="FFFFFF"/>
              <w:bottom w:val="single" w:sz="4" w:space="0" w:color="FFFFFF"/>
              <w:right w:val="single" w:sz="4" w:space="0" w:color="FFFFFF"/>
            </w:tcBorders>
            <w:vAlign w:val="bottom"/>
          </w:tcPr>
          <w:p w14:paraId="07654C22"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8,0%</w:t>
            </w:r>
          </w:p>
        </w:tc>
      </w:tr>
      <w:tr w:rsidR="000B0E98" w14:paraId="533549D9"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616CB60C"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268" w:type="dxa"/>
            <w:tcBorders>
              <w:top w:val="single" w:sz="4" w:space="0" w:color="FFFFFF"/>
              <w:left w:val="single" w:sz="4" w:space="0" w:color="FFFFFF"/>
              <w:bottom w:val="single" w:sz="4" w:space="0" w:color="FFFFFF"/>
              <w:right w:val="single" w:sz="4" w:space="0" w:color="FFFFFF"/>
            </w:tcBorders>
            <w:vAlign w:val="bottom"/>
          </w:tcPr>
          <w:p w14:paraId="2290D07D"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3.616 €</w:t>
            </w:r>
          </w:p>
        </w:tc>
        <w:tc>
          <w:tcPr>
            <w:tcW w:w="1985" w:type="dxa"/>
            <w:tcBorders>
              <w:top w:val="single" w:sz="4" w:space="0" w:color="FFFFFF"/>
              <w:left w:val="single" w:sz="4" w:space="0" w:color="FFFFFF"/>
              <w:bottom w:val="single" w:sz="4" w:space="0" w:color="FFFFFF"/>
              <w:right w:val="single" w:sz="4" w:space="0" w:color="FFFFFF"/>
            </w:tcBorders>
            <w:vAlign w:val="bottom"/>
          </w:tcPr>
          <w:p w14:paraId="289B14F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-0,7%</w:t>
            </w:r>
          </w:p>
        </w:tc>
        <w:tc>
          <w:tcPr>
            <w:tcW w:w="1963" w:type="dxa"/>
            <w:tcBorders>
              <w:top w:val="single" w:sz="4" w:space="0" w:color="FFFFFF"/>
              <w:left w:val="single" w:sz="4" w:space="0" w:color="FFFFFF"/>
              <w:bottom w:val="single" w:sz="4" w:space="0" w:color="FFFFFF"/>
              <w:right w:val="single" w:sz="4" w:space="0" w:color="FFFFFF"/>
            </w:tcBorders>
            <w:vAlign w:val="bottom"/>
          </w:tcPr>
          <w:p w14:paraId="608115F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8,0%</w:t>
            </w:r>
          </w:p>
        </w:tc>
      </w:tr>
      <w:tr w:rsidR="000B0E98" w14:paraId="4EDF6758"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3E5EF9DA"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tcBorders>
              <w:top w:val="single" w:sz="4" w:space="0" w:color="FFFFFF"/>
              <w:left w:val="single" w:sz="4" w:space="0" w:color="FFFFFF"/>
              <w:bottom w:val="single" w:sz="4" w:space="0" w:color="FFFFFF"/>
              <w:right w:val="single" w:sz="4" w:space="0" w:color="FFFFFF"/>
            </w:tcBorders>
            <w:vAlign w:val="bottom"/>
          </w:tcPr>
          <w:p w14:paraId="5CA3E8E0"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2.787 €</w:t>
            </w:r>
          </w:p>
        </w:tc>
        <w:tc>
          <w:tcPr>
            <w:tcW w:w="1985" w:type="dxa"/>
            <w:tcBorders>
              <w:top w:val="single" w:sz="4" w:space="0" w:color="FFFFFF"/>
              <w:left w:val="single" w:sz="4" w:space="0" w:color="FFFFFF"/>
              <w:bottom w:val="single" w:sz="4" w:space="0" w:color="FFFFFF"/>
              <w:right w:val="single" w:sz="4" w:space="0" w:color="FFFFFF"/>
            </w:tcBorders>
            <w:vAlign w:val="bottom"/>
          </w:tcPr>
          <w:p w14:paraId="1729BA8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w:t>
            </w:r>
          </w:p>
        </w:tc>
        <w:tc>
          <w:tcPr>
            <w:tcW w:w="1963" w:type="dxa"/>
            <w:tcBorders>
              <w:top w:val="single" w:sz="4" w:space="0" w:color="FFFFFF"/>
              <w:left w:val="single" w:sz="4" w:space="0" w:color="FFFFFF"/>
              <w:bottom w:val="single" w:sz="4" w:space="0" w:color="FFFFFF"/>
              <w:right w:val="single" w:sz="4" w:space="0" w:color="FFFFFF"/>
            </w:tcBorders>
            <w:vAlign w:val="bottom"/>
          </w:tcPr>
          <w:p w14:paraId="36E6C9F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7,4%</w:t>
            </w:r>
          </w:p>
        </w:tc>
      </w:tr>
      <w:tr w:rsidR="000B0E98" w14:paraId="33707646"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6B8C678B"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tcBorders>
              <w:top w:val="single" w:sz="4" w:space="0" w:color="FFFFFF"/>
              <w:left w:val="single" w:sz="4" w:space="0" w:color="FFFFFF"/>
              <w:bottom w:val="single" w:sz="4" w:space="0" w:color="FFFFFF"/>
              <w:right w:val="single" w:sz="4" w:space="0" w:color="FFFFFF"/>
            </w:tcBorders>
            <w:vAlign w:val="bottom"/>
          </w:tcPr>
          <w:p w14:paraId="046D31C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5.790 €</w:t>
            </w:r>
          </w:p>
        </w:tc>
        <w:tc>
          <w:tcPr>
            <w:tcW w:w="1985" w:type="dxa"/>
            <w:tcBorders>
              <w:top w:val="single" w:sz="4" w:space="0" w:color="FFFFFF"/>
              <w:left w:val="single" w:sz="4" w:space="0" w:color="FFFFFF"/>
              <w:bottom w:val="single" w:sz="4" w:space="0" w:color="FFFFFF"/>
              <w:right w:val="single" w:sz="4" w:space="0" w:color="FFFFFF"/>
            </w:tcBorders>
            <w:vAlign w:val="bottom"/>
          </w:tcPr>
          <w:p w14:paraId="6C1ADFD4"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2,1%</w:t>
            </w:r>
          </w:p>
        </w:tc>
        <w:tc>
          <w:tcPr>
            <w:tcW w:w="1963" w:type="dxa"/>
            <w:tcBorders>
              <w:top w:val="single" w:sz="4" w:space="0" w:color="FFFFFF"/>
              <w:left w:val="single" w:sz="4" w:space="0" w:color="FFFFFF"/>
              <w:bottom w:val="single" w:sz="4" w:space="0" w:color="FFFFFF"/>
              <w:right w:val="single" w:sz="4" w:space="0" w:color="FFFFFF"/>
            </w:tcBorders>
            <w:vAlign w:val="bottom"/>
          </w:tcPr>
          <w:p w14:paraId="5E09A79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7,3%</w:t>
            </w:r>
          </w:p>
        </w:tc>
      </w:tr>
      <w:tr w:rsidR="000B0E98" w14:paraId="3C90FC6B"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7C762A67"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tcBorders>
              <w:top w:val="single" w:sz="4" w:space="0" w:color="FFFFFF"/>
              <w:left w:val="single" w:sz="4" w:space="0" w:color="FFFFFF"/>
              <w:bottom w:val="single" w:sz="4" w:space="0" w:color="FFFFFF"/>
              <w:right w:val="single" w:sz="4" w:space="0" w:color="FFFFFF"/>
            </w:tcBorders>
            <w:vAlign w:val="bottom"/>
          </w:tcPr>
          <w:p w14:paraId="5C459C7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6.673 €</w:t>
            </w:r>
          </w:p>
        </w:tc>
        <w:tc>
          <w:tcPr>
            <w:tcW w:w="1985" w:type="dxa"/>
            <w:tcBorders>
              <w:top w:val="single" w:sz="4" w:space="0" w:color="FFFFFF"/>
              <w:left w:val="single" w:sz="4" w:space="0" w:color="FFFFFF"/>
              <w:bottom w:val="single" w:sz="4" w:space="0" w:color="FFFFFF"/>
              <w:right w:val="single" w:sz="4" w:space="0" w:color="FFFFFF"/>
            </w:tcBorders>
            <w:vAlign w:val="bottom"/>
          </w:tcPr>
          <w:p w14:paraId="759156F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3,1%</w:t>
            </w:r>
          </w:p>
        </w:tc>
        <w:tc>
          <w:tcPr>
            <w:tcW w:w="1963" w:type="dxa"/>
            <w:tcBorders>
              <w:top w:val="single" w:sz="4" w:space="0" w:color="FFFFFF"/>
              <w:left w:val="single" w:sz="4" w:space="0" w:color="FFFFFF"/>
              <w:bottom w:val="single" w:sz="4" w:space="0" w:color="FFFFFF"/>
              <w:right w:val="single" w:sz="4" w:space="0" w:color="FFFFFF"/>
            </w:tcBorders>
            <w:vAlign w:val="bottom"/>
          </w:tcPr>
          <w:p w14:paraId="63C2A06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6,8%</w:t>
            </w:r>
          </w:p>
        </w:tc>
      </w:tr>
      <w:tr w:rsidR="000B0E98" w14:paraId="39BF2B6E"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21305CA8"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tcBorders>
              <w:top w:val="single" w:sz="4" w:space="0" w:color="FFFFFF"/>
              <w:left w:val="single" w:sz="4" w:space="0" w:color="FFFFFF"/>
              <w:bottom w:val="single" w:sz="4" w:space="0" w:color="FFFFFF"/>
              <w:right w:val="single" w:sz="4" w:space="0" w:color="FFFFFF"/>
            </w:tcBorders>
            <w:vAlign w:val="bottom"/>
          </w:tcPr>
          <w:p w14:paraId="575F4CF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4.594 €</w:t>
            </w:r>
          </w:p>
        </w:tc>
        <w:tc>
          <w:tcPr>
            <w:tcW w:w="1985" w:type="dxa"/>
            <w:tcBorders>
              <w:top w:val="single" w:sz="4" w:space="0" w:color="FFFFFF"/>
              <w:left w:val="single" w:sz="4" w:space="0" w:color="FFFFFF"/>
              <w:bottom w:val="single" w:sz="4" w:space="0" w:color="FFFFFF"/>
              <w:right w:val="single" w:sz="4" w:space="0" w:color="FFFFFF"/>
            </w:tcBorders>
            <w:vAlign w:val="bottom"/>
          </w:tcPr>
          <w:p w14:paraId="7E18281E"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w:t>
            </w:r>
          </w:p>
        </w:tc>
        <w:tc>
          <w:tcPr>
            <w:tcW w:w="1963" w:type="dxa"/>
            <w:tcBorders>
              <w:top w:val="single" w:sz="4" w:space="0" w:color="FFFFFF"/>
              <w:left w:val="single" w:sz="4" w:space="0" w:color="FFFFFF"/>
              <w:bottom w:val="single" w:sz="4" w:space="0" w:color="FFFFFF"/>
              <w:right w:val="single" w:sz="4" w:space="0" w:color="FFFFFF"/>
            </w:tcBorders>
            <w:vAlign w:val="bottom"/>
          </w:tcPr>
          <w:p w14:paraId="7FC8144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5,6%</w:t>
            </w:r>
          </w:p>
        </w:tc>
      </w:tr>
      <w:tr w:rsidR="000B0E98" w14:paraId="5E7AE306"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75F1FEF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tcBorders>
              <w:top w:val="single" w:sz="4" w:space="0" w:color="FFFFFF"/>
              <w:left w:val="single" w:sz="4" w:space="0" w:color="FFFFFF"/>
              <w:bottom w:val="single" w:sz="4" w:space="0" w:color="FFFFFF"/>
              <w:right w:val="single" w:sz="4" w:space="0" w:color="FFFFFF"/>
            </w:tcBorders>
            <w:vAlign w:val="bottom"/>
          </w:tcPr>
          <w:p w14:paraId="5FD01C8E"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4.388 €</w:t>
            </w:r>
          </w:p>
        </w:tc>
        <w:tc>
          <w:tcPr>
            <w:tcW w:w="1985" w:type="dxa"/>
            <w:tcBorders>
              <w:top w:val="single" w:sz="4" w:space="0" w:color="FFFFFF"/>
              <w:left w:val="single" w:sz="4" w:space="0" w:color="FFFFFF"/>
              <w:bottom w:val="single" w:sz="4" w:space="0" w:color="FFFFFF"/>
              <w:right w:val="single" w:sz="4" w:space="0" w:color="FFFFFF"/>
            </w:tcBorders>
            <w:vAlign w:val="bottom"/>
          </w:tcPr>
          <w:p w14:paraId="4DE45C1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4CAE86EC"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4,4%</w:t>
            </w:r>
          </w:p>
        </w:tc>
      </w:tr>
      <w:tr w:rsidR="000B0E98" w14:paraId="550F8F46"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2B644E79"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tcBorders>
              <w:top w:val="single" w:sz="4" w:space="0" w:color="FFFFFF"/>
              <w:left w:val="single" w:sz="4" w:space="0" w:color="FFFFFF"/>
              <w:bottom w:val="single" w:sz="4" w:space="0" w:color="FFFFFF"/>
              <w:right w:val="single" w:sz="4" w:space="0" w:color="FFFFFF"/>
            </w:tcBorders>
            <w:vAlign w:val="bottom"/>
          </w:tcPr>
          <w:p w14:paraId="42234402"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3.059 €</w:t>
            </w:r>
          </w:p>
        </w:tc>
        <w:tc>
          <w:tcPr>
            <w:tcW w:w="1985" w:type="dxa"/>
            <w:tcBorders>
              <w:top w:val="single" w:sz="4" w:space="0" w:color="FFFFFF"/>
              <w:left w:val="single" w:sz="4" w:space="0" w:color="FFFFFF"/>
              <w:bottom w:val="single" w:sz="4" w:space="0" w:color="FFFFFF"/>
              <w:right w:val="single" w:sz="4" w:space="0" w:color="FFFFFF"/>
            </w:tcBorders>
            <w:vAlign w:val="bottom"/>
          </w:tcPr>
          <w:p w14:paraId="5DF4E89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w:t>
            </w:r>
          </w:p>
        </w:tc>
        <w:tc>
          <w:tcPr>
            <w:tcW w:w="1963" w:type="dxa"/>
            <w:tcBorders>
              <w:top w:val="single" w:sz="4" w:space="0" w:color="FFFFFF"/>
              <w:left w:val="single" w:sz="4" w:space="0" w:color="FFFFFF"/>
              <w:bottom w:val="single" w:sz="4" w:space="0" w:color="FFFFFF"/>
              <w:right w:val="single" w:sz="4" w:space="0" w:color="FFFFFF"/>
            </w:tcBorders>
            <w:vAlign w:val="bottom"/>
          </w:tcPr>
          <w:p w14:paraId="178B462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4,1%</w:t>
            </w:r>
          </w:p>
        </w:tc>
      </w:tr>
      <w:tr w:rsidR="000B0E98" w14:paraId="746C2AEB"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50F85E59"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tcBorders>
              <w:top w:val="single" w:sz="4" w:space="0" w:color="FFFFFF"/>
              <w:left w:val="single" w:sz="4" w:space="0" w:color="FFFFFF"/>
              <w:bottom w:val="single" w:sz="4" w:space="0" w:color="FFFFFF"/>
              <w:right w:val="single" w:sz="4" w:space="0" w:color="FFFFFF"/>
            </w:tcBorders>
            <w:vAlign w:val="bottom"/>
          </w:tcPr>
          <w:p w14:paraId="6348681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4.153 €</w:t>
            </w:r>
          </w:p>
        </w:tc>
        <w:tc>
          <w:tcPr>
            <w:tcW w:w="1985" w:type="dxa"/>
            <w:tcBorders>
              <w:top w:val="single" w:sz="4" w:space="0" w:color="FFFFFF"/>
              <w:left w:val="single" w:sz="4" w:space="0" w:color="FFFFFF"/>
              <w:bottom w:val="single" w:sz="4" w:space="0" w:color="FFFFFF"/>
              <w:right w:val="single" w:sz="4" w:space="0" w:color="FFFFFF"/>
            </w:tcBorders>
            <w:vAlign w:val="bottom"/>
          </w:tcPr>
          <w:p w14:paraId="6BCDA8B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w:t>
            </w:r>
          </w:p>
        </w:tc>
        <w:tc>
          <w:tcPr>
            <w:tcW w:w="1963" w:type="dxa"/>
            <w:tcBorders>
              <w:top w:val="single" w:sz="4" w:space="0" w:color="FFFFFF"/>
              <w:left w:val="single" w:sz="4" w:space="0" w:color="FFFFFF"/>
              <w:bottom w:val="single" w:sz="4" w:space="0" w:color="FFFFFF"/>
              <w:right w:val="single" w:sz="4" w:space="0" w:color="FFFFFF"/>
            </w:tcBorders>
            <w:vAlign w:val="bottom"/>
          </w:tcPr>
          <w:p w14:paraId="4BCF8D4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4,0%</w:t>
            </w:r>
          </w:p>
        </w:tc>
      </w:tr>
      <w:tr w:rsidR="000B0E98" w14:paraId="6423AA12"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74B76DCF"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3BFC828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2.467 €</w:t>
            </w:r>
          </w:p>
        </w:tc>
        <w:tc>
          <w:tcPr>
            <w:tcW w:w="1985" w:type="dxa"/>
            <w:tcBorders>
              <w:top w:val="single" w:sz="4" w:space="0" w:color="FFFFFF"/>
              <w:left w:val="single" w:sz="4" w:space="0" w:color="FFFFFF"/>
              <w:bottom w:val="single" w:sz="4" w:space="0" w:color="FFFFFF"/>
              <w:right w:val="single" w:sz="4" w:space="0" w:color="FFFFFF"/>
            </w:tcBorders>
            <w:vAlign w:val="bottom"/>
          </w:tcPr>
          <w:p w14:paraId="6128574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c>
          <w:tcPr>
            <w:tcW w:w="1963" w:type="dxa"/>
            <w:tcBorders>
              <w:top w:val="single" w:sz="4" w:space="0" w:color="FFFFFF"/>
              <w:left w:val="single" w:sz="4" w:space="0" w:color="FFFFFF"/>
              <w:bottom w:val="single" w:sz="4" w:space="0" w:color="FFFFFF"/>
              <w:right w:val="single" w:sz="4" w:space="0" w:color="FFFFFF"/>
            </w:tcBorders>
            <w:vAlign w:val="bottom"/>
          </w:tcPr>
          <w:p w14:paraId="63A8F74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3,8%</w:t>
            </w:r>
          </w:p>
        </w:tc>
      </w:tr>
      <w:tr w:rsidR="000B0E98" w14:paraId="3C720B55"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47406CB9"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tcBorders>
              <w:top w:val="single" w:sz="4" w:space="0" w:color="FFFFFF"/>
              <w:left w:val="single" w:sz="4" w:space="0" w:color="FFFFFF"/>
              <w:bottom w:val="single" w:sz="4" w:space="0" w:color="FFFFFF"/>
              <w:right w:val="single" w:sz="4" w:space="0" w:color="FFFFFF"/>
            </w:tcBorders>
            <w:vAlign w:val="bottom"/>
          </w:tcPr>
          <w:p w14:paraId="0D97DC89"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2.032 €</w:t>
            </w:r>
          </w:p>
        </w:tc>
        <w:tc>
          <w:tcPr>
            <w:tcW w:w="1985" w:type="dxa"/>
            <w:tcBorders>
              <w:top w:val="single" w:sz="4" w:space="0" w:color="FFFFFF"/>
              <w:left w:val="single" w:sz="4" w:space="0" w:color="FFFFFF"/>
              <w:bottom w:val="single" w:sz="4" w:space="0" w:color="FFFFFF"/>
              <w:right w:val="single" w:sz="4" w:space="0" w:color="FFFFFF"/>
            </w:tcBorders>
            <w:vAlign w:val="bottom"/>
          </w:tcPr>
          <w:p w14:paraId="15F439C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963" w:type="dxa"/>
            <w:tcBorders>
              <w:top w:val="single" w:sz="4" w:space="0" w:color="FFFFFF"/>
              <w:left w:val="single" w:sz="4" w:space="0" w:color="FFFFFF"/>
              <w:bottom w:val="single" w:sz="4" w:space="0" w:color="FFFFFF"/>
              <w:right w:val="single" w:sz="4" w:space="0" w:color="FFFFFF"/>
            </w:tcBorders>
            <w:vAlign w:val="bottom"/>
          </w:tcPr>
          <w:p w14:paraId="55586D9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2,4%</w:t>
            </w:r>
          </w:p>
        </w:tc>
      </w:tr>
      <w:tr w:rsidR="000B0E98" w14:paraId="7E40825C"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7E2999E9"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tcBorders>
              <w:top w:val="single" w:sz="4" w:space="0" w:color="FFFFFF"/>
              <w:left w:val="single" w:sz="4" w:space="0" w:color="FFFFFF"/>
              <w:bottom w:val="single" w:sz="4" w:space="0" w:color="FFFFFF"/>
              <w:right w:val="single" w:sz="4" w:space="0" w:color="FFFFFF"/>
            </w:tcBorders>
            <w:vAlign w:val="bottom"/>
          </w:tcPr>
          <w:p w14:paraId="1D027E4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3.641 €</w:t>
            </w:r>
          </w:p>
        </w:tc>
        <w:tc>
          <w:tcPr>
            <w:tcW w:w="1985" w:type="dxa"/>
            <w:tcBorders>
              <w:top w:val="single" w:sz="4" w:space="0" w:color="FFFFFF"/>
              <w:left w:val="single" w:sz="4" w:space="0" w:color="FFFFFF"/>
              <w:bottom w:val="single" w:sz="4" w:space="0" w:color="FFFFFF"/>
              <w:right w:val="single" w:sz="4" w:space="0" w:color="FFFFFF"/>
            </w:tcBorders>
            <w:vAlign w:val="bottom"/>
          </w:tcPr>
          <w:p w14:paraId="03B31C6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963" w:type="dxa"/>
            <w:tcBorders>
              <w:top w:val="single" w:sz="4" w:space="0" w:color="FFFFFF"/>
              <w:left w:val="single" w:sz="4" w:space="0" w:color="FFFFFF"/>
              <w:bottom w:val="single" w:sz="4" w:space="0" w:color="FFFFFF"/>
              <w:right w:val="single" w:sz="4" w:space="0" w:color="FFFFFF"/>
            </w:tcBorders>
            <w:vAlign w:val="bottom"/>
          </w:tcPr>
          <w:p w14:paraId="0954334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2,2%</w:t>
            </w:r>
          </w:p>
        </w:tc>
      </w:tr>
      <w:tr w:rsidR="000B0E98" w14:paraId="186DC3FE"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0BD5F385"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tcBorders>
              <w:top w:val="single" w:sz="4" w:space="0" w:color="FFFFFF"/>
              <w:left w:val="single" w:sz="4" w:space="0" w:color="FFFFFF"/>
              <w:bottom w:val="single" w:sz="4" w:space="0" w:color="FFFFFF"/>
              <w:right w:val="single" w:sz="4" w:space="0" w:color="FFFFFF"/>
            </w:tcBorders>
            <w:vAlign w:val="bottom"/>
          </w:tcPr>
          <w:p w14:paraId="29EBDE9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2.587 €</w:t>
            </w:r>
          </w:p>
        </w:tc>
        <w:tc>
          <w:tcPr>
            <w:tcW w:w="1985" w:type="dxa"/>
            <w:tcBorders>
              <w:top w:val="single" w:sz="4" w:space="0" w:color="FFFFFF"/>
              <w:left w:val="single" w:sz="4" w:space="0" w:color="FFFFFF"/>
              <w:bottom w:val="single" w:sz="4" w:space="0" w:color="FFFFFF"/>
              <w:right w:val="single" w:sz="4" w:space="0" w:color="FFFFFF"/>
            </w:tcBorders>
            <w:vAlign w:val="bottom"/>
          </w:tcPr>
          <w:p w14:paraId="58C7970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w:t>
            </w:r>
          </w:p>
        </w:tc>
        <w:tc>
          <w:tcPr>
            <w:tcW w:w="1963" w:type="dxa"/>
            <w:tcBorders>
              <w:top w:val="single" w:sz="4" w:space="0" w:color="FFFFFF"/>
              <w:left w:val="single" w:sz="4" w:space="0" w:color="FFFFFF"/>
              <w:bottom w:val="single" w:sz="4" w:space="0" w:color="FFFFFF"/>
              <w:right w:val="single" w:sz="4" w:space="0" w:color="FFFFFF"/>
            </w:tcBorders>
            <w:vAlign w:val="bottom"/>
          </w:tcPr>
          <w:p w14:paraId="7BF8F221"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2,1%</w:t>
            </w:r>
          </w:p>
        </w:tc>
      </w:tr>
      <w:tr w:rsidR="000B0E98" w14:paraId="6A0C5F96"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right w:val="single" w:sz="4" w:space="0" w:color="FFFFFF"/>
            </w:tcBorders>
            <w:vAlign w:val="bottom"/>
          </w:tcPr>
          <w:p w14:paraId="46049F3F"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268" w:type="dxa"/>
            <w:tcBorders>
              <w:top w:val="single" w:sz="4" w:space="0" w:color="FFFFFF"/>
              <w:left w:val="single" w:sz="4" w:space="0" w:color="FFFFFF"/>
              <w:bottom w:val="single" w:sz="4" w:space="0" w:color="FFFFFF"/>
              <w:right w:val="single" w:sz="4" w:space="0" w:color="FFFFFF"/>
            </w:tcBorders>
            <w:vAlign w:val="bottom"/>
          </w:tcPr>
          <w:p w14:paraId="3A5E01AA"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2.931 €</w:t>
            </w:r>
          </w:p>
        </w:tc>
        <w:tc>
          <w:tcPr>
            <w:tcW w:w="1985" w:type="dxa"/>
            <w:tcBorders>
              <w:top w:val="single" w:sz="4" w:space="0" w:color="FFFFFF"/>
              <w:left w:val="single" w:sz="4" w:space="0" w:color="FFFFFF"/>
              <w:bottom w:val="single" w:sz="4" w:space="0" w:color="FFFFFF"/>
              <w:right w:val="single" w:sz="4" w:space="0" w:color="FFFFFF"/>
            </w:tcBorders>
            <w:vAlign w:val="bottom"/>
          </w:tcPr>
          <w:p w14:paraId="43729F1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963" w:type="dxa"/>
            <w:tcBorders>
              <w:top w:val="single" w:sz="4" w:space="0" w:color="FFFFFF"/>
              <w:left w:val="single" w:sz="4" w:space="0" w:color="FFFFFF"/>
              <w:bottom w:val="single" w:sz="4" w:space="0" w:color="FFFFFF"/>
              <w:right w:val="single" w:sz="4" w:space="0" w:color="FFFFFF"/>
            </w:tcBorders>
            <w:vAlign w:val="bottom"/>
          </w:tcPr>
          <w:p w14:paraId="1F4D0D85"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1,7%</w:t>
            </w:r>
          </w:p>
        </w:tc>
      </w:tr>
    </w:tbl>
    <w:p w14:paraId="7C2E4220" w14:textId="77777777" w:rsidR="00C82D4B" w:rsidRDefault="00C82D4B">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77BBE723" w14:textId="1367477D" w:rsidR="000B0E98"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Distritos de Barcelona</w:t>
      </w:r>
    </w:p>
    <w:p w14:paraId="7E9F2E42" w14:textId="77777777" w:rsidR="000B0E98" w:rsidRPr="00C82D4B" w:rsidRDefault="00000000">
      <w:pPr>
        <w:spacing w:line="276" w:lineRule="auto"/>
        <w:jc w:val="both"/>
        <w:rPr>
          <w:rFonts w:ascii="Open Sans" w:eastAsia="Open Sans" w:hAnsi="Open Sans" w:cs="Open Sans"/>
          <w:b/>
          <w:bCs/>
          <w:color w:val="000000"/>
        </w:rPr>
      </w:pPr>
      <w:r>
        <w:rPr>
          <w:rFonts w:ascii="Open Sans" w:eastAsia="Open Sans" w:hAnsi="Open Sans" w:cs="Open Sans"/>
          <w:color w:val="000000"/>
        </w:rPr>
        <w:t xml:space="preserve">El precio medio de la vivienda de segunda mano sube en nueve de los diez distritos con variación interanual analizados por </w:t>
      </w:r>
      <w:hyperlink r:id="rId14">
        <w:r>
          <w:rPr>
            <w:rFonts w:ascii="Open Sans" w:eastAsia="Open Sans" w:hAnsi="Open Sans" w:cs="Open Sans"/>
            <w:color w:val="0000FF"/>
            <w:u w:val="single"/>
          </w:rPr>
          <w:t>Fotocasa</w:t>
        </w:r>
      </w:hyperlink>
      <w:r>
        <w:rPr>
          <w:rFonts w:ascii="Open Sans" w:eastAsia="Open Sans" w:hAnsi="Open Sans" w:cs="Open Sans"/>
          <w:color w:val="4472C4"/>
        </w:rPr>
        <w:t xml:space="preserve">. </w:t>
      </w:r>
      <w:r w:rsidRPr="00C82D4B">
        <w:rPr>
          <w:rFonts w:ascii="Open Sans" w:eastAsia="Open Sans" w:hAnsi="Open Sans" w:cs="Open Sans"/>
          <w:b/>
          <w:bCs/>
          <w:color w:val="000000"/>
        </w:rPr>
        <w:t xml:space="preserve">Los incrementos de la vivienda corresponden a los distritos de Sant Andreu (11,3%), Horta - Guinardó (9,1%), Gràcia (6,9%), Sant Martí (6,7%), Eixample (5,2%), Sants - Montjuïc (3,8%), Sarrià - Sant Gervasi (3,5%), </w:t>
      </w:r>
      <w:proofErr w:type="spellStart"/>
      <w:r w:rsidRPr="00C82D4B">
        <w:rPr>
          <w:rFonts w:ascii="Open Sans" w:eastAsia="Open Sans" w:hAnsi="Open Sans" w:cs="Open Sans"/>
          <w:b/>
          <w:bCs/>
          <w:color w:val="000000"/>
        </w:rPr>
        <w:t>Ciutat</w:t>
      </w:r>
      <w:proofErr w:type="spellEnd"/>
      <w:r w:rsidRPr="00C82D4B">
        <w:rPr>
          <w:rFonts w:ascii="Open Sans" w:eastAsia="Open Sans" w:hAnsi="Open Sans" w:cs="Open Sans"/>
          <w:b/>
          <w:bCs/>
          <w:color w:val="000000"/>
        </w:rPr>
        <w:t xml:space="preserve"> Vella (3,0%) y Nou </w:t>
      </w:r>
      <w:proofErr w:type="spellStart"/>
      <w:r w:rsidRPr="00C82D4B">
        <w:rPr>
          <w:rFonts w:ascii="Open Sans" w:eastAsia="Open Sans" w:hAnsi="Open Sans" w:cs="Open Sans"/>
          <w:b/>
          <w:bCs/>
          <w:color w:val="000000"/>
        </w:rPr>
        <w:t>Barris</w:t>
      </w:r>
      <w:proofErr w:type="spellEnd"/>
      <w:r w:rsidRPr="00C82D4B">
        <w:rPr>
          <w:rFonts w:ascii="Open Sans" w:eastAsia="Open Sans" w:hAnsi="Open Sans" w:cs="Open Sans"/>
          <w:b/>
          <w:bCs/>
          <w:color w:val="000000"/>
        </w:rPr>
        <w:t xml:space="preserve"> (0,6%).</w:t>
      </w:r>
    </w:p>
    <w:p w14:paraId="3BBEA69E" w14:textId="77777777" w:rsidR="000B0E98" w:rsidRDefault="000B0E98">
      <w:pPr>
        <w:spacing w:line="276" w:lineRule="auto"/>
        <w:jc w:val="both"/>
        <w:rPr>
          <w:rFonts w:ascii="Open Sans" w:eastAsia="Open Sans" w:hAnsi="Open Sans" w:cs="Open Sans"/>
          <w:color w:val="000000"/>
        </w:rPr>
      </w:pPr>
    </w:p>
    <w:p w14:paraId="1C0AD2FE" w14:textId="77777777" w:rsidR="000B0E98" w:rsidRDefault="00000000">
      <w:pPr>
        <w:spacing w:line="276" w:lineRule="auto"/>
        <w:jc w:val="both"/>
        <w:rPr>
          <w:rFonts w:ascii="Open Sans" w:eastAsia="Open Sans" w:hAnsi="Open Sans" w:cs="Open Sans"/>
          <w:color w:val="000000"/>
          <w:vertAlign w:val="superscript"/>
        </w:rPr>
      </w:pPr>
      <w:r>
        <w:rPr>
          <w:rFonts w:ascii="Open Sans" w:eastAsia="Open Sans" w:hAnsi="Open Sans" w:cs="Open Sans"/>
          <w:color w:val="000000"/>
        </w:rPr>
        <w:t>En cuanto al precio por metro cuadrado en enero, vemos que los cuatro distritos más caros son Sarrià - Sant Gervasi con 5.965 euros/m</w:t>
      </w:r>
      <w:r>
        <w:rPr>
          <w:rFonts w:ascii="Open Sans" w:eastAsia="Open Sans" w:hAnsi="Open Sans" w:cs="Open Sans"/>
          <w:color w:val="000000"/>
          <w:vertAlign w:val="superscript"/>
        </w:rPr>
        <w:t>2</w:t>
      </w:r>
      <w:r>
        <w:rPr>
          <w:rFonts w:ascii="Open Sans" w:eastAsia="Open Sans" w:hAnsi="Open Sans" w:cs="Open Sans"/>
          <w:color w:val="000000"/>
        </w:rPr>
        <w:t>, Eixample con 5.740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Les Corts con 5.125 euros/m</w:t>
      </w:r>
      <w:r>
        <w:rPr>
          <w:rFonts w:ascii="Open Sans" w:eastAsia="Open Sans" w:hAnsi="Open Sans" w:cs="Open Sans"/>
          <w:color w:val="000000"/>
          <w:vertAlign w:val="superscript"/>
        </w:rPr>
        <w:t>2</w:t>
      </w:r>
      <w:r>
        <w:rPr>
          <w:rFonts w:ascii="Open Sans" w:eastAsia="Open Sans" w:hAnsi="Open Sans" w:cs="Open Sans"/>
          <w:color w:val="000000"/>
        </w:rPr>
        <w:t xml:space="preserve"> y Gràcia con 5.040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w:t>
      </w:r>
      <w:r>
        <w:t xml:space="preserve"> </w:t>
      </w:r>
      <w:r>
        <w:rPr>
          <w:rFonts w:ascii="Open Sans" w:eastAsia="Open Sans" w:hAnsi="Open Sans" w:cs="Open Sans"/>
          <w:color w:val="000000"/>
        </w:rPr>
        <w:t xml:space="preserve">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con 2.675 euros/m</w:t>
      </w:r>
      <w:r>
        <w:rPr>
          <w:rFonts w:ascii="Open Sans" w:eastAsia="Open Sans" w:hAnsi="Open Sans" w:cs="Open Sans"/>
          <w:color w:val="000000"/>
          <w:vertAlign w:val="superscript"/>
        </w:rPr>
        <w:t>2</w:t>
      </w:r>
      <w:r>
        <w:rPr>
          <w:rFonts w:ascii="Open Sans" w:eastAsia="Open Sans" w:hAnsi="Open Sans" w:cs="Open Sans"/>
          <w:color w:val="000000"/>
        </w:rPr>
        <w:t xml:space="preserve"> y Sant Andreu con 3.540 euros/m</w:t>
      </w:r>
      <w:r>
        <w:rPr>
          <w:rFonts w:ascii="Open Sans" w:eastAsia="Open Sans" w:hAnsi="Open Sans" w:cs="Open Sans"/>
          <w:color w:val="000000"/>
          <w:vertAlign w:val="superscript"/>
        </w:rPr>
        <w:t>2</w:t>
      </w:r>
      <w:r>
        <w:rPr>
          <w:rFonts w:ascii="Open Sans" w:eastAsia="Open Sans" w:hAnsi="Open Sans" w:cs="Open Sans"/>
          <w:color w:val="000000"/>
        </w:rPr>
        <w:t>.</w:t>
      </w:r>
    </w:p>
    <w:p w14:paraId="664D1AB6" w14:textId="77777777" w:rsidR="000B0E98" w:rsidRDefault="000B0E98">
      <w:pPr>
        <w:spacing w:line="276" w:lineRule="auto"/>
        <w:jc w:val="both"/>
        <w:rPr>
          <w:rFonts w:ascii="Open Sans" w:eastAsia="Open Sans" w:hAnsi="Open Sans" w:cs="Open Sans"/>
          <w:color w:val="000000"/>
        </w:rPr>
      </w:pPr>
    </w:p>
    <w:tbl>
      <w:tblPr>
        <w:tblStyle w:val="1"/>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409"/>
        <w:gridCol w:w="1985"/>
        <w:gridCol w:w="1963"/>
      </w:tblGrid>
      <w:tr w:rsidR="000B0E98" w14:paraId="164B3AB8" w14:textId="77777777" w:rsidTr="000B0E98">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37069A0D" w14:textId="77777777" w:rsidR="000B0E98"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409" w:type="dxa"/>
            <w:tcBorders>
              <w:bottom w:val="single" w:sz="4" w:space="0" w:color="FFFFFF"/>
            </w:tcBorders>
            <w:vAlign w:val="center"/>
          </w:tcPr>
          <w:p w14:paraId="1350A7B6"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2024</w:t>
            </w:r>
          </w:p>
          <w:p w14:paraId="183EB36E"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85" w:type="dxa"/>
            <w:tcBorders>
              <w:bottom w:val="single" w:sz="4" w:space="0" w:color="FFFFFF"/>
            </w:tcBorders>
            <w:vAlign w:val="center"/>
          </w:tcPr>
          <w:p w14:paraId="38765349"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63" w:type="dxa"/>
            <w:tcBorders>
              <w:bottom w:val="single" w:sz="4" w:space="0" w:color="FFFFFF"/>
            </w:tcBorders>
            <w:vAlign w:val="center"/>
          </w:tcPr>
          <w:p w14:paraId="2E65E692" w14:textId="77777777" w:rsidR="000B0E9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B0E98" w14:paraId="010243FE"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tcPr>
          <w:p w14:paraId="5F1869DA" w14:textId="77777777" w:rsidR="000B0E98" w:rsidRDefault="00000000">
            <w:pPr>
              <w:rPr>
                <w:rFonts w:ascii="Open Sans" w:eastAsia="Open Sans" w:hAnsi="Open Sans" w:cs="Open Sans"/>
                <w:sz w:val="22"/>
                <w:szCs w:val="22"/>
              </w:rPr>
            </w:pPr>
            <w:r>
              <w:rPr>
                <w:rFonts w:ascii="Open Sans" w:eastAsia="Open Sans" w:hAnsi="Open Sans" w:cs="Open Sans"/>
                <w:b w:val="0"/>
              </w:rPr>
              <w:t>Sant Andreu</w:t>
            </w:r>
          </w:p>
        </w:tc>
        <w:tc>
          <w:tcPr>
            <w:tcW w:w="2409" w:type="dxa"/>
            <w:tcBorders>
              <w:top w:val="single" w:sz="4" w:space="0" w:color="FFFFFF"/>
              <w:left w:val="single" w:sz="4" w:space="0" w:color="FFFFFF"/>
              <w:bottom w:val="single" w:sz="4" w:space="0" w:color="FFFFFF"/>
              <w:right w:val="single" w:sz="4" w:space="0" w:color="FFFFFF"/>
            </w:tcBorders>
            <w:vAlign w:val="bottom"/>
          </w:tcPr>
          <w:p w14:paraId="46A1B53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3.540 €</w:t>
            </w:r>
          </w:p>
        </w:tc>
        <w:tc>
          <w:tcPr>
            <w:tcW w:w="1985" w:type="dxa"/>
            <w:tcBorders>
              <w:top w:val="single" w:sz="4" w:space="0" w:color="FFFFFF"/>
              <w:left w:val="single" w:sz="4" w:space="0" w:color="FFFFFF"/>
              <w:bottom w:val="single" w:sz="4" w:space="0" w:color="FFFFFF"/>
              <w:right w:val="single" w:sz="4" w:space="0" w:color="FFFFFF"/>
            </w:tcBorders>
            <w:vAlign w:val="bottom"/>
          </w:tcPr>
          <w:p w14:paraId="44B139A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3,9%</w:t>
            </w:r>
          </w:p>
        </w:tc>
        <w:tc>
          <w:tcPr>
            <w:tcW w:w="1963" w:type="dxa"/>
            <w:tcBorders>
              <w:top w:val="single" w:sz="4" w:space="0" w:color="FFFFFF"/>
              <w:left w:val="single" w:sz="4" w:space="0" w:color="FFFFFF"/>
              <w:bottom w:val="single" w:sz="4" w:space="0" w:color="FFFFFF"/>
              <w:right w:val="single" w:sz="4" w:space="0" w:color="FFFFFF"/>
            </w:tcBorders>
            <w:vAlign w:val="bottom"/>
          </w:tcPr>
          <w:p w14:paraId="5DFE54A6"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11,3%</w:t>
            </w:r>
          </w:p>
        </w:tc>
      </w:tr>
      <w:tr w:rsidR="000B0E98" w14:paraId="0B79351B"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tcPr>
          <w:p w14:paraId="4EF71906" w14:textId="77777777" w:rsidR="000B0E98" w:rsidRDefault="00000000">
            <w:pPr>
              <w:rPr>
                <w:rFonts w:ascii="Open Sans" w:eastAsia="Open Sans" w:hAnsi="Open Sans" w:cs="Open Sans"/>
                <w:sz w:val="22"/>
                <w:szCs w:val="22"/>
              </w:rPr>
            </w:pPr>
            <w:r>
              <w:rPr>
                <w:rFonts w:ascii="Open Sans" w:eastAsia="Open Sans" w:hAnsi="Open Sans" w:cs="Open Sans"/>
                <w:b w:val="0"/>
              </w:rPr>
              <w:t>Horta - Guinardó</w:t>
            </w:r>
          </w:p>
        </w:tc>
        <w:tc>
          <w:tcPr>
            <w:tcW w:w="2409" w:type="dxa"/>
            <w:tcBorders>
              <w:top w:val="single" w:sz="4" w:space="0" w:color="FFFFFF"/>
              <w:left w:val="single" w:sz="4" w:space="0" w:color="FFFFFF"/>
              <w:bottom w:val="single" w:sz="4" w:space="0" w:color="FFFFFF"/>
              <w:right w:val="single" w:sz="4" w:space="0" w:color="FFFFFF"/>
            </w:tcBorders>
            <w:vAlign w:val="bottom"/>
          </w:tcPr>
          <w:p w14:paraId="7887EC6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3.621 €</w:t>
            </w:r>
          </w:p>
        </w:tc>
        <w:tc>
          <w:tcPr>
            <w:tcW w:w="1985" w:type="dxa"/>
            <w:tcBorders>
              <w:top w:val="single" w:sz="4" w:space="0" w:color="FFFFFF"/>
              <w:left w:val="single" w:sz="4" w:space="0" w:color="FFFFFF"/>
              <w:bottom w:val="single" w:sz="4" w:space="0" w:color="FFFFFF"/>
              <w:right w:val="single" w:sz="4" w:space="0" w:color="FFFFFF"/>
            </w:tcBorders>
            <w:vAlign w:val="bottom"/>
          </w:tcPr>
          <w:p w14:paraId="1184D59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-0,03%</w:t>
            </w:r>
          </w:p>
        </w:tc>
        <w:tc>
          <w:tcPr>
            <w:tcW w:w="1963" w:type="dxa"/>
            <w:tcBorders>
              <w:top w:val="single" w:sz="4" w:space="0" w:color="FFFFFF"/>
              <w:left w:val="single" w:sz="4" w:space="0" w:color="FFFFFF"/>
              <w:bottom w:val="single" w:sz="4" w:space="0" w:color="FFFFFF"/>
              <w:right w:val="single" w:sz="4" w:space="0" w:color="FFFFFF"/>
            </w:tcBorders>
            <w:vAlign w:val="bottom"/>
          </w:tcPr>
          <w:p w14:paraId="300358FA"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9,1%</w:t>
            </w:r>
          </w:p>
        </w:tc>
      </w:tr>
      <w:tr w:rsidR="000B0E98" w14:paraId="099EFEC1"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tcPr>
          <w:p w14:paraId="43F70ED2" w14:textId="77777777" w:rsidR="000B0E98" w:rsidRDefault="00000000">
            <w:pPr>
              <w:rPr>
                <w:rFonts w:ascii="Open Sans" w:eastAsia="Open Sans" w:hAnsi="Open Sans" w:cs="Open Sans"/>
                <w:sz w:val="22"/>
                <w:szCs w:val="22"/>
              </w:rPr>
            </w:pPr>
            <w:r>
              <w:rPr>
                <w:rFonts w:ascii="Open Sans" w:eastAsia="Open Sans" w:hAnsi="Open Sans" w:cs="Open Sans"/>
                <w:b w:val="0"/>
              </w:rPr>
              <w:t>Gràcia</w:t>
            </w:r>
          </w:p>
        </w:tc>
        <w:tc>
          <w:tcPr>
            <w:tcW w:w="2409" w:type="dxa"/>
            <w:tcBorders>
              <w:top w:val="single" w:sz="4" w:space="0" w:color="FFFFFF"/>
              <w:left w:val="single" w:sz="4" w:space="0" w:color="FFFFFF"/>
              <w:bottom w:val="single" w:sz="4" w:space="0" w:color="FFFFFF"/>
              <w:right w:val="single" w:sz="4" w:space="0" w:color="FFFFFF"/>
            </w:tcBorders>
            <w:vAlign w:val="bottom"/>
          </w:tcPr>
          <w:p w14:paraId="78006919"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5.040 €</w:t>
            </w:r>
          </w:p>
        </w:tc>
        <w:tc>
          <w:tcPr>
            <w:tcW w:w="1985" w:type="dxa"/>
            <w:tcBorders>
              <w:top w:val="single" w:sz="4" w:space="0" w:color="FFFFFF"/>
              <w:left w:val="single" w:sz="4" w:space="0" w:color="FFFFFF"/>
              <w:bottom w:val="single" w:sz="4" w:space="0" w:color="FFFFFF"/>
              <w:right w:val="single" w:sz="4" w:space="0" w:color="FFFFFF"/>
            </w:tcBorders>
            <w:vAlign w:val="bottom"/>
          </w:tcPr>
          <w:p w14:paraId="42CCE9FB"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1963" w:type="dxa"/>
            <w:tcBorders>
              <w:top w:val="single" w:sz="4" w:space="0" w:color="FFFFFF"/>
              <w:left w:val="single" w:sz="4" w:space="0" w:color="FFFFFF"/>
              <w:bottom w:val="single" w:sz="4" w:space="0" w:color="FFFFFF"/>
              <w:right w:val="single" w:sz="4" w:space="0" w:color="FFFFFF"/>
            </w:tcBorders>
            <w:vAlign w:val="bottom"/>
          </w:tcPr>
          <w:p w14:paraId="4A390C70"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6,9%</w:t>
            </w:r>
          </w:p>
        </w:tc>
      </w:tr>
      <w:tr w:rsidR="000B0E98" w14:paraId="286D84B5"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tcPr>
          <w:p w14:paraId="339FF254" w14:textId="77777777" w:rsidR="000B0E98" w:rsidRDefault="00000000">
            <w:pPr>
              <w:rPr>
                <w:rFonts w:ascii="Open Sans" w:eastAsia="Open Sans" w:hAnsi="Open Sans" w:cs="Open Sans"/>
                <w:sz w:val="22"/>
                <w:szCs w:val="22"/>
              </w:rPr>
            </w:pPr>
            <w:r>
              <w:rPr>
                <w:rFonts w:ascii="Open Sans" w:eastAsia="Open Sans" w:hAnsi="Open Sans" w:cs="Open Sans"/>
                <w:b w:val="0"/>
              </w:rPr>
              <w:t>Sant Martí</w:t>
            </w:r>
          </w:p>
        </w:tc>
        <w:tc>
          <w:tcPr>
            <w:tcW w:w="2409" w:type="dxa"/>
            <w:tcBorders>
              <w:top w:val="single" w:sz="4" w:space="0" w:color="FFFFFF"/>
              <w:left w:val="single" w:sz="4" w:space="0" w:color="FFFFFF"/>
              <w:bottom w:val="single" w:sz="4" w:space="0" w:color="FFFFFF"/>
              <w:right w:val="single" w:sz="4" w:space="0" w:color="FFFFFF"/>
            </w:tcBorders>
            <w:vAlign w:val="bottom"/>
          </w:tcPr>
          <w:p w14:paraId="1A204D8B"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4.170 €</w:t>
            </w:r>
          </w:p>
        </w:tc>
        <w:tc>
          <w:tcPr>
            <w:tcW w:w="1985" w:type="dxa"/>
            <w:tcBorders>
              <w:top w:val="single" w:sz="4" w:space="0" w:color="FFFFFF"/>
              <w:left w:val="single" w:sz="4" w:space="0" w:color="FFFFFF"/>
              <w:bottom w:val="single" w:sz="4" w:space="0" w:color="FFFFFF"/>
              <w:right w:val="single" w:sz="4" w:space="0" w:color="FFFFFF"/>
            </w:tcBorders>
            <w:vAlign w:val="bottom"/>
          </w:tcPr>
          <w:p w14:paraId="644B9CD8"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2,5%</w:t>
            </w:r>
          </w:p>
        </w:tc>
        <w:tc>
          <w:tcPr>
            <w:tcW w:w="1963" w:type="dxa"/>
            <w:tcBorders>
              <w:top w:val="single" w:sz="4" w:space="0" w:color="FFFFFF"/>
              <w:left w:val="single" w:sz="4" w:space="0" w:color="FFFFFF"/>
              <w:bottom w:val="single" w:sz="4" w:space="0" w:color="FFFFFF"/>
              <w:right w:val="single" w:sz="4" w:space="0" w:color="FFFFFF"/>
            </w:tcBorders>
            <w:vAlign w:val="bottom"/>
          </w:tcPr>
          <w:p w14:paraId="43CCF20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6,7%</w:t>
            </w:r>
          </w:p>
        </w:tc>
      </w:tr>
      <w:tr w:rsidR="000B0E98" w14:paraId="513B9FF7"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tcPr>
          <w:p w14:paraId="0C88D3E5" w14:textId="77777777" w:rsidR="000B0E98" w:rsidRDefault="00000000">
            <w:pPr>
              <w:rPr>
                <w:rFonts w:ascii="Open Sans" w:eastAsia="Open Sans" w:hAnsi="Open Sans" w:cs="Open Sans"/>
                <w:sz w:val="22"/>
                <w:szCs w:val="22"/>
              </w:rPr>
            </w:pPr>
            <w:r>
              <w:rPr>
                <w:rFonts w:ascii="Open Sans" w:eastAsia="Open Sans" w:hAnsi="Open Sans" w:cs="Open Sans"/>
                <w:b w:val="0"/>
              </w:rPr>
              <w:t>Eixample</w:t>
            </w:r>
          </w:p>
        </w:tc>
        <w:tc>
          <w:tcPr>
            <w:tcW w:w="2409" w:type="dxa"/>
            <w:tcBorders>
              <w:top w:val="single" w:sz="4" w:space="0" w:color="FFFFFF"/>
              <w:left w:val="single" w:sz="4" w:space="0" w:color="FFFFFF"/>
              <w:bottom w:val="single" w:sz="4" w:space="0" w:color="FFFFFF"/>
              <w:right w:val="single" w:sz="4" w:space="0" w:color="FFFFFF"/>
            </w:tcBorders>
            <w:vAlign w:val="bottom"/>
          </w:tcPr>
          <w:p w14:paraId="7835BE3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5.740 €</w:t>
            </w:r>
          </w:p>
        </w:tc>
        <w:tc>
          <w:tcPr>
            <w:tcW w:w="1985" w:type="dxa"/>
            <w:tcBorders>
              <w:top w:val="single" w:sz="4" w:space="0" w:color="FFFFFF"/>
              <w:left w:val="single" w:sz="4" w:space="0" w:color="FFFFFF"/>
              <w:bottom w:val="single" w:sz="4" w:space="0" w:color="FFFFFF"/>
              <w:right w:val="single" w:sz="4" w:space="0" w:color="FFFFFF"/>
            </w:tcBorders>
            <w:vAlign w:val="bottom"/>
          </w:tcPr>
          <w:p w14:paraId="40D070B8"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bottom"/>
          </w:tcPr>
          <w:p w14:paraId="17812A2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5,2%</w:t>
            </w:r>
          </w:p>
        </w:tc>
      </w:tr>
      <w:tr w:rsidR="000B0E98" w14:paraId="443F2123"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tcPr>
          <w:p w14:paraId="7774B998" w14:textId="77777777" w:rsidR="000B0E98" w:rsidRDefault="00000000">
            <w:pPr>
              <w:rPr>
                <w:rFonts w:ascii="Open Sans" w:eastAsia="Open Sans" w:hAnsi="Open Sans" w:cs="Open Sans"/>
                <w:sz w:val="22"/>
                <w:szCs w:val="22"/>
              </w:rPr>
            </w:pPr>
            <w:r>
              <w:rPr>
                <w:rFonts w:ascii="Open Sans" w:eastAsia="Open Sans" w:hAnsi="Open Sans" w:cs="Open Sans"/>
                <w:b w:val="0"/>
              </w:rPr>
              <w:t>Sants - Montjuïc</w:t>
            </w:r>
          </w:p>
        </w:tc>
        <w:tc>
          <w:tcPr>
            <w:tcW w:w="2409" w:type="dxa"/>
            <w:tcBorders>
              <w:top w:val="single" w:sz="4" w:space="0" w:color="FFFFFF"/>
              <w:left w:val="single" w:sz="4" w:space="0" w:color="FFFFFF"/>
              <w:bottom w:val="single" w:sz="4" w:space="0" w:color="FFFFFF"/>
              <w:right w:val="single" w:sz="4" w:space="0" w:color="FFFFFF"/>
            </w:tcBorders>
            <w:vAlign w:val="bottom"/>
          </w:tcPr>
          <w:p w14:paraId="5400E78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3.579 €</w:t>
            </w:r>
          </w:p>
        </w:tc>
        <w:tc>
          <w:tcPr>
            <w:tcW w:w="1985" w:type="dxa"/>
            <w:tcBorders>
              <w:top w:val="single" w:sz="4" w:space="0" w:color="FFFFFF"/>
              <w:left w:val="single" w:sz="4" w:space="0" w:color="FFFFFF"/>
              <w:bottom w:val="single" w:sz="4" w:space="0" w:color="FFFFFF"/>
              <w:right w:val="single" w:sz="4" w:space="0" w:color="FFFFFF"/>
            </w:tcBorders>
            <w:vAlign w:val="bottom"/>
          </w:tcPr>
          <w:p w14:paraId="41BE90F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3,0%</w:t>
            </w:r>
          </w:p>
        </w:tc>
        <w:tc>
          <w:tcPr>
            <w:tcW w:w="1963" w:type="dxa"/>
            <w:tcBorders>
              <w:top w:val="single" w:sz="4" w:space="0" w:color="FFFFFF"/>
              <w:left w:val="single" w:sz="4" w:space="0" w:color="FFFFFF"/>
              <w:bottom w:val="single" w:sz="4" w:space="0" w:color="FFFFFF"/>
              <w:right w:val="single" w:sz="4" w:space="0" w:color="FFFFFF"/>
            </w:tcBorders>
            <w:vAlign w:val="bottom"/>
          </w:tcPr>
          <w:p w14:paraId="46CD122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3,8%</w:t>
            </w:r>
          </w:p>
        </w:tc>
      </w:tr>
      <w:tr w:rsidR="000B0E98" w14:paraId="5FF7F27E"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tcPr>
          <w:p w14:paraId="44E71EEC" w14:textId="77777777" w:rsidR="000B0E98" w:rsidRDefault="00000000">
            <w:pPr>
              <w:rPr>
                <w:rFonts w:ascii="Open Sans" w:eastAsia="Open Sans" w:hAnsi="Open Sans" w:cs="Open Sans"/>
                <w:sz w:val="22"/>
                <w:szCs w:val="22"/>
              </w:rPr>
            </w:pPr>
            <w:r>
              <w:rPr>
                <w:rFonts w:ascii="Open Sans" w:eastAsia="Open Sans" w:hAnsi="Open Sans" w:cs="Open Sans"/>
                <w:b w:val="0"/>
              </w:rPr>
              <w:t>Sarrià - Sant Gervasi</w:t>
            </w:r>
          </w:p>
        </w:tc>
        <w:tc>
          <w:tcPr>
            <w:tcW w:w="2409" w:type="dxa"/>
            <w:tcBorders>
              <w:top w:val="single" w:sz="4" w:space="0" w:color="FFFFFF"/>
              <w:left w:val="single" w:sz="4" w:space="0" w:color="FFFFFF"/>
              <w:bottom w:val="single" w:sz="4" w:space="0" w:color="FFFFFF"/>
              <w:right w:val="single" w:sz="4" w:space="0" w:color="FFFFFF"/>
            </w:tcBorders>
            <w:vAlign w:val="bottom"/>
          </w:tcPr>
          <w:p w14:paraId="719A0A17"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5.965 €</w:t>
            </w:r>
          </w:p>
        </w:tc>
        <w:tc>
          <w:tcPr>
            <w:tcW w:w="1985" w:type="dxa"/>
            <w:tcBorders>
              <w:top w:val="single" w:sz="4" w:space="0" w:color="FFFFFF"/>
              <w:left w:val="single" w:sz="4" w:space="0" w:color="FFFFFF"/>
              <w:bottom w:val="single" w:sz="4" w:space="0" w:color="FFFFFF"/>
              <w:right w:val="single" w:sz="4" w:space="0" w:color="FFFFFF"/>
            </w:tcBorders>
            <w:vAlign w:val="bottom"/>
          </w:tcPr>
          <w:p w14:paraId="3D8203B3"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w:t>
            </w:r>
          </w:p>
        </w:tc>
        <w:tc>
          <w:tcPr>
            <w:tcW w:w="1963" w:type="dxa"/>
            <w:tcBorders>
              <w:top w:val="single" w:sz="4" w:space="0" w:color="FFFFFF"/>
              <w:left w:val="single" w:sz="4" w:space="0" w:color="FFFFFF"/>
              <w:bottom w:val="single" w:sz="4" w:space="0" w:color="FFFFFF"/>
              <w:right w:val="single" w:sz="4" w:space="0" w:color="FFFFFF"/>
            </w:tcBorders>
            <w:vAlign w:val="bottom"/>
          </w:tcPr>
          <w:p w14:paraId="3FD4C0D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3,5%</w:t>
            </w:r>
          </w:p>
        </w:tc>
      </w:tr>
      <w:tr w:rsidR="000B0E98" w14:paraId="35D682BF"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tcPr>
          <w:p w14:paraId="461EB08D" w14:textId="77777777" w:rsidR="000B0E98" w:rsidRDefault="00000000">
            <w:pPr>
              <w:rPr>
                <w:rFonts w:ascii="Open Sans" w:eastAsia="Open Sans" w:hAnsi="Open Sans" w:cs="Open Sans"/>
                <w:sz w:val="22"/>
                <w:szCs w:val="22"/>
              </w:rPr>
            </w:pPr>
            <w:proofErr w:type="spellStart"/>
            <w:r>
              <w:rPr>
                <w:rFonts w:ascii="Open Sans" w:eastAsia="Open Sans" w:hAnsi="Open Sans" w:cs="Open Sans"/>
                <w:b w:val="0"/>
              </w:rPr>
              <w:t>Ciutat</w:t>
            </w:r>
            <w:proofErr w:type="spellEnd"/>
            <w:r>
              <w:rPr>
                <w:rFonts w:ascii="Open Sans" w:eastAsia="Open Sans" w:hAnsi="Open Sans" w:cs="Open Sans"/>
                <w:b w:val="0"/>
              </w:rPr>
              <w:t xml:space="preserve"> Vella</w:t>
            </w:r>
          </w:p>
        </w:tc>
        <w:tc>
          <w:tcPr>
            <w:tcW w:w="2409" w:type="dxa"/>
            <w:tcBorders>
              <w:top w:val="single" w:sz="4" w:space="0" w:color="FFFFFF"/>
              <w:left w:val="single" w:sz="4" w:space="0" w:color="FFFFFF"/>
              <w:bottom w:val="single" w:sz="4" w:space="0" w:color="FFFFFF"/>
              <w:right w:val="single" w:sz="4" w:space="0" w:color="FFFFFF"/>
            </w:tcBorders>
            <w:vAlign w:val="bottom"/>
          </w:tcPr>
          <w:p w14:paraId="2267F6D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4.739 €</w:t>
            </w:r>
          </w:p>
        </w:tc>
        <w:tc>
          <w:tcPr>
            <w:tcW w:w="1985" w:type="dxa"/>
            <w:tcBorders>
              <w:top w:val="single" w:sz="4" w:space="0" w:color="FFFFFF"/>
              <w:left w:val="single" w:sz="4" w:space="0" w:color="FFFFFF"/>
              <w:bottom w:val="single" w:sz="4" w:space="0" w:color="FFFFFF"/>
              <w:right w:val="single" w:sz="4" w:space="0" w:color="FFFFFF"/>
            </w:tcBorders>
            <w:vAlign w:val="bottom"/>
          </w:tcPr>
          <w:p w14:paraId="0974E22F"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0,5%</w:t>
            </w:r>
          </w:p>
        </w:tc>
        <w:tc>
          <w:tcPr>
            <w:tcW w:w="1963" w:type="dxa"/>
            <w:tcBorders>
              <w:top w:val="single" w:sz="4" w:space="0" w:color="FFFFFF"/>
              <w:left w:val="single" w:sz="4" w:space="0" w:color="FFFFFF"/>
              <w:bottom w:val="single" w:sz="4" w:space="0" w:color="FFFFFF"/>
              <w:right w:val="single" w:sz="4" w:space="0" w:color="FFFFFF"/>
            </w:tcBorders>
            <w:vAlign w:val="bottom"/>
          </w:tcPr>
          <w:p w14:paraId="6415DD45"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3,0%</w:t>
            </w:r>
          </w:p>
        </w:tc>
      </w:tr>
      <w:tr w:rsidR="000B0E98" w14:paraId="5AFBD3F5" w14:textId="77777777" w:rsidTr="000B0E9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tcPr>
          <w:p w14:paraId="0162BBB2" w14:textId="77777777" w:rsidR="000B0E98" w:rsidRDefault="00000000">
            <w:pPr>
              <w:rPr>
                <w:rFonts w:ascii="Open Sans" w:eastAsia="Open Sans" w:hAnsi="Open Sans" w:cs="Open Sans"/>
                <w:sz w:val="22"/>
                <w:szCs w:val="22"/>
              </w:rPr>
            </w:pPr>
            <w:r>
              <w:rPr>
                <w:rFonts w:ascii="Open Sans" w:eastAsia="Open Sans" w:hAnsi="Open Sans" w:cs="Open Sans"/>
                <w:b w:val="0"/>
              </w:rPr>
              <w:t xml:space="preserve">Nou </w:t>
            </w:r>
            <w:proofErr w:type="spellStart"/>
            <w:r>
              <w:rPr>
                <w:rFonts w:ascii="Open Sans" w:eastAsia="Open Sans" w:hAnsi="Open Sans" w:cs="Open Sans"/>
                <w:b w:val="0"/>
              </w:rPr>
              <w:t>Barris</w:t>
            </w:r>
            <w:proofErr w:type="spellEnd"/>
          </w:p>
        </w:tc>
        <w:tc>
          <w:tcPr>
            <w:tcW w:w="2409" w:type="dxa"/>
            <w:tcBorders>
              <w:top w:val="single" w:sz="4" w:space="0" w:color="FFFFFF"/>
              <w:left w:val="single" w:sz="4" w:space="0" w:color="FFFFFF"/>
              <w:bottom w:val="single" w:sz="4" w:space="0" w:color="FFFFFF"/>
              <w:right w:val="single" w:sz="4" w:space="0" w:color="FFFFFF"/>
            </w:tcBorders>
            <w:vAlign w:val="bottom"/>
          </w:tcPr>
          <w:p w14:paraId="43C75B21"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2.675 €</w:t>
            </w:r>
          </w:p>
        </w:tc>
        <w:tc>
          <w:tcPr>
            <w:tcW w:w="1985" w:type="dxa"/>
            <w:tcBorders>
              <w:top w:val="single" w:sz="4" w:space="0" w:color="FFFFFF"/>
              <w:left w:val="single" w:sz="4" w:space="0" w:color="FFFFFF"/>
              <w:bottom w:val="single" w:sz="4" w:space="0" w:color="FFFFFF"/>
              <w:right w:val="single" w:sz="4" w:space="0" w:color="FFFFFF"/>
            </w:tcBorders>
            <w:vAlign w:val="bottom"/>
          </w:tcPr>
          <w:p w14:paraId="51FFD50F"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-1,9%</w:t>
            </w:r>
          </w:p>
        </w:tc>
        <w:tc>
          <w:tcPr>
            <w:tcW w:w="1963" w:type="dxa"/>
            <w:tcBorders>
              <w:top w:val="single" w:sz="4" w:space="0" w:color="FFFFFF"/>
              <w:left w:val="single" w:sz="4" w:space="0" w:color="FFFFFF"/>
              <w:bottom w:val="single" w:sz="4" w:space="0" w:color="FFFFFF"/>
              <w:right w:val="single" w:sz="4" w:space="0" w:color="FFFFFF"/>
            </w:tcBorders>
            <w:vAlign w:val="bottom"/>
          </w:tcPr>
          <w:p w14:paraId="5E9D7E1C" w14:textId="77777777" w:rsidR="000B0E9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0,6%</w:t>
            </w:r>
          </w:p>
        </w:tc>
      </w:tr>
      <w:tr w:rsidR="000B0E98" w14:paraId="6224616C" w14:textId="77777777" w:rsidTr="000B0E9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tcPr>
          <w:p w14:paraId="09FF4B67" w14:textId="77777777" w:rsidR="000B0E98" w:rsidRDefault="00000000">
            <w:pPr>
              <w:rPr>
                <w:rFonts w:ascii="Open Sans" w:eastAsia="Open Sans" w:hAnsi="Open Sans" w:cs="Open Sans"/>
                <w:sz w:val="22"/>
                <w:szCs w:val="22"/>
              </w:rPr>
            </w:pPr>
            <w:r>
              <w:rPr>
                <w:rFonts w:ascii="Open Sans" w:eastAsia="Open Sans" w:hAnsi="Open Sans" w:cs="Open Sans"/>
                <w:b w:val="0"/>
              </w:rPr>
              <w:t>Les Corts</w:t>
            </w:r>
          </w:p>
        </w:tc>
        <w:tc>
          <w:tcPr>
            <w:tcW w:w="2409" w:type="dxa"/>
            <w:tcBorders>
              <w:top w:val="single" w:sz="4" w:space="0" w:color="FFFFFF"/>
              <w:left w:val="single" w:sz="4" w:space="0" w:color="FFFFFF"/>
              <w:bottom w:val="single" w:sz="4" w:space="0" w:color="FFFFFF"/>
              <w:right w:val="single" w:sz="4" w:space="0" w:color="FFFFFF"/>
            </w:tcBorders>
            <w:vAlign w:val="bottom"/>
          </w:tcPr>
          <w:p w14:paraId="21FC6964"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5.125 €</w:t>
            </w:r>
          </w:p>
        </w:tc>
        <w:tc>
          <w:tcPr>
            <w:tcW w:w="1985" w:type="dxa"/>
            <w:tcBorders>
              <w:top w:val="single" w:sz="4" w:space="0" w:color="FFFFFF"/>
              <w:left w:val="single" w:sz="4" w:space="0" w:color="FFFFFF"/>
              <w:bottom w:val="single" w:sz="4" w:space="0" w:color="FFFFFF"/>
              <w:right w:val="single" w:sz="4" w:space="0" w:color="FFFFFF"/>
            </w:tcBorders>
            <w:vAlign w:val="bottom"/>
          </w:tcPr>
          <w:p w14:paraId="6B63D2EE"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6F9FD7BD" w14:textId="77777777" w:rsidR="000B0E9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-7,5%</w:t>
            </w:r>
          </w:p>
        </w:tc>
      </w:tr>
    </w:tbl>
    <w:p w14:paraId="28BA5E80" w14:textId="77777777" w:rsidR="000B0E98" w:rsidRDefault="000B0E98">
      <w:pPr>
        <w:spacing w:line="276" w:lineRule="auto"/>
        <w:jc w:val="right"/>
        <w:rPr>
          <w:rFonts w:ascii="Open Sans Light" w:eastAsia="Open Sans Light" w:hAnsi="Open Sans Light" w:cs="Open Sans Light"/>
          <w:b/>
          <w:color w:val="303AB2"/>
        </w:rPr>
      </w:pPr>
    </w:p>
    <w:p w14:paraId="262B355C" w14:textId="77777777" w:rsidR="00A64FC3" w:rsidRDefault="00A64FC3" w:rsidP="00C82D4B">
      <w:pPr>
        <w:spacing w:line="276" w:lineRule="auto"/>
        <w:jc w:val="right"/>
        <w:rPr>
          <w:rFonts w:ascii="Open Sans Light" w:eastAsia="Open Sans Light" w:hAnsi="Open Sans Light" w:cs="Open Sans Light"/>
          <w:b/>
          <w:color w:val="303AB2"/>
        </w:rPr>
      </w:pPr>
    </w:p>
    <w:p w14:paraId="4DF8B30F" w14:textId="77777777" w:rsidR="00A64FC3" w:rsidRDefault="00A64FC3" w:rsidP="00C82D4B">
      <w:pPr>
        <w:spacing w:line="276" w:lineRule="auto"/>
        <w:jc w:val="right"/>
        <w:rPr>
          <w:rFonts w:ascii="Open Sans Light" w:eastAsia="Open Sans Light" w:hAnsi="Open Sans Light" w:cs="Open Sans Light"/>
          <w:b/>
          <w:color w:val="303AB2"/>
        </w:rPr>
      </w:pPr>
    </w:p>
    <w:p w14:paraId="3E49D417" w14:textId="62AACFF4" w:rsidR="00C82D4B" w:rsidRDefault="00C82D4B" w:rsidP="00C82D4B">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15A3D9D" w14:textId="77777777" w:rsidR="00C82D4B" w:rsidRDefault="00C82D4B" w:rsidP="00C82D4B">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6DFA7FE8" w14:textId="77777777" w:rsidR="00C82D4B" w:rsidRDefault="00C82D4B" w:rsidP="00C82D4B">
      <w:pPr>
        <w:shd w:val="clear" w:color="auto" w:fill="FFFFFF"/>
        <w:spacing w:before="280" w:after="280" w:line="276" w:lineRule="auto"/>
        <w:jc w:val="both"/>
        <w:rPr>
          <w:rFonts w:ascii="Open Sans" w:eastAsia="Open Sans" w:hAnsi="Open Sans" w:cs="Open Sans"/>
          <w:color w:val="000000"/>
          <w:sz w:val="22"/>
          <w:szCs w:val="22"/>
        </w:rPr>
      </w:pPr>
      <w:r>
        <w:lastRenderedPageBreak/>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3E09D93F" w14:textId="77777777" w:rsidR="00C82D4B" w:rsidRDefault="00C82D4B" w:rsidP="00C82D4B">
      <w:pPr>
        <w:shd w:val="clear" w:color="auto" w:fill="FFFFFF"/>
        <w:spacing w:before="280" w:after="280" w:line="276" w:lineRule="auto"/>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AE02A5E" w14:textId="77777777" w:rsidR="00C82D4B" w:rsidRDefault="00C82D4B" w:rsidP="00C82D4B">
      <w:pPr>
        <w:spacing w:line="276" w:lineRule="auto"/>
        <w:jc w:val="right"/>
        <w:rPr>
          <w:rFonts w:ascii="Open Sans Light" w:eastAsia="Open Sans Light" w:hAnsi="Open Sans Light" w:cs="Open Sans Light"/>
          <w:b/>
          <w:color w:val="303AB2"/>
        </w:rPr>
      </w:pPr>
    </w:p>
    <w:p w14:paraId="24C621E1" w14:textId="77777777" w:rsidR="00C82D4B" w:rsidRDefault="00C82D4B" w:rsidP="00C82D4B">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00E8463" w14:textId="77777777" w:rsidR="00C82D4B" w:rsidRDefault="00C82D4B" w:rsidP="00C82D4B">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27F9A707" w14:textId="77777777" w:rsidR="00C82D4B" w:rsidRDefault="00C82D4B" w:rsidP="00C82D4B">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2F8981F3" w14:textId="77777777" w:rsidR="00C82D4B" w:rsidRDefault="00C82D4B" w:rsidP="00C82D4B">
      <w:pP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494B08EA" w14:textId="77777777" w:rsidR="00C82D4B" w:rsidRDefault="00C82D4B" w:rsidP="00C82D4B">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5EA1D757" w14:textId="77777777" w:rsidR="00C82D4B" w:rsidRDefault="00C82D4B" w:rsidP="00C82D4B">
      <w:pPr>
        <w:spacing w:after="160"/>
        <w:jc w:val="both"/>
        <w:rPr>
          <w:rFonts w:ascii="Open Sans" w:eastAsia="Open Sans" w:hAnsi="Open Sans" w:cs="Open Sans"/>
        </w:rPr>
      </w:pPr>
    </w:p>
    <w:p w14:paraId="01CF18C0" w14:textId="77777777" w:rsidR="00C82D4B" w:rsidRDefault="00C82D4B" w:rsidP="00C82D4B">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0F51FB2" w14:textId="77777777" w:rsidR="00C82D4B" w:rsidRDefault="00C82D4B" w:rsidP="00C82D4B">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6CDAE01" w14:textId="77777777" w:rsidR="00C82D4B" w:rsidRDefault="00C82D4B" w:rsidP="00C82D4B">
      <w:pPr>
        <w:shd w:val="clear" w:color="auto" w:fill="FFFFFF"/>
        <w:spacing w:line="276" w:lineRule="auto"/>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2B9951FF" w14:textId="77777777" w:rsidR="00C82D4B" w:rsidRDefault="00C82D4B" w:rsidP="00C82D4B">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3EB711D" w14:textId="77777777" w:rsidR="00C82D4B" w:rsidRDefault="00C82D4B" w:rsidP="00C82D4B">
      <w:pPr>
        <w:spacing w:line="276" w:lineRule="auto"/>
        <w:rPr>
          <w:rFonts w:ascii="Open Sans Light" w:eastAsia="Open Sans Light" w:hAnsi="Open Sans Light" w:cs="Open Sans Light"/>
          <w:b/>
          <w:color w:val="303AB2"/>
          <w:sz w:val="22"/>
          <w:szCs w:val="22"/>
        </w:rPr>
      </w:pPr>
    </w:p>
    <w:p w14:paraId="6A5F3854" w14:textId="77777777" w:rsidR="00C82D4B" w:rsidRDefault="00C82D4B" w:rsidP="00C82D4B">
      <w:pPr>
        <w:spacing w:line="276" w:lineRule="auto"/>
        <w:rPr>
          <w:rFonts w:ascii="Open Sans Light" w:eastAsia="Open Sans Light" w:hAnsi="Open Sans Light" w:cs="Open Sans Light"/>
          <w:b/>
          <w:color w:val="303AB2"/>
          <w:sz w:val="22"/>
          <w:szCs w:val="22"/>
        </w:rPr>
      </w:pPr>
    </w:p>
    <w:p w14:paraId="6200E3B4" w14:textId="77777777" w:rsidR="00C82D4B" w:rsidRDefault="00C82D4B" w:rsidP="00C82D4B">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572C4D87" w14:textId="77777777" w:rsidR="00C82D4B" w:rsidRDefault="00C82D4B" w:rsidP="00C82D4B">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59A7056A" w14:textId="77777777" w:rsidR="00C82D4B" w:rsidRPr="00FF5F56" w:rsidRDefault="00C82D4B" w:rsidP="00C82D4B">
      <w:pPr>
        <w:shd w:val="clear" w:color="auto" w:fill="FFFFFF"/>
        <w:spacing w:line="276" w:lineRule="auto"/>
        <w:rPr>
          <w:rFonts w:ascii="Open Sans" w:eastAsia="Open Sans" w:hAnsi="Open Sans" w:cs="Open Sans"/>
          <w:color w:val="0000FF"/>
          <w:sz w:val="22"/>
          <w:szCs w:val="22"/>
          <w:u w:val="single"/>
          <w:lang w:val="en-US"/>
        </w:rPr>
      </w:pPr>
      <w:hyperlink r:id="rId25">
        <w:r w:rsidRPr="00FF5F56">
          <w:rPr>
            <w:rFonts w:ascii="Open Sans" w:eastAsia="Open Sans" w:hAnsi="Open Sans" w:cs="Open Sans"/>
            <w:color w:val="0000FF"/>
            <w:sz w:val="22"/>
            <w:szCs w:val="22"/>
            <w:u w:val="single"/>
            <w:lang w:val="en-US"/>
          </w:rPr>
          <w:t>rtorne@llorenteycuenca.com</w:t>
        </w:r>
      </w:hyperlink>
      <w:r w:rsidRPr="00FF5F56">
        <w:rPr>
          <w:rFonts w:ascii="Open Sans" w:eastAsia="Open Sans" w:hAnsi="Open Sans" w:cs="Open Sans"/>
          <w:color w:val="0000FF"/>
          <w:sz w:val="22"/>
          <w:szCs w:val="22"/>
          <w:lang w:val="en-US"/>
        </w:rPr>
        <w:tab/>
      </w:r>
      <w:r w:rsidRPr="00FF5F56">
        <w:rPr>
          <w:rFonts w:ascii="Open Sans" w:eastAsia="Open Sans" w:hAnsi="Open Sans" w:cs="Open Sans"/>
          <w:color w:val="0000FF"/>
          <w:sz w:val="22"/>
          <w:szCs w:val="22"/>
          <w:lang w:val="en-US"/>
        </w:rPr>
        <w:tab/>
      </w:r>
      <w:r w:rsidRPr="00FF5F56">
        <w:rPr>
          <w:rFonts w:ascii="Open Sans" w:eastAsia="Open Sans" w:hAnsi="Open Sans" w:cs="Open Sans"/>
          <w:color w:val="0000FF"/>
          <w:sz w:val="22"/>
          <w:szCs w:val="22"/>
          <w:lang w:val="en-US"/>
        </w:rPr>
        <w:tab/>
      </w:r>
    </w:p>
    <w:p w14:paraId="77879762" w14:textId="77777777" w:rsidR="00C82D4B" w:rsidRPr="00FF5F56" w:rsidRDefault="00C82D4B" w:rsidP="00C82D4B">
      <w:pPr>
        <w:shd w:val="clear" w:color="auto" w:fill="FFFFFF"/>
        <w:spacing w:line="276" w:lineRule="auto"/>
        <w:rPr>
          <w:rFonts w:ascii="Open Sans" w:eastAsia="Open Sans" w:hAnsi="Open Sans" w:cs="Open Sans"/>
          <w:color w:val="000000"/>
          <w:sz w:val="22"/>
          <w:szCs w:val="22"/>
          <w:lang w:val="en-US"/>
        </w:rPr>
      </w:pPr>
      <w:r w:rsidRPr="00FF5F56">
        <w:rPr>
          <w:rFonts w:ascii="Open Sans" w:eastAsia="Open Sans" w:hAnsi="Open Sans" w:cs="Open Sans"/>
          <w:color w:val="000000"/>
          <w:sz w:val="22"/>
          <w:szCs w:val="22"/>
          <w:lang w:val="en-US"/>
        </w:rPr>
        <w:t xml:space="preserve">638 68 19 85      </w:t>
      </w:r>
      <w:r w:rsidRPr="00FF5F56">
        <w:rPr>
          <w:rFonts w:ascii="Open Sans" w:eastAsia="Open Sans" w:hAnsi="Open Sans" w:cs="Open Sans"/>
          <w:color w:val="000000"/>
          <w:sz w:val="22"/>
          <w:szCs w:val="22"/>
          <w:lang w:val="en-US"/>
        </w:rPr>
        <w:tab/>
      </w:r>
      <w:r w:rsidRPr="00FF5F56">
        <w:rPr>
          <w:rFonts w:ascii="Open Sans" w:eastAsia="Open Sans" w:hAnsi="Open Sans" w:cs="Open Sans"/>
          <w:color w:val="000000"/>
          <w:sz w:val="22"/>
          <w:szCs w:val="22"/>
          <w:lang w:val="en-US"/>
        </w:rPr>
        <w:tab/>
      </w:r>
      <w:r w:rsidRPr="00FF5F56">
        <w:rPr>
          <w:rFonts w:ascii="Open Sans" w:eastAsia="Open Sans" w:hAnsi="Open Sans" w:cs="Open Sans"/>
          <w:color w:val="000000"/>
          <w:sz w:val="22"/>
          <w:szCs w:val="22"/>
          <w:lang w:val="en-US"/>
        </w:rPr>
        <w:tab/>
      </w:r>
      <w:r w:rsidRPr="00FF5F56">
        <w:rPr>
          <w:rFonts w:ascii="Open Sans" w:eastAsia="Open Sans" w:hAnsi="Open Sans" w:cs="Open Sans"/>
          <w:color w:val="000000"/>
          <w:sz w:val="22"/>
          <w:szCs w:val="22"/>
          <w:lang w:val="en-US"/>
        </w:rPr>
        <w:tab/>
      </w:r>
      <w:r w:rsidRPr="00FF5F56">
        <w:rPr>
          <w:rFonts w:ascii="Open Sans" w:eastAsia="Open Sans" w:hAnsi="Open Sans" w:cs="Open Sans"/>
          <w:color w:val="000000"/>
          <w:sz w:val="22"/>
          <w:szCs w:val="22"/>
          <w:lang w:val="en-US"/>
        </w:rPr>
        <w:tab/>
      </w:r>
      <w:r w:rsidRPr="00FF5F56">
        <w:rPr>
          <w:rFonts w:ascii="Open Sans" w:eastAsia="Open Sans" w:hAnsi="Open Sans" w:cs="Open Sans"/>
          <w:color w:val="000000"/>
          <w:sz w:val="22"/>
          <w:szCs w:val="22"/>
          <w:lang w:val="en-US"/>
        </w:rPr>
        <w:tab/>
      </w:r>
      <w:r w:rsidRPr="00FF5F56">
        <w:rPr>
          <w:rFonts w:ascii="Open Sans" w:eastAsia="Open Sans" w:hAnsi="Open Sans" w:cs="Open Sans"/>
          <w:color w:val="000000"/>
          <w:sz w:val="22"/>
          <w:szCs w:val="22"/>
          <w:lang w:val="en-US"/>
        </w:rPr>
        <w:tab/>
      </w:r>
      <w:r w:rsidRPr="00FF5F56">
        <w:rPr>
          <w:rFonts w:ascii="Open Sans" w:eastAsia="Open Sans" w:hAnsi="Open Sans" w:cs="Open Sans"/>
          <w:color w:val="000000"/>
          <w:sz w:val="22"/>
          <w:szCs w:val="22"/>
          <w:lang w:val="en-US"/>
        </w:rPr>
        <w:tab/>
      </w:r>
    </w:p>
    <w:p w14:paraId="27C78FAD" w14:textId="77777777" w:rsidR="00C82D4B" w:rsidRPr="00FF5F56" w:rsidRDefault="00C82D4B" w:rsidP="00C82D4B">
      <w:pPr>
        <w:shd w:val="clear" w:color="auto" w:fill="FFFFFF"/>
        <w:rPr>
          <w:rFonts w:ascii="Arial" w:eastAsia="Arial" w:hAnsi="Arial" w:cs="Arial"/>
          <w:color w:val="222222"/>
          <w:sz w:val="22"/>
          <w:szCs w:val="22"/>
          <w:lang w:val="en-US"/>
        </w:rPr>
      </w:pPr>
      <w:r w:rsidRPr="00FF5F56">
        <w:rPr>
          <w:rFonts w:ascii="Arial" w:eastAsia="Arial" w:hAnsi="Arial" w:cs="Arial"/>
          <w:color w:val="222222"/>
          <w:sz w:val="22"/>
          <w:szCs w:val="22"/>
          <w:lang w:val="en-US"/>
        </w:rPr>
        <w:tab/>
      </w:r>
    </w:p>
    <w:p w14:paraId="2DDFAA1A" w14:textId="77777777" w:rsidR="00C82D4B" w:rsidRPr="00FF5F56" w:rsidRDefault="00C82D4B" w:rsidP="00C82D4B">
      <w:pPr>
        <w:shd w:val="clear" w:color="auto" w:fill="FFFFFF"/>
        <w:rPr>
          <w:rFonts w:ascii="Arial" w:eastAsia="Arial" w:hAnsi="Arial" w:cs="Arial"/>
          <w:color w:val="222222"/>
          <w:sz w:val="22"/>
          <w:szCs w:val="22"/>
          <w:lang w:val="en-US"/>
        </w:rPr>
      </w:pPr>
      <w:r w:rsidRPr="00FF5F56">
        <w:rPr>
          <w:rFonts w:ascii="Arial" w:eastAsia="Arial" w:hAnsi="Arial" w:cs="Arial"/>
          <w:color w:val="222222"/>
          <w:sz w:val="22"/>
          <w:szCs w:val="22"/>
          <w:lang w:val="en-US"/>
        </w:rPr>
        <w:tab/>
      </w:r>
      <w:r w:rsidRPr="00FF5F56">
        <w:rPr>
          <w:rFonts w:ascii="Arial" w:eastAsia="Arial" w:hAnsi="Arial" w:cs="Arial"/>
          <w:color w:val="222222"/>
          <w:sz w:val="22"/>
          <w:szCs w:val="22"/>
          <w:lang w:val="en-US"/>
        </w:rPr>
        <w:tab/>
      </w:r>
      <w:r w:rsidRPr="00FF5F56">
        <w:rPr>
          <w:rFonts w:ascii="Arial" w:eastAsia="Arial" w:hAnsi="Arial" w:cs="Arial"/>
          <w:color w:val="222222"/>
          <w:sz w:val="22"/>
          <w:szCs w:val="22"/>
          <w:lang w:val="en-US"/>
        </w:rPr>
        <w:tab/>
      </w:r>
      <w:r w:rsidRPr="00FF5F56">
        <w:rPr>
          <w:rFonts w:ascii="Arial" w:eastAsia="Arial" w:hAnsi="Arial" w:cs="Arial"/>
          <w:color w:val="222222"/>
          <w:sz w:val="22"/>
          <w:szCs w:val="22"/>
          <w:lang w:val="en-US"/>
        </w:rPr>
        <w:tab/>
      </w:r>
      <w:r w:rsidRPr="00FF5F56">
        <w:rPr>
          <w:rFonts w:ascii="Arial" w:eastAsia="Arial" w:hAnsi="Arial" w:cs="Arial"/>
          <w:color w:val="222222"/>
          <w:sz w:val="22"/>
          <w:szCs w:val="22"/>
          <w:lang w:val="en-US"/>
        </w:rPr>
        <w:tab/>
      </w:r>
      <w:r w:rsidRPr="00FF5F56">
        <w:rPr>
          <w:rFonts w:ascii="Arial" w:eastAsia="Arial" w:hAnsi="Arial" w:cs="Arial"/>
          <w:color w:val="222222"/>
          <w:sz w:val="22"/>
          <w:szCs w:val="22"/>
          <w:lang w:val="en-US"/>
        </w:rPr>
        <w:tab/>
        <w:t xml:space="preserve">     </w:t>
      </w:r>
    </w:p>
    <w:p w14:paraId="788D8182" w14:textId="77777777" w:rsidR="00C82D4B" w:rsidRPr="00FF5F56" w:rsidRDefault="00C82D4B" w:rsidP="00C82D4B">
      <w:pPr>
        <w:shd w:val="clear" w:color="auto" w:fill="FFFFFF"/>
        <w:rPr>
          <w:rFonts w:ascii="Open Sans" w:eastAsia="Open Sans" w:hAnsi="Open Sans" w:cs="Open Sans"/>
          <w:b/>
          <w:color w:val="000000"/>
          <w:sz w:val="22"/>
          <w:szCs w:val="22"/>
          <w:lang w:val="en-US"/>
        </w:rPr>
      </w:pPr>
      <w:r w:rsidRPr="00FF5F56">
        <w:rPr>
          <w:rFonts w:ascii="Open Sans" w:eastAsia="Open Sans" w:hAnsi="Open Sans" w:cs="Open Sans"/>
          <w:b/>
          <w:color w:val="000000"/>
          <w:sz w:val="22"/>
          <w:szCs w:val="22"/>
          <w:lang w:val="en-US"/>
        </w:rPr>
        <w:t>Fanny Merino</w:t>
      </w:r>
    </w:p>
    <w:p w14:paraId="67AE3ECD" w14:textId="77777777" w:rsidR="00C82D4B" w:rsidRPr="00FF5F56" w:rsidRDefault="00C82D4B" w:rsidP="00C82D4B">
      <w:pPr>
        <w:shd w:val="clear" w:color="auto" w:fill="FFFFFF"/>
        <w:rPr>
          <w:rFonts w:ascii="Open Sans" w:eastAsia="Open Sans" w:hAnsi="Open Sans" w:cs="Open Sans"/>
          <w:b/>
          <w:color w:val="000000"/>
          <w:sz w:val="22"/>
          <w:szCs w:val="22"/>
          <w:lang w:val="en-US"/>
        </w:rPr>
      </w:pPr>
      <w:hyperlink r:id="rId26">
        <w:r w:rsidRPr="00FF5F56">
          <w:rPr>
            <w:rFonts w:ascii="Open Sans" w:eastAsia="Open Sans" w:hAnsi="Open Sans" w:cs="Open Sans"/>
            <w:color w:val="0000FF"/>
            <w:sz w:val="22"/>
            <w:szCs w:val="22"/>
            <w:u w:val="single"/>
            <w:lang w:val="en-US"/>
          </w:rPr>
          <w:t>emerino@llorenteycuenca.com</w:t>
        </w:r>
      </w:hyperlink>
      <w:r w:rsidRPr="00FF5F56">
        <w:rPr>
          <w:rFonts w:ascii="Open Sans" w:eastAsia="Open Sans" w:hAnsi="Open Sans" w:cs="Open Sans"/>
          <w:color w:val="0000FF"/>
          <w:sz w:val="22"/>
          <w:szCs w:val="22"/>
          <w:lang w:val="en-US"/>
        </w:rPr>
        <w:tab/>
      </w:r>
      <w:r w:rsidRPr="00FF5F56">
        <w:rPr>
          <w:rFonts w:ascii="Open Sans" w:eastAsia="Open Sans" w:hAnsi="Open Sans" w:cs="Open Sans"/>
          <w:color w:val="0000FF"/>
          <w:sz w:val="22"/>
          <w:szCs w:val="22"/>
          <w:lang w:val="en-US"/>
        </w:rPr>
        <w:tab/>
      </w:r>
    </w:p>
    <w:p w14:paraId="22AC31F0" w14:textId="77777777" w:rsidR="00C82D4B" w:rsidRDefault="00C82D4B" w:rsidP="00C82D4B">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43049A81" w14:textId="77777777" w:rsidR="00C82D4B" w:rsidRDefault="00C82D4B" w:rsidP="00C82D4B">
      <w:pPr>
        <w:shd w:val="clear" w:color="auto" w:fill="FFFFFF"/>
        <w:rPr>
          <w:rFonts w:ascii="Open Sans" w:eastAsia="Open Sans" w:hAnsi="Open Sans" w:cs="Open Sans"/>
          <w:color w:val="000000"/>
          <w:sz w:val="22"/>
          <w:szCs w:val="22"/>
        </w:rPr>
      </w:pPr>
    </w:p>
    <w:p w14:paraId="22A82A4C" w14:textId="77777777" w:rsidR="00C82D4B" w:rsidRDefault="00C82D4B" w:rsidP="00C82D4B">
      <w:pPr>
        <w:shd w:val="clear" w:color="auto" w:fill="FFFFFF"/>
        <w:rPr>
          <w:rFonts w:ascii="Open Sans" w:eastAsia="Open Sans" w:hAnsi="Open Sans" w:cs="Open Sans"/>
          <w:color w:val="000000"/>
          <w:sz w:val="22"/>
          <w:szCs w:val="22"/>
        </w:rPr>
      </w:pPr>
    </w:p>
    <w:p w14:paraId="4BB9963D" w14:textId="77777777" w:rsidR="000B0E98" w:rsidRDefault="000B0E98" w:rsidP="00C82D4B">
      <w:pPr>
        <w:spacing w:line="276" w:lineRule="auto"/>
        <w:jc w:val="right"/>
        <w:rPr>
          <w:rFonts w:ascii="Open Sans" w:eastAsia="Open Sans" w:hAnsi="Open Sans" w:cs="Open Sans"/>
          <w:color w:val="000000"/>
          <w:sz w:val="21"/>
          <w:szCs w:val="21"/>
        </w:rPr>
      </w:pPr>
    </w:p>
    <w:sectPr w:rsidR="000B0E98">
      <w:footerReference w:type="default" r:id="rId27"/>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A8EC" w14:textId="77777777" w:rsidR="000F498A" w:rsidRDefault="000F498A">
      <w:r>
        <w:separator/>
      </w:r>
    </w:p>
  </w:endnote>
  <w:endnote w:type="continuationSeparator" w:id="0">
    <w:p w14:paraId="79A0398A" w14:textId="77777777" w:rsidR="000F498A" w:rsidRDefault="000F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D3A5" w14:textId="77777777" w:rsidR="000B0E9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101E83E2" wp14:editId="7DB61E15">
          <wp:simplePos x="0" y="0"/>
          <wp:positionH relativeFrom="column">
            <wp:posOffset>-1191894</wp:posOffset>
          </wp:positionH>
          <wp:positionV relativeFrom="paragraph">
            <wp:posOffset>167970</wp:posOffset>
          </wp:positionV>
          <wp:extent cx="7670550" cy="451315"/>
          <wp:effectExtent l="0" t="0" r="0" b="0"/>
          <wp:wrapNone/>
          <wp:docPr id="19411250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4AA6" w14:textId="77777777" w:rsidR="000F498A" w:rsidRDefault="000F498A">
      <w:r>
        <w:separator/>
      </w:r>
    </w:p>
  </w:footnote>
  <w:footnote w:type="continuationSeparator" w:id="0">
    <w:p w14:paraId="290B8294" w14:textId="77777777" w:rsidR="000F498A" w:rsidRDefault="000F4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3561F"/>
    <w:multiLevelType w:val="multilevel"/>
    <w:tmpl w:val="595EF300"/>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232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98"/>
    <w:rsid w:val="000B0E98"/>
    <w:rsid w:val="000F498A"/>
    <w:rsid w:val="005C6B69"/>
    <w:rsid w:val="006A68BA"/>
    <w:rsid w:val="00806EBB"/>
    <w:rsid w:val="00960112"/>
    <w:rsid w:val="00A64FC3"/>
    <w:rsid w:val="00C82D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8A46"/>
  <w15:docId w15:val="{B0F5A517-3657-49EE-A7DB-7AC879E7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C0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7">
    <w:name w:val="7"/>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6">
    <w:name w:val="6"/>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
    <w:name w:val="5"/>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
    <w:name w:val="4"/>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3">
    <w:name w:val="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2">
    <w:name w:val="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
    <w:name w:val="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fotocasa.es/es/quienes-somo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www.fotocasa.es" TargetMode="External"/><Relationship Id="rId22" Type="http://schemas.openxmlformats.org/officeDocument/2006/relationships/hyperlink" Target="https://motos.coches.ne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1-VENTA\01-NOTAS%20DE%20PRENSA\2024\01-ENERO\PRENSA%20VENTA%20Enero%20202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2.8417107583774252E-2"/>
          <c:y val="5.9322721440970047E-2"/>
          <c:w val="0.94983890902526069"/>
          <c:h val="0.61497375629837503"/>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dLbl>
              <c:idx val="5"/>
              <c:layout>
                <c:manualLayout>
                  <c:x val="6.78264575522980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F4-495C-A0ED-74B9D2F573C4}"/>
                </c:ext>
              </c:extLst>
            </c:dLbl>
            <c:dLbl>
              <c:idx val="9"/>
              <c:layout>
                <c:manualLayout>
                  <c:x val="-1.8832023099033309E-3"/>
                  <c:y val="5.96734914765040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F4-495C-A0ED-74B9D2F573C4}"/>
                </c:ext>
              </c:extLst>
            </c:dLbl>
            <c:numFmt formatCode="#,##0.0&quot;%&quot;"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Hoja5!$A$31:$B$43</c:f>
              <c:multiLvlStrCache>
                <c:ptCount val="13"/>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lvl>
                <c:lvl>
                  <c:pt idx="0">
                    <c:v>2022</c:v>
                  </c:pt>
                  <c:pt idx="3">
                    <c:v>2023</c:v>
                  </c:pt>
                </c:lvl>
              </c:multiLvlStrCache>
            </c:multiLvlStrRef>
          </c:cat>
          <c:val>
            <c:numRef>
              <c:f>Hoja5!$C$31:$C$43</c:f>
              <c:numCache>
                <c:formatCode>#,##0.0"%"</c:formatCode>
                <c:ptCount val="13"/>
                <c:pt idx="0">
                  <c:v>0.53198232901960907</c:v>
                </c:pt>
                <c:pt idx="1">
                  <c:v>1.1635859205618493</c:v>
                </c:pt>
                <c:pt idx="2">
                  <c:v>0.80116218859673793</c:v>
                </c:pt>
                <c:pt idx="3">
                  <c:v>0.51464258025237797</c:v>
                </c:pt>
                <c:pt idx="4">
                  <c:v>0.83189400212941855</c:v>
                </c:pt>
                <c:pt idx="5">
                  <c:v>0.71756076270748093</c:v>
                </c:pt>
                <c:pt idx="6">
                  <c:v>0.17426798128716836</c:v>
                </c:pt>
                <c:pt idx="7">
                  <c:v>-0.2381550426539536</c:v>
                </c:pt>
                <c:pt idx="8">
                  <c:v>0.30353329541110902</c:v>
                </c:pt>
                <c:pt idx="9">
                  <c:v>0.37048227774549858</c:v>
                </c:pt>
                <c:pt idx="10">
                  <c:v>0.59975361473125766</c:v>
                </c:pt>
                <c:pt idx="11">
                  <c:v>1.4239217004193838</c:v>
                </c:pt>
                <c:pt idx="12">
                  <c:v>0.55694249012754327</c:v>
                </c:pt>
              </c:numCache>
            </c:numRef>
          </c:val>
          <c:extLst>
            <c:ext xmlns:c16="http://schemas.microsoft.com/office/drawing/2014/chart" uri="{C3380CC4-5D6E-409C-BE32-E72D297353CC}">
              <c16:uniqueId val="{00000002-04F4-495C-A0ED-74B9D2F573C4}"/>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0"/>
              <c:layout>
                <c:manualLayout>
                  <c:x val="0"/>
                  <c:y val="1.234609721949001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F4-495C-A0ED-74B9D2F573C4}"/>
                </c:ext>
              </c:extLst>
            </c:dLbl>
            <c:dLbl>
              <c:idx val="1"/>
              <c:layout>
                <c:manualLayout>
                  <c:x val="0"/>
                  <c:y val="3.86424444264649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F4-495C-A0ED-74B9D2F573C4}"/>
                </c:ext>
              </c:extLst>
            </c:dLbl>
            <c:numFmt formatCode="#,##0.0&quot;%&quot;"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lvl>
                <c:lvl>
                  <c:pt idx="0">
                    <c:v>2022</c:v>
                  </c:pt>
                  <c:pt idx="3">
                    <c:v>2023</c:v>
                  </c:pt>
                </c:lvl>
              </c:multiLvlStrCache>
            </c:multiLvlStrRef>
          </c:cat>
          <c:val>
            <c:numRef>
              <c:f>Hoja5!$D$31:$D$43</c:f>
              <c:numCache>
                <c:formatCode>#,##0.0"%"</c:formatCode>
                <c:ptCount val="13"/>
                <c:pt idx="0">
                  <c:v>8.997430664960838</c:v>
                </c:pt>
                <c:pt idx="1">
                  <c:v>9.887516134980622</c:v>
                </c:pt>
                <c:pt idx="2">
                  <c:v>9.8890358190076419</c:v>
                </c:pt>
                <c:pt idx="3">
                  <c:v>10.044470828386354</c:v>
                </c:pt>
                <c:pt idx="4">
                  <c:v>10.193876020706295</c:v>
                </c:pt>
                <c:pt idx="5">
                  <c:v>10.847580186973804</c:v>
                </c:pt>
                <c:pt idx="6">
                  <c:v>9.6945700203075802</c:v>
                </c:pt>
                <c:pt idx="7">
                  <c:v>7.8783367117513547</c:v>
                </c:pt>
                <c:pt idx="8">
                  <c:v>6.9970207453607713</c:v>
                </c:pt>
                <c:pt idx="9">
                  <c:v>6.6439472514446374</c:v>
                </c:pt>
                <c:pt idx="10">
                  <c:v>6.1599214126179636</c:v>
                </c:pt>
                <c:pt idx="11">
                  <c:v>7.4253225539052448</c:v>
                </c:pt>
                <c:pt idx="12">
                  <c:v>7.45199419904643</c:v>
                </c:pt>
              </c:numCache>
            </c:numRef>
          </c:val>
          <c:extLst>
            <c:ext xmlns:c16="http://schemas.microsoft.com/office/drawing/2014/chart" uri="{C3380CC4-5D6E-409C-BE32-E72D297353CC}">
              <c16:uniqueId val="{00000005-04F4-495C-A0ED-74B9D2F573C4}"/>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0.12402571386666411"/>
          <c:y val="0.89729815127644519"/>
          <c:w val="0.84440494727317739"/>
          <c:h val="9.181702810317383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1000" b="0">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0.04867</cdr:x>
      <cdr:y>0.58458</cdr:y>
    </cdr:from>
    <cdr:to>
      <cdr:x>0.97651</cdr:x>
      <cdr:y>0.59022</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flipV="1">
          <a:off x="280368" y="1594714"/>
          <a:ext cx="5345020" cy="15391"/>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MF7K/WjWInJpkMhp0I2JG4LLGQ==">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2771</Words>
  <Characters>15245</Characters>
  <Application>Microsoft Office Word</Application>
  <DocSecurity>0</DocSecurity>
  <Lines>127</Lines>
  <Paragraphs>35</Paragraphs>
  <ScaleCrop>false</ScaleCrop>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5</cp:revision>
  <dcterms:created xsi:type="dcterms:W3CDTF">2020-08-26T10:47:00Z</dcterms:created>
  <dcterms:modified xsi:type="dcterms:W3CDTF">2024-01-31T14:39:00Z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2024-01-26T14:32:01Z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32155b42-5118-4e37-94f2-fef8b188b727</vt:lpwstr>
  </property>
  <property fmtid="{D5CDD505-2E9C-101B-9397-08002B2CF9AE}" pid="7" name="MSIP_Label_defa4170-0d19-0005-0004-bc88714345d2_ActionId">
    <vt:lpwstr>14e205f0-437b-4ec9-a62f-b3b1d7a711e1</vt:lpwstr>
  </property>
  <property fmtid="{D5CDD505-2E9C-101B-9397-08002B2CF9AE}" pid="8" name="MSIP_Label_defa4170-0d19-0005-0004-bc88714345d2_ContentBits">
    <vt:lpwstr>0</vt:lpwstr>
  </property>
</Properties>
</file>