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E122" w14:textId="77777777" w:rsidR="00315627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510F661" wp14:editId="16C8B05F">
            <wp:simplePos x="0" y="0"/>
            <wp:positionH relativeFrom="column">
              <wp:posOffset>-1078858</wp:posOffset>
            </wp:positionH>
            <wp:positionV relativeFrom="paragraph">
              <wp:posOffset>-350446</wp:posOffset>
            </wp:positionV>
            <wp:extent cx="7581265" cy="1019175"/>
            <wp:effectExtent l="0" t="0" r="0" b="0"/>
            <wp:wrapNone/>
            <wp:docPr id="142442566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619723" w14:textId="77777777" w:rsidR="00315627" w:rsidRDefault="00315627">
      <w:pPr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69F005FC" w14:textId="77777777" w:rsidR="00315627" w:rsidRDefault="00315627">
      <w:pPr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38228085" w14:textId="77777777" w:rsidR="00315627" w:rsidRDefault="00315627">
      <w:pPr>
        <w:rPr>
          <w:rFonts w:ascii="National" w:eastAsia="National" w:hAnsi="National" w:cs="National"/>
          <w:color w:val="303AB2"/>
          <w:sz w:val="18"/>
          <w:szCs w:val="18"/>
        </w:rPr>
      </w:pPr>
    </w:p>
    <w:p w14:paraId="1EA93E58" w14:textId="77777777" w:rsidR="00315627" w:rsidRDefault="00000000">
      <w:pPr>
        <w:spacing w:line="276" w:lineRule="auto"/>
        <w:jc w:val="center"/>
        <w:rPr>
          <w:rFonts w:ascii="National" w:eastAsia="National" w:hAnsi="National" w:cs="National"/>
          <w:b/>
          <w:color w:val="1DBDC5"/>
          <w:sz w:val="42"/>
          <w:szCs w:val="42"/>
        </w:rPr>
      </w:pPr>
      <w:r>
        <w:rPr>
          <w:rFonts w:ascii="National" w:eastAsia="National" w:hAnsi="National" w:cs="National"/>
          <w:b/>
          <w:color w:val="1DBDC5"/>
          <w:sz w:val="42"/>
          <w:szCs w:val="42"/>
        </w:rPr>
        <w:t>INFORME SOBRE EL SEGMENTO INVERSOR</w:t>
      </w:r>
    </w:p>
    <w:p w14:paraId="5DC96925" w14:textId="77777777" w:rsidR="00315627" w:rsidRDefault="00000000">
      <w:pPr>
        <w:jc w:val="center"/>
        <w:rPr>
          <w:rFonts w:ascii="National" w:eastAsia="National" w:hAnsi="National" w:cs="National"/>
          <w:b/>
          <w:color w:val="303AB2"/>
          <w:sz w:val="54"/>
          <w:szCs w:val="54"/>
        </w:rPr>
      </w:pPr>
      <w:r>
        <w:rPr>
          <w:rFonts w:ascii="National" w:eastAsia="National" w:hAnsi="National" w:cs="National"/>
          <w:b/>
          <w:color w:val="303AB2"/>
          <w:sz w:val="54"/>
          <w:szCs w:val="54"/>
        </w:rPr>
        <w:t>El 69% de los inversores destinan la vivienda al alquiler residencial y el 19% al turístico</w:t>
      </w:r>
    </w:p>
    <w:p w14:paraId="12D38C9B" w14:textId="77777777" w:rsidR="00315627" w:rsidRDefault="00315627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58C5D9D1" w14:textId="77777777" w:rsidR="00315627" w:rsidRDefault="00000000">
      <w:pPr>
        <w:numPr>
          <w:ilvl w:val="0"/>
          <w:numId w:val="1"/>
        </w:num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303AB2"/>
        </w:rPr>
        <w:t>La rentabilidad es la razón principal por la que el 79% de los inversores entran en el mercado inmobiliario, una cifra que aumenta 10 puntos</w:t>
      </w:r>
    </w:p>
    <w:p w14:paraId="39421A04" w14:textId="77777777" w:rsidR="00315627" w:rsidRDefault="00000000">
      <w:pPr>
        <w:numPr>
          <w:ilvl w:val="0"/>
          <w:numId w:val="1"/>
        </w:numPr>
        <w:spacing w:line="276" w:lineRule="auto"/>
        <w:ind w:right="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El 88% de los inversores compran la vivienda para alquilarla y el 7% espera a un mejor momento para poder venderla</w:t>
      </w:r>
    </w:p>
    <w:p w14:paraId="37ECE54B" w14:textId="77777777" w:rsidR="00315627" w:rsidRDefault="00000000">
      <w:pPr>
        <w:numPr>
          <w:ilvl w:val="0"/>
          <w:numId w:val="1"/>
        </w:num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303AB2"/>
        </w:rPr>
        <w:t>La mayoría de los compradores (31%) tardan entre dos y seis meses en encontrar la vivienda para invertir</w:t>
      </w:r>
    </w:p>
    <w:p w14:paraId="16253FEC" w14:textId="77777777" w:rsidR="00315627" w:rsidRDefault="003156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2E11F3C3" w14:textId="77777777" w:rsidR="0031562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Madrid, 1 de marzo de 2024</w:t>
      </w:r>
    </w:p>
    <w:p w14:paraId="01C14E12" w14:textId="77777777" w:rsidR="00315627" w:rsidRDefault="003156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6FDCADED" w14:textId="77777777" w:rsidR="00315627" w:rsidRDefault="00000000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Ahora que sabemos que la compra de vivienda como inversión se ha duplicado pasando de un 7% a un 13% en 2023, nos preguntamos por qué. En el último informe de  </w:t>
      </w:r>
      <w:hyperlink r:id="rId9">
        <w:r>
          <w:rPr>
            <w:rFonts w:ascii="Open Sans" w:eastAsia="Open Sans" w:hAnsi="Open Sans" w:cs="Open Sans"/>
            <w:color w:val="1155CC"/>
            <w:u w:val="single"/>
          </w:rPr>
          <w:t>Fotocasa Research</w:t>
        </w:r>
      </w:hyperlink>
      <w:r>
        <w:rPr>
          <w:rFonts w:ascii="Open Sans" w:eastAsia="Open Sans" w:hAnsi="Open Sans" w:cs="Open Sans"/>
        </w:rPr>
        <w:t xml:space="preserve"> titulado</w:t>
      </w:r>
      <w:r>
        <w:rPr>
          <w:rFonts w:ascii="Open Sans" w:eastAsia="Open Sans" w:hAnsi="Open Sans" w:cs="Open Sans"/>
          <w:b/>
        </w:rPr>
        <w:t xml:space="preserve"> “</w:t>
      </w:r>
      <w:hyperlink r:id="rId10">
        <w:r>
          <w:rPr>
            <w:rFonts w:ascii="Open Sans" w:eastAsia="Open Sans" w:hAnsi="Open Sans" w:cs="Open Sans"/>
            <w:b/>
            <w:i/>
            <w:color w:val="1155CC"/>
            <w:u w:val="single"/>
          </w:rPr>
          <w:t>El segmento inversor en el mercado inmobiliario en 2023</w:t>
        </w:r>
      </w:hyperlink>
      <w:r>
        <w:rPr>
          <w:rFonts w:ascii="Open Sans" w:eastAsia="Open Sans" w:hAnsi="Open Sans" w:cs="Open Sans"/>
          <w:i/>
        </w:rPr>
        <w:t>”</w:t>
      </w:r>
      <w:r>
        <w:rPr>
          <w:rFonts w:ascii="Open Sans" w:eastAsia="Open Sans" w:hAnsi="Open Sans" w:cs="Open Sans"/>
        </w:rPr>
        <w:t xml:space="preserve">, se ha detectado que </w:t>
      </w:r>
      <w:r>
        <w:rPr>
          <w:rFonts w:ascii="Open Sans" w:eastAsia="Open Sans" w:hAnsi="Open Sans" w:cs="Open Sans"/>
          <w:b/>
        </w:rPr>
        <w:t>la mayor parte de los inversores destinan la vivienda que compran o tratan de comprar al alquiler de larga duración</w:t>
      </w:r>
      <w:r>
        <w:rPr>
          <w:rFonts w:ascii="Open Sans" w:eastAsia="Open Sans" w:hAnsi="Open Sans" w:cs="Open Sans"/>
        </w:rPr>
        <w:t xml:space="preserve">. Estos compradores constituyen un 69% del total, mientras que los que optan por los arrendamientos para estancias cortas o vacaciones suman el 19%. La adición de ambos porcentajes revela que </w:t>
      </w:r>
      <w:r>
        <w:rPr>
          <w:rFonts w:ascii="Open Sans" w:eastAsia="Open Sans" w:hAnsi="Open Sans" w:cs="Open Sans"/>
          <w:b/>
        </w:rPr>
        <w:t>los compradores que destinan la vivienda al mercado del alquiler representan un abrumador 88%</w:t>
      </w:r>
      <w:r>
        <w:rPr>
          <w:rFonts w:ascii="Open Sans" w:eastAsia="Open Sans" w:hAnsi="Open Sans" w:cs="Open Sans"/>
        </w:rPr>
        <w:t xml:space="preserve">. Esta cifra contrasta con la perspectiva de los compradores de segunda residencia, que mayoritariamente (64%) descartan la idea de alquilar la propiedad. </w:t>
      </w:r>
    </w:p>
    <w:p w14:paraId="00094F72" w14:textId="77777777" w:rsidR="00315627" w:rsidRDefault="00315627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003973A7" w14:textId="77777777" w:rsidR="00315627" w:rsidRDefault="00000000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En cuanto a las razones de los inversores para alquilar, la preponderante sigue siendo </w:t>
      </w:r>
      <w:r>
        <w:rPr>
          <w:rFonts w:ascii="Open Sans" w:eastAsia="Open Sans" w:hAnsi="Open Sans" w:cs="Open Sans"/>
          <w:b/>
        </w:rPr>
        <w:t>la rentabilidad que les ofrece el arrendamiento. Este motivo lo señalan el 79% de todos ellos, un porcentaje diez puntos por encima del registrado el año anterior</w:t>
      </w:r>
      <w:r>
        <w:rPr>
          <w:rFonts w:ascii="Open Sans" w:eastAsia="Open Sans" w:hAnsi="Open Sans" w:cs="Open Sans"/>
        </w:rPr>
        <w:t xml:space="preserve">, el cual, a su vez, se movía en una línea estable respecto a ejercicios precedentes. </w:t>
      </w:r>
    </w:p>
    <w:p w14:paraId="7448B492" w14:textId="77777777" w:rsidR="00315627" w:rsidRDefault="00000000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A continuación, pero a mucha distancia, se encuentran el 23% de los particulares que deciden alquilar la vivienda en la que ha invertido para pagar la hipoteca que han solicitado, mientras que un 7% lo hace a la espera de que el mercado esté mejor para venderla. </w:t>
      </w:r>
      <w:r>
        <w:rPr>
          <w:rFonts w:ascii="Open Sans" w:eastAsia="Open Sans" w:hAnsi="Open Sans" w:cs="Open Sans"/>
          <w:b/>
        </w:rPr>
        <w:t>Se trata de dos porcentajes que han retrocedido respecto a los de 2022, cuando eran el 29% y el 9%, respectivamente</w:t>
      </w:r>
      <w:r>
        <w:rPr>
          <w:rFonts w:ascii="Open Sans" w:eastAsia="Open Sans" w:hAnsi="Open Sans" w:cs="Open Sans"/>
        </w:rPr>
        <w:t>.</w:t>
      </w:r>
    </w:p>
    <w:p w14:paraId="24442E51" w14:textId="77777777" w:rsidR="00315627" w:rsidRDefault="00315627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66B194D8" w14:textId="77777777" w:rsidR="00315627" w:rsidRDefault="00000000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inline distT="114300" distB="114300" distL="114300" distR="114300" wp14:anchorId="2C22EAC7" wp14:editId="4F677086">
            <wp:extent cx="5737860" cy="3291840"/>
            <wp:effectExtent l="0" t="0" r="0" b="3810"/>
            <wp:docPr id="142442566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8605" cy="3292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A7FDE2" w14:textId="1E32B2EC" w:rsidR="00315627" w:rsidRDefault="00000000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“Nos encontramos ante uno de los mayores escenarios de incertidumbre financiera de los últimos años, por lo que es lógico que </w:t>
      </w:r>
      <w:r w:rsidR="0034467B">
        <w:rPr>
          <w:rFonts w:ascii="Open Sans" w:eastAsia="Open Sans" w:hAnsi="Open Sans" w:cs="Open Sans"/>
        </w:rPr>
        <w:t>un volumen significativo de inversores decida</w:t>
      </w:r>
      <w:r>
        <w:rPr>
          <w:rFonts w:ascii="Open Sans" w:eastAsia="Open Sans" w:hAnsi="Open Sans" w:cs="Open Sans"/>
        </w:rPr>
        <w:t xml:space="preserve"> comprar vivienda para ponerla en alquiler. Estos compradores se sienten atraídos por el rendimiento económico de la vivienda, que se encuentra en niveles altos del 6,4%. La vivienda se posiciona así, no solo como una inversión segura y rentable a largo plazo, sino que también se revaloriza con el paso del tiempo. Lo que cada vez despierta el interés de más ahorradores”, comenta María Matos, directora de Estudios y portavoz de </w:t>
      </w:r>
      <w:hyperlink r:id="rId12">
        <w:r>
          <w:rPr>
            <w:rFonts w:ascii="Open Sans" w:eastAsia="Open Sans" w:hAnsi="Open Sans" w:cs="Open Sans"/>
            <w:color w:val="1155CC"/>
            <w:u w:val="single"/>
          </w:rPr>
          <w:t>Fotocasa</w:t>
        </w:r>
      </w:hyperlink>
      <w:r>
        <w:rPr>
          <w:rFonts w:ascii="Open Sans" w:eastAsia="Open Sans" w:hAnsi="Open Sans" w:cs="Open Sans"/>
        </w:rPr>
        <w:t>.</w:t>
      </w:r>
    </w:p>
    <w:p w14:paraId="58C391A7" w14:textId="77777777" w:rsidR="00315627" w:rsidRDefault="003156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1B7A99A" w14:textId="77777777" w:rsidR="00315627" w:rsidRDefault="00315627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5DF27566" w14:textId="77777777" w:rsidR="00315627" w:rsidRDefault="00000000">
      <w:pPr>
        <w:spacing w:line="276" w:lineRule="auto"/>
        <w:ind w:right="4"/>
        <w:jc w:val="both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Los plazos se estabilizan a la hora de comprar vivienda</w:t>
      </w:r>
    </w:p>
    <w:p w14:paraId="398EBEF2" w14:textId="77777777" w:rsidR="00315627" w:rsidRDefault="00315627">
      <w:pPr>
        <w:spacing w:line="276" w:lineRule="auto"/>
        <w:ind w:right="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34400B2D" w14:textId="1A06D73C" w:rsidR="00315627" w:rsidRDefault="00000000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Rara vez la búsqueda y compra de una vivienda se lleva a cabo de manera inmediata, por lo que lo habitual suele ser que ese proceso se prolongue más o menos en el tiempo. En 2023 ha venido a confirmarse la</w:t>
      </w:r>
      <w:r>
        <w:rPr>
          <w:rFonts w:ascii="Open Sans" w:eastAsia="Open Sans" w:hAnsi="Open Sans" w:cs="Open Sans"/>
          <w:b/>
        </w:rPr>
        <w:t xml:space="preserve"> tendencia del mercado registrada ya el año anterior en cuanto al incremento de esos plazos</w:t>
      </w:r>
      <w:r>
        <w:rPr>
          <w:rFonts w:ascii="Open Sans" w:eastAsia="Open Sans" w:hAnsi="Open Sans" w:cs="Open Sans"/>
        </w:rPr>
        <w:t xml:space="preserve">. Así, el grupo de inversores que ha empleado menos de dos meses en el proceso se sitúa </w:t>
      </w:r>
      <w:r>
        <w:rPr>
          <w:rFonts w:ascii="Open Sans" w:eastAsia="Open Sans" w:hAnsi="Open Sans" w:cs="Open Sans"/>
        </w:rPr>
        <w:lastRenderedPageBreak/>
        <w:t xml:space="preserve">en el 14%, una cifra similar a la de febrero de 2022 (12%), cuando registró una caída de ocho puntos porcentuales respecto a 2021, ejercicio en el que eran un 20% los que se encontraban en esta situación. </w:t>
      </w:r>
    </w:p>
    <w:p w14:paraId="17F99F35" w14:textId="77777777" w:rsidR="00315627" w:rsidRDefault="00315627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5E5D7045" w14:textId="77777777" w:rsidR="00315627" w:rsidRDefault="00000000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Donde sí se suavizan los datos en comparación con un año antes es en el grupo que debe esperar plazos superiores a seis meses, que tras un importante incremento en 2022 cae doce meses después incluso por debajo de 2021. </w:t>
      </w:r>
    </w:p>
    <w:p w14:paraId="41A8F3DD" w14:textId="77777777" w:rsidR="00315627" w:rsidRDefault="00315627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09A0353D" w14:textId="77777777" w:rsidR="00315627" w:rsidRDefault="00000000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Así, si en 2022 eran un 30% los que dedicaban entre seis meses y un año a esta búsqueda, un año después este porcentaje se retrae hasta el 24%, por debajo incluso del 25% de 2021. Por el contrario, aumentan levemente los que dedican entre uno y dos años, que en 2023 son el 20%, frente al 19% de 2022 y el 16% de 2021. También se incrementan los que han debido aguardar más de dos años para llevar a cabo su compra, que pasan del 10% de 2022 al 12% de febrero de 2023.</w:t>
      </w:r>
    </w:p>
    <w:p w14:paraId="6227115E" w14:textId="77777777" w:rsidR="00315627" w:rsidRDefault="00000000">
      <w:pPr>
        <w:spacing w:line="276" w:lineRule="auto"/>
        <w:ind w:right="4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inline distT="114300" distB="114300" distL="114300" distR="114300" wp14:anchorId="52F2C3C6" wp14:editId="6E3490CC">
            <wp:extent cx="3291840" cy="3589020"/>
            <wp:effectExtent l="0" t="0" r="3810" b="0"/>
            <wp:docPr id="142442566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2359" cy="358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D2236F" w14:textId="77777777" w:rsidR="00315627" w:rsidRDefault="00315627">
      <w:pPr>
        <w:spacing w:line="276" w:lineRule="auto"/>
        <w:ind w:right="4"/>
        <w:jc w:val="center"/>
        <w:rPr>
          <w:rFonts w:ascii="Open Sans" w:eastAsia="Open Sans" w:hAnsi="Open Sans" w:cs="Open Sans"/>
        </w:rPr>
      </w:pPr>
    </w:p>
    <w:p w14:paraId="0BA61C77" w14:textId="77777777" w:rsidR="00315627" w:rsidRDefault="00000000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Al margen del tiempo objetivo que haya llevado el proceso de compra de la vivienda, debe atenderse también a la percepción que tienen los particulares inversores sobre estos plazos, y, en consecuencia, a su grado de satisfacción o frustración respecto a ese tiempo empleado. </w:t>
      </w:r>
    </w:p>
    <w:p w14:paraId="7E9EAB1D" w14:textId="77777777" w:rsidR="00315627" w:rsidRDefault="00315627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281765FB" w14:textId="77777777" w:rsidR="00315627" w:rsidRDefault="00000000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Respecto a esta cuestión, la mayoría de ellos (54%) opina que el tiempo que han dedicado es más o menos lo que esperaba. En este aspecto también encontramos que, tras el bache de 2022, cuando solo eran el 44% los que pensaban así, se recuperan los valores de 2021, cuando el porcentaje era del 55%. </w:t>
      </w:r>
    </w:p>
    <w:p w14:paraId="24B01E22" w14:textId="77777777" w:rsidR="00315627" w:rsidRDefault="00315627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1380D0ED" w14:textId="77777777" w:rsidR="00315627" w:rsidRDefault="00000000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inline distT="114300" distB="114300" distL="114300" distR="114300" wp14:anchorId="21851C63" wp14:editId="0A9EC0C2">
            <wp:extent cx="5764220" cy="2959100"/>
            <wp:effectExtent l="0" t="0" r="0" b="0"/>
            <wp:docPr id="142442566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r="25292"/>
                    <a:stretch>
                      <a:fillRect/>
                    </a:stretch>
                  </pic:blipFill>
                  <pic:spPr>
                    <a:xfrm>
                      <a:off x="0" y="0"/>
                      <a:ext cx="5764220" cy="295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DBCE04" w14:textId="77777777" w:rsidR="00315627" w:rsidRDefault="00315627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3E7B58F4" w14:textId="5A8FE56A" w:rsidR="00315627" w:rsidRDefault="00000000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El regreso a las cifras de dos años antes provoca que el resto de </w:t>
      </w:r>
      <w:r w:rsidR="0034467B">
        <w:rPr>
          <w:rFonts w:ascii="Open Sans" w:eastAsia="Open Sans" w:hAnsi="Open Sans" w:cs="Open Sans"/>
        </w:rPr>
        <w:t>las consideraciones</w:t>
      </w:r>
      <w:r>
        <w:rPr>
          <w:rFonts w:ascii="Open Sans" w:eastAsia="Open Sans" w:hAnsi="Open Sans" w:cs="Open Sans"/>
        </w:rPr>
        <w:t xml:space="preserve"> también se reequilibren, retomando la línea de 2021. No varían los que perciben que tardaron mucho menos de lo esperado, que siguen en el 7%, pero los que aprecian que emplearon algo menos de lo calculado vuelven a ser el 8%, tras caer al 6% en 2022. También retornan al cauce de 2021 (18%) los que piensan que aguardaron más de lo imaginado, después de que en 2022 estos alcanzaran el 27%.</w:t>
      </w:r>
    </w:p>
    <w:p w14:paraId="1D1058E4" w14:textId="77777777" w:rsidR="00315627" w:rsidRDefault="00315627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172EEAE9" w14:textId="77777777" w:rsidR="00315627" w:rsidRDefault="00000000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Lo mismo sucede con los que lamentan haber esperado mucho más de lo previsto, que del 16% de hace doce meses bajan al 12% en febrero de 2023. Es decir, que tras un 2022 donde se incrementó en gran medida la percepción de los inversores en cuanto a los plazos que necesitaban para dar con una vivienda, en 2023 los valores se han serenado para reencontrarse con los de 2021.</w:t>
      </w:r>
    </w:p>
    <w:p w14:paraId="32991D93" w14:textId="77777777" w:rsidR="0034467B" w:rsidRDefault="0034467B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0BC89E33" w14:textId="77777777" w:rsidR="0034467B" w:rsidRDefault="0034467B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3599BED0" w14:textId="77777777" w:rsidR="0034467B" w:rsidRDefault="0034467B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59B7D867" w14:textId="77777777" w:rsidR="0034467B" w:rsidRDefault="0034467B">
      <w:pPr>
        <w:spacing w:line="276" w:lineRule="auto"/>
        <w:ind w:right="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7DF6BC71" w14:textId="77777777" w:rsidR="00315627" w:rsidRDefault="00315627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7DA8260C" w14:textId="77777777" w:rsidR="00315627" w:rsidRDefault="00000000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Sobre Fotocasa</w:t>
      </w:r>
    </w:p>
    <w:p w14:paraId="36C882E3" w14:textId="77777777" w:rsidR="00315627" w:rsidRDefault="00000000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, un informe de referencia sobre la evolución del precio medio de la vivienda en España, tanto en venta como en alquiler. Toda nuestra información la puedes encontrar en nuestra </w:t>
      </w: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bookmarkStart w:id="0" w:name="_heading=h.2s8eyo1" w:colFirst="0" w:colLast="0"/>
    <w:bookmarkEnd w:id="0"/>
    <w:p w14:paraId="455200ED" w14:textId="77777777" w:rsidR="00315627" w:rsidRDefault="00000000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fldChar w:fldCharType="begin"/>
      </w:r>
      <w:r>
        <w:instrText>HYPERLINK "http://www.fotocasa.es/"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 pertenece a </w:t>
      </w: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Adevinta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, una empresa 100% especializada en Marketplaces digitales y el único “pure player” del sector a nivel mundial. </w:t>
      </w:r>
    </w:p>
    <w:p w14:paraId="75FA625B" w14:textId="77777777" w:rsidR="00315627" w:rsidRDefault="00000000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2"/>
          <w:szCs w:val="22"/>
        </w:rPr>
      </w:pPr>
      <w:hyperlink r:id="rId1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219C2A3B" w14:textId="77777777" w:rsidR="00315627" w:rsidRDefault="00315627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FB2552B" w14:textId="77777777" w:rsidR="00315627" w:rsidRDefault="00000000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Adevinta Spain</w:t>
      </w:r>
    </w:p>
    <w:p w14:paraId="477A0F8A" w14:textId="77777777" w:rsidR="00315627" w:rsidRDefault="00000000">
      <w:pPr>
        <w:spacing w:before="143" w:after="20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>Adevinta Spain es una compañía líder en marketplaces digitales y una de las principales empresas del sector tecnológico del país, con más de 18 millones de usuarios al mes en sus plataformas de los sectores inmobiliario (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hyperlink r:id="rId2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Milanuncios</w:t>
        </w:r>
      </w:hyperlink>
      <w:r>
        <w:rPr>
          <w:rFonts w:ascii="Open Sans" w:eastAsia="Open Sans" w:hAnsi="Open Sans" w:cs="Open Sans"/>
          <w:sz w:val="22"/>
          <w:szCs w:val="22"/>
        </w:rPr>
        <w:t>).</w:t>
      </w:r>
    </w:p>
    <w:p w14:paraId="30B2EE76" w14:textId="77777777" w:rsidR="00315627" w:rsidRDefault="00000000">
      <w:pPr>
        <w:spacing w:before="143" w:after="20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Los negocios de Adevinta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5B72E9BA" w14:textId="77777777" w:rsidR="00315627" w:rsidRDefault="00000000">
      <w:pPr>
        <w:spacing w:before="143" w:after="20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Adevinta tiene presencia mundial en 10 países. El conjunto de sus plataformas locales recibe un promedio de 3.000 millones de visitas cada mes. </w:t>
      </w:r>
    </w:p>
    <w:p w14:paraId="627D5BA3" w14:textId="77777777" w:rsidR="00315627" w:rsidRDefault="00000000">
      <w:pPr>
        <w:spacing w:line="276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5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7E315899" w14:textId="77777777" w:rsidR="00315627" w:rsidRDefault="00315627">
      <w:pPr>
        <w:spacing w:line="276" w:lineRule="auto"/>
        <w:jc w:val="right"/>
        <w:rPr>
          <w:rFonts w:ascii="Open Sans" w:eastAsia="Open Sans" w:hAnsi="Open Sans" w:cs="Open Sans"/>
        </w:rPr>
      </w:pPr>
    </w:p>
    <w:p w14:paraId="4620E45C" w14:textId="77777777" w:rsidR="00315627" w:rsidRDefault="00000000">
      <w:pPr>
        <w:spacing w:line="276" w:lineRule="auto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Departamento Comunicación Fotocasa</w:t>
      </w:r>
    </w:p>
    <w:p w14:paraId="76E58425" w14:textId="77777777" w:rsidR="00315627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Anaïs López</w:t>
      </w:r>
    </w:p>
    <w:p w14:paraId="5E0B80C4" w14:textId="77777777" w:rsidR="00315627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7A57CCD2" w14:textId="77777777" w:rsidR="00315627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620 66 29 26</w:t>
      </w:r>
    </w:p>
    <w:p w14:paraId="15598A87" w14:textId="77777777" w:rsidR="00315627" w:rsidRDefault="00315627">
      <w:pPr>
        <w:spacing w:line="276" w:lineRule="auto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272428CC" w14:textId="77777777" w:rsidR="00315627" w:rsidRDefault="00000000">
      <w:pPr>
        <w:spacing w:line="276" w:lineRule="auto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</w:p>
    <w:p w14:paraId="313DE617" w14:textId="77777777" w:rsidR="00315627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</w:t>
      </w:r>
    </w:p>
    <w:p w14:paraId="2EB0BAE0" w14:textId="77777777" w:rsidR="00315627" w:rsidRPr="0034467B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color w:val="0000FF"/>
          <w:sz w:val="22"/>
          <w:szCs w:val="22"/>
          <w:u w:val="single"/>
          <w:lang w:val="en-US"/>
        </w:rPr>
      </w:pPr>
      <w:hyperlink r:id="rId27">
        <w:r w:rsidRPr="0034467B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rtorne@llorenteycuenca.com</w:t>
        </w:r>
      </w:hyperlink>
      <w:r w:rsidRPr="0034467B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34467B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34467B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4CFDF7E5" w14:textId="77777777" w:rsidR="00315627" w:rsidRPr="0034467B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34467B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638 68 19 85      </w:t>
      </w:r>
      <w:r w:rsidRPr="0034467B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34467B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34467B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34467B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34467B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34467B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34467B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</w:p>
    <w:p w14:paraId="461BE1D6" w14:textId="77777777" w:rsidR="00315627" w:rsidRPr="0034467B" w:rsidRDefault="00000000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  <w:lang w:val="en-US"/>
        </w:rPr>
      </w:pPr>
      <w:r w:rsidRPr="0034467B">
        <w:rPr>
          <w:rFonts w:ascii="Arial" w:eastAsia="Arial" w:hAnsi="Arial" w:cs="Arial"/>
          <w:color w:val="222222"/>
          <w:sz w:val="22"/>
          <w:szCs w:val="22"/>
          <w:lang w:val="en-US"/>
        </w:rPr>
        <w:lastRenderedPageBreak/>
        <w:tab/>
      </w:r>
      <w:r w:rsidRPr="0034467B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34467B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34467B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34467B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34467B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34467B">
        <w:rPr>
          <w:rFonts w:ascii="Arial" w:eastAsia="Arial" w:hAnsi="Arial" w:cs="Arial"/>
          <w:color w:val="222222"/>
          <w:sz w:val="22"/>
          <w:szCs w:val="22"/>
          <w:lang w:val="en-US"/>
        </w:rPr>
        <w:tab/>
        <w:t xml:space="preserve">     </w:t>
      </w:r>
    </w:p>
    <w:p w14:paraId="36B399D2" w14:textId="77777777" w:rsidR="00315627" w:rsidRPr="0034467B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34467B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Fanny Merino</w:t>
      </w:r>
    </w:p>
    <w:p w14:paraId="2320E748" w14:textId="77777777" w:rsidR="00315627" w:rsidRPr="0034467B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hyperlink r:id="rId28">
        <w:r w:rsidRPr="0034467B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emerino@llorenteycuenca.com</w:t>
        </w:r>
      </w:hyperlink>
      <w:r w:rsidRPr="0034467B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34467B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40556E67" w14:textId="77777777" w:rsidR="00315627" w:rsidRDefault="00000000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663 35 69 75 </w:t>
      </w:r>
    </w:p>
    <w:p w14:paraId="28793691" w14:textId="77777777" w:rsidR="00315627" w:rsidRDefault="00315627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D2F27A6" w14:textId="77777777" w:rsidR="00315627" w:rsidRDefault="00315627">
      <w:pPr>
        <w:spacing w:line="276" w:lineRule="auto"/>
        <w:jc w:val="center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315627">
      <w:footerReference w:type="default" r:id="rId29"/>
      <w:pgSz w:w="11900" w:h="16840"/>
      <w:pgMar w:top="1417" w:right="1127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91B0" w14:textId="77777777" w:rsidR="0048079C" w:rsidRDefault="0048079C">
      <w:r>
        <w:separator/>
      </w:r>
    </w:p>
  </w:endnote>
  <w:endnote w:type="continuationSeparator" w:id="0">
    <w:p w14:paraId="2789948E" w14:textId="77777777" w:rsidR="0048079C" w:rsidRDefault="0048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F35B" w14:textId="77777777" w:rsidR="0031562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8456672" wp14:editId="59780425">
          <wp:simplePos x="0" y="0"/>
          <wp:positionH relativeFrom="column">
            <wp:posOffset>-1068063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142442565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0C6C" w14:textId="77777777" w:rsidR="0048079C" w:rsidRDefault="0048079C">
      <w:r>
        <w:separator/>
      </w:r>
    </w:p>
  </w:footnote>
  <w:footnote w:type="continuationSeparator" w:id="0">
    <w:p w14:paraId="64F9AA34" w14:textId="77777777" w:rsidR="0048079C" w:rsidRDefault="0048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D35"/>
    <w:multiLevelType w:val="multilevel"/>
    <w:tmpl w:val="1BC81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03AB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667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27"/>
    <w:rsid w:val="00315627"/>
    <w:rsid w:val="0034467B"/>
    <w:rsid w:val="004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6FDB"/>
  <w15:docId w15:val="{94779D0A-7C54-4D54-AF28-8F5256A8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styleId="Hipervnculo">
    <w:name w:val="Hyperlink"/>
    <w:basedOn w:val="Fuentedeprrafopredeter"/>
    <w:uiPriority w:val="99"/>
    <w:unhideWhenUsed/>
    <w:rsid w:val="00FE7DB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7D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D48F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fotocasa.es/es/quienes-somos/" TargetMode="External"/><Relationship Id="rId26" Type="http://schemas.openxmlformats.org/officeDocument/2006/relationships/hyperlink" Target="mailto:comunicacion@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fojob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/es/" TargetMode="External"/><Relationship Id="rId17" Type="http://schemas.openxmlformats.org/officeDocument/2006/relationships/hyperlink" Target="https://www.adevinta.com/" TargetMode="External"/><Relationship Id="rId25" Type="http://schemas.openxmlformats.org/officeDocument/2006/relationships/hyperlink" Target="http://adevint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nsa.fotocasa.es" TargetMode="External"/><Relationship Id="rId20" Type="http://schemas.openxmlformats.org/officeDocument/2006/relationships/hyperlink" Target="https://www.habitaclia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milanuncio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indice/" TargetMode="External"/><Relationship Id="rId23" Type="http://schemas.openxmlformats.org/officeDocument/2006/relationships/hyperlink" Target="https://motos.coches.net/" TargetMode="External"/><Relationship Id="rId28" Type="http://schemas.openxmlformats.org/officeDocument/2006/relationships/hyperlink" Target="mailto:emerino@llorenteycuenca.com" TargetMode="External"/><Relationship Id="rId10" Type="http://schemas.openxmlformats.org/officeDocument/2006/relationships/hyperlink" Target="https://s36360.pcdn.co/wp-content/uploads/2024/02/Informe-Inversion-en-2023.pdf" TargetMode="External"/><Relationship Id="rId19" Type="http://schemas.openxmlformats.org/officeDocument/2006/relationships/hyperlink" Target="https://www.fotocasa.es/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earch.fotocasa.es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coches.net/" TargetMode="External"/><Relationship Id="rId27" Type="http://schemas.openxmlformats.org/officeDocument/2006/relationships/hyperlink" Target="mailto:rtorne@llorenteycuenca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Srze0rqg864YSuJ7jch5tK2mqA==">CgMxLjAyCWguMnM4ZXlvMTgAciExT1puSEdTY0huTi1XdFByRkswTjQxTF9oU2NMLWlTUUQ=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Anaïs López García</cp:lastModifiedBy>
  <cp:revision>2</cp:revision>
  <dcterms:created xsi:type="dcterms:W3CDTF">2024-02-06T13:46:00Z</dcterms:created>
  <dcterms:modified xsi:type="dcterms:W3CDTF">2024-02-27T17:37:00Z</dcterms:modified>
</cp:coreProperties>
</file>