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5BE07" w14:textId="77777777" w:rsidR="00EA76BF" w:rsidRDefault="00000000">
      <w:pPr>
        <w:ind w:right="-574"/>
      </w:pPr>
      <w:r>
        <w:rPr>
          <w:noProof/>
        </w:rPr>
        <w:drawing>
          <wp:anchor distT="0" distB="0" distL="114300" distR="114300" simplePos="0" relativeHeight="251658240" behindDoc="0" locked="0" layoutInCell="1" hidden="0" allowOverlap="1" wp14:anchorId="7B268CB9" wp14:editId="10F18C1F">
            <wp:simplePos x="0" y="0"/>
            <wp:positionH relativeFrom="column">
              <wp:posOffset>4057015</wp:posOffset>
            </wp:positionH>
            <wp:positionV relativeFrom="paragraph">
              <wp:posOffset>-321944</wp:posOffset>
            </wp:positionV>
            <wp:extent cx="2465949" cy="668401"/>
            <wp:effectExtent l="0" t="0" r="0" b="0"/>
            <wp:wrapNone/>
            <wp:docPr id="1564144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93EEE" wp14:editId="1B0FF6BF">
            <wp:simplePos x="0" y="0"/>
            <wp:positionH relativeFrom="column">
              <wp:posOffset>-705780</wp:posOffset>
            </wp:positionH>
            <wp:positionV relativeFrom="paragraph">
              <wp:posOffset>-62506</wp:posOffset>
            </wp:positionV>
            <wp:extent cx="1748621" cy="400050"/>
            <wp:effectExtent l="0" t="0" r="0" b="0"/>
            <wp:wrapNone/>
            <wp:docPr id="15641443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5407EB08" w14:textId="77777777" w:rsidR="00EA76BF" w:rsidRDefault="00EA76BF">
      <w:pPr>
        <w:ind w:right="-574"/>
        <w:jc w:val="right"/>
        <w:rPr>
          <w:rFonts w:ascii="National" w:eastAsia="National" w:hAnsi="National" w:cs="National"/>
          <w:color w:val="303AB2"/>
          <w:sz w:val="36"/>
          <w:szCs w:val="36"/>
        </w:rPr>
      </w:pPr>
    </w:p>
    <w:p w14:paraId="4ED07F9A" w14:textId="77777777" w:rsidR="00EA76BF" w:rsidRDefault="00EA76BF">
      <w:pPr>
        <w:ind w:right="-574"/>
        <w:jc w:val="right"/>
        <w:rPr>
          <w:rFonts w:ascii="National" w:eastAsia="National" w:hAnsi="National" w:cs="National"/>
          <w:color w:val="303AB2"/>
          <w:sz w:val="36"/>
          <w:szCs w:val="36"/>
        </w:rPr>
      </w:pPr>
    </w:p>
    <w:p w14:paraId="2FBC0DCA" w14:textId="77777777" w:rsidR="00EA76BF"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ACUMULATIVO PRECIO DE LA VIVIENDA EN ESPAÑA</w:t>
      </w:r>
    </w:p>
    <w:p w14:paraId="5C69C5DD" w14:textId="77777777" w:rsidR="00EA76BF" w:rsidRDefault="00000000">
      <w:pPr>
        <w:pBdr>
          <w:top w:val="nil"/>
          <w:left w:val="nil"/>
          <w:bottom w:val="nil"/>
          <w:right w:val="nil"/>
          <w:between w:val="nil"/>
        </w:pBdr>
        <w:spacing w:line="276" w:lineRule="auto"/>
        <w:ind w:left="284"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Hace 10 años un piso en España costaba 138.000 € y ahora cuesta 178.700 €</w:t>
      </w:r>
    </w:p>
    <w:p w14:paraId="60D89410" w14:textId="77777777" w:rsidR="00EA76BF" w:rsidRDefault="00EA76BF">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p>
    <w:p w14:paraId="6FB50F6A" w14:textId="77777777" w:rsidR="00EA76BF"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303AB2"/>
          <w:sz w:val="22"/>
          <w:szCs w:val="22"/>
        </w:rPr>
      </w:pPr>
      <w:r>
        <w:rPr>
          <w:rFonts w:ascii="Open Sans" w:eastAsia="Open Sans" w:hAnsi="Open Sans" w:cs="Open Sans"/>
          <w:color w:val="303AB2"/>
          <w:sz w:val="22"/>
          <w:szCs w:val="22"/>
        </w:rPr>
        <w:t>El precio de la vivienda ha subido un 29% en los últimos 10 años (2014) aunque ha caído un -11% respecto a hace 15 años</w:t>
      </w:r>
    </w:p>
    <w:p w14:paraId="101D3B0A" w14:textId="77777777" w:rsidR="00EA76BF"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303AB2"/>
          <w:sz w:val="22"/>
          <w:szCs w:val="22"/>
        </w:rPr>
      </w:pPr>
      <w:r>
        <w:rPr>
          <w:rFonts w:ascii="Open Sans" w:eastAsia="Open Sans" w:hAnsi="Open Sans" w:cs="Open Sans"/>
          <w:color w:val="303AB2"/>
          <w:sz w:val="22"/>
          <w:szCs w:val="22"/>
        </w:rPr>
        <w:t>Baleares, Canarias y la Comunidad de Madrid son las más afectadas por las subidas del precio de la vivienda en los últimos 10 años</w:t>
      </w:r>
    </w:p>
    <w:p w14:paraId="4C6EA6E7" w14:textId="77777777" w:rsidR="00EA76BF"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303AB2"/>
          <w:sz w:val="22"/>
          <w:szCs w:val="22"/>
        </w:rPr>
      </w:pPr>
      <w:r>
        <w:rPr>
          <w:rFonts w:ascii="Open Sans" w:eastAsia="Open Sans" w:hAnsi="Open Sans" w:cs="Open Sans"/>
          <w:color w:val="303AB2"/>
          <w:sz w:val="22"/>
          <w:szCs w:val="22"/>
        </w:rPr>
        <w:t>Palma de Mallorca y Málaga incrementan el precio de la vivienda por encima del 100% en 10 años</w:t>
      </w:r>
    </w:p>
    <w:p w14:paraId="4C05D591" w14:textId="77777777" w:rsidR="00EA76BF" w:rsidRDefault="00EA76BF">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16DEF9DD" w14:textId="77777777" w:rsidR="00EA76BF"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 25 de marzo de 2024</w:t>
      </w:r>
    </w:p>
    <w:p w14:paraId="03245321" w14:textId="21A8A9A5"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precio acumulativo de la vivienda en venta </w:t>
      </w:r>
      <w:r>
        <w:rPr>
          <w:rFonts w:ascii="Open Sans" w:eastAsia="Open Sans" w:hAnsi="Open Sans" w:cs="Open Sans"/>
          <w:color w:val="0D0D0D"/>
          <w:sz w:val="22"/>
          <w:szCs w:val="22"/>
        </w:rPr>
        <w:t xml:space="preserve">ha subido en </w:t>
      </w:r>
      <w:r>
        <w:rPr>
          <w:rFonts w:ascii="Open Sans" w:eastAsia="Open Sans" w:hAnsi="Open Sans" w:cs="Open Sans"/>
          <w:color w:val="000000"/>
          <w:sz w:val="22"/>
          <w:szCs w:val="22"/>
        </w:rPr>
        <w:t xml:space="preserve">España un 29% en los últimos 10 años, un 18% en los últimos </w:t>
      </w:r>
      <w:r w:rsidR="00BC2C78">
        <w:rPr>
          <w:rFonts w:ascii="Open Sans" w:eastAsia="Open Sans" w:hAnsi="Open Sans" w:cs="Open Sans"/>
          <w:color w:val="000000"/>
          <w:sz w:val="22"/>
          <w:szCs w:val="22"/>
        </w:rPr>
        <w:t>5</w:t>
      </w:r>
      <w:r>
        <w:rPr>
          <w:rFonts w:ascii="Open Sans" w:eastAsia="Open Sans" w:hAnsi="Open Sans" w:cs="Open Sans"/>
          <w:color w:val="000000"/>
          <w:sz w:val="22"/>
          <w:szCs w:val="22"/>
        </w:rPr>
        <w:t xml:space="preserve"> años y un 7% en el último año. Sin embargo, ha caído un -11% respecto a hace 15 años (20</w:t>
      </w:r>
      <w:r w:rsidR="003F0FB8">
        <w:rPr>
          <w:rFonts w:ascii="Open Sans" w:eastAsia="Open Sans" w:hAnsi="Open Sans" w:cs="Open Sans"/>
          <w:color w:val="000000"/>
          <w:sz w:val="22"/>
          <w:szCs w:val="22"/>
        </w:rPr>
        <w:t>0</w:t>
      </w:r>
      <w:r>
        <w:rPr>
          <w:rFonts w:ascii="Open Sans" w:eastAsia="Open Sans" w:hAnsi="Open Sans" w:cs="Open Sans"/>
          <w:color w:val="000000"/>
          <w:sz w:val="22"/>
          <w:szCs w:val="22"/>
        </w:rPr>
        <w:t xml:space="preserve">9), según el análisis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 xml:space="preserve">Variación acumulativa de la vivienda en España en 2024”, </w:t>
      </w:r>
      <w:r>
        <w:rPr>
          <w:rFonts w:ascii="Open Sans" w:eastAsia="Open Sans" w:hAnsi="Open Sans" w:cs="Open Sans"/>
          <w:color w:val="000000"/>
          <w:sz w:val="22"/>
          <w:szCs w:val="22"/>
        </w:rPr>
        <w:t xml:space="preserve">basado en los precios de la vivienda en venta del mes de febrero de los últimos 15 años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p>
    <w:p w14:paraId="2395C32D" w14:textId="77777777" w:rsidR="00EA76BF"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28"/>
          <w:szCs w:val="28"/>
        </w:rPr>
        <w:t>Variación acumulativa (%) por años en España</w:t>
      </w:r>
      <w:r>
        <w:rPr>
          <w:rFonts w:ascii="Times New Roman" w:eastAsia="Times New Roman" w:hAnsi="Times New Roman" w:cs="Times New Roman"/>
          <w:color w:val="000000"/>
        </w:rPr>
        <w:t xml:space="preserve"> </w:t>
      </w:r>
    </w:p>
    <w:p w14:paraId="436D52F1" w14:textId="77777777" w:rsidR="00EA76BF"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E79BF66" wp14:editId="2FB086DE">
            <wp:extent cx="4925003" cy="2244437"/>
            <wp:effectExtent l="0" t="0" r="0" b="0"/>
            <wp:docPr id="1564144307" name="Gráfico 1564144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13BDDE" w14:textId="77777777" w:rsidR="00EA76BF"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CCAA con porcentajes (%) acumulativo por años</w:t>
      </w:r>
    </w:p>
    <w:p w14:paraId="1467D115" w14:textId="77777777" w:rsidR="00EA76BF" w:rsidRDefault="00EA76B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
        <w:tblW w:w="8985"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1695"/>
        <w:gridCol w:w="1785"/>
        <w:gridCol w:w="1545"/>
        <w:gridCol w:w="1560"/>
      </w:tblGrid>
      <w:tr w:rsidR="00EA76BF" w14:paraId="41225C90" w14:textId="77777777">
        <w:trPr>
          <w:trHeight w:val="738"/>
        </w:trPr>
        <w:tc>
          <w:tcPr>
            <w:tcW w:w="2400" w:type="dxa"/>
            <w:shd w:val="clear" w:color="auto" w:fill="ACB9CA"/>
            <w:vAlign w:val="center"/>
          </w:tcPr>
          <w:p w14:paraId="6DCCC787" w14:textId="77777777" w:rsidR="00EA76BF"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695" w:type="dxa"/>
            <w:shd w:val="clear" w:color="auto" w:fill="ACB9CA"/>
          </w:tcPr>
          <w:p w14:paraId="640F6905" w14:textId="77777777" w:rsidR="00EA76BF" w:rsidRDefault="00EA76BF">
            <w:pPr>
              <w:jc w:val="center"/>
              <w:rPr>
                <w:rFonts w:ascii="Open Sans" w:eastAsia="Open Sans" w:hAnsi="Open Sans" w:cs="Open Sans"/>
                <w:color w:val="0D0D0D"/>
                <w:sz w:val="20"/>
                <w:szCs w:val="20"/>
              </w:rPr>
            </w:pPr>
          </w:p>
          <w:p w14:paraId="3E3CE312"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15 años    </w:t>
            </w:r>
          </w:p>
          <w:p w14:paraId="40E005DA" w14:textId="2D4C0413"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(20</w:t>
            </w:r>
            <w:r w:rsidR="00BF0B7A">
              <w:rPr>
                <w:rFonts w:ascii="Open Sans" w:eastAsia="Open Sans" w:hAnsi="Open Sans" w:cs="Open Sans"/>
                <w:color w:val="0D0D0D"/>
                <w:sz w:val="20"/>
                <w:szCs w:val="20"/>
              </w:rPr>
              <w:t>09</w:t>
            </w:r>
            <w:r>
              <w:rPr>
                <w:rFonts w:ascii="Open Sans" w:eastAsia="Open Sans" w:hAnsi="Open Sans" w:cs="Open Sans"/>
                <w:color w:val="0D0D0D"/>
                <w:sz w:val="20"/>
                <w:szCs w:val="20"/>
              </w:rPr>
              <w:t xml:space="preserve"> vs 20</w:t>
            </w:r>
            <w:r w:rsidR="00BF0B7A">
              <w:rPr>
                <w:rFonts w:ascii="Open Sans" w:eastAsia="Open Sans" w:hAnsi="Open Sans" w:cs="Open Sans"/>
                <w:color w:val="0D0D0D"/>
                <w:sz w:val="20"/>
                <w:szCs w:val="20"/>
              </w:rPr>
              <w:t>24</w:t>
            </w:r>
            <w:r>
              <w:rPr>
                <w:rFonts w:ascii="Open Sans" w:eastAsia="Open Sans" w:hAnsi="Open Sans" w:cs="Open Sans"/>
                <w:color w:val="0D0D0D"/>
                <w:sz w:val="20"/>
                <w:szCs w:val="20"/>
              </w:rPr>
              <w:t>)</w:t>
            </w:r>
          </w:p>
        </w:tc>
        <w:tc>
          <w:tcPr>
            <w:tcW w:w="1785" w:type="dxa"/>
            <w:shd w:val="clear" w:color="auto" w:fill="ACB9CA"/>
            <w:vAlign w:val="center"/>
          </w:tcPr>
          <w:p w14:paraId="6D4D4DA4"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10 años       </w:t>
            </w:r>
          </w:p>
          <w:p w14:paraId="49A8776D" w14:textId="24D6BDFD"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(20</w:t>
            </w:r>
            <w:r w:rsidR="00BF0B7A">
              <w:rPr>
                <w:rFonts w:ascii="Open Sans" w:eastAsia="Open Sans" w:hAnsi="Open Sans" w:cs="Open Sans"/>
                <w:color w:val="0D0D0D"/>
                <w:sz w:val="20"/>
                <w:szCs w:val="20"/>
              </w:rPr>
              <w:t>14</w:t>
            </w:r>
            <w:r>
              <w:rPr>
                <w:rFonts w:ascii="Open Sans" w:eastAsia="Open Sans" w:hAnsi="Open Sans" w:cs="Open Sans"/>
                <w:color w:val="0D0D0D"/>
                <w:sz w:val="20"/>
                <w:szCs w:val="20"/>
              </w:rPr>
              <w:t xml:space="preserve"> vs 20</w:t>
            </w:r>
            <w:r w:rsidR="00BF0B7A">
              <w:rPr>
                <w:rFonts w:ascii="Open Sans" w:eastAsia="Open Sans" w:hAnsi="Open Sans" w:cs="Open Sans"/>
                <w:color w:val="0D0D0D"/>
                <w:sz w:val="20"/>
                <w:szCs w:val="20"/>
              </w:rPr>
              <w:t>24</w:t>
            </w:r>
            <w:r>
              <w:rPr>
                <w:rFonts w:ascii="Open Sans" w:eastAsia="Open Sans" w:hAnsi="Open Sans" w:cs="Open Sans"/>
                <w:color w:val="0D0D0D"/>
                <w:sz w:val="20"/>
                <w:szCs w:val="20"/>
              </w:rPr>
              <w:t>)</w:t>
            </w:r>
          </w:p>
        </w:tc>
        <w:tc>
          <w:tcPr>
            <w:tcW w:w="1545" w:type="dxa"/>
            <w:shd w:val="clear" w:color="auto" w:fill="ACB9CA"/>
            <w:vAlign w:val="center"/>
          </w:tcPr>
          <w:p w14:paraId="5EFA6B56"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5 años </w:t>
            </w:r>
          </w:p>
          <w:p w14:paraId="47F49ACF" w14:textId="6AB3B4E0"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(20</w:t>
            </w:r>
            <w:r w:rsidR="00BF0B7A">
              <w:rPr>
                <w:rFonts w:ascii="Open Sans" w:eastAsia="Open Sans" w:hAnsi="Open Sans" w:cs="Open Sans"/>
                <w:color w:val="0D0D0D"/>
                <w:sz w:val="20"/>
                <w:szCs w:val="20"/>
              </w:rPr>
              <w:t>19</w:t>
            </w:r>
            <w:r>
              <w:rPr>
                <w:rFonts w:ascii="Open Sans" w:eastAsia="Open Sans" w:hAnsi="Open Sans" w:cs="Open Sans"/>
                <w:color w:val="0D0D0D"/>
                <w:sz w:val="20"/>
                <w:szCs w:val="20"/>
              </w:rPr>
              <w:t xml:space="preserve"> vs 20</w:t>
            </w:r>
            <w:r w:rsidR="00BF0B7A">
              <w:rPr>
                <w:rFonts w:ascii="Open Sans" w:eastAsia="Open Sans" w:hAnsi="Open Sans" w:cs="Open Sans"/>
                <w:color w:val="0D0D0D"/>
                <w:sz w:val="20"/>
                <w:szCs w:val="20"/>
              </w:rPr>
              <w:t>21</w:t>
            </w:r>
            <w:r>
              <w:rPr>
                <w:rFonts w:ascii="Open Sans" w:eastAsia="Open Sans" w:hAnsi="Open Sans" w:cs="Open Sans"/>
                <w:color w:val="0D0D0D"/>
                <w:sz w:val="20"/>
                <w:szCs w:val="20"/>
              </w:rPr>
              <w:t>)</w:t>
            </w:r>
          </w:p>
        </w:tc>
        <w:tc>
          <w:tcPr>
            <w:tcW w:w="1560" w:type="dxa"/>
            <w:shd w:val="clear" w:color="auto" w:fill="ACB9CA"/>
            <w:vAlign w:val="center"/>
          </w:tcPr>
          <w:p w14:paraId="0DE3C581"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 año        </w:t>
            </w:r>
          </w:p>
          <w:p w14:paraId="761C9238" w14:textId="064A38E1"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(202</w:t>
            </w:r>
            <w:r w:rsidR="00BF0B7A">
              <w:rPr>
                <w:rFonts w:ascii="Open Sans" w:eastAsia="Open Sans" w:hAnsi="Open Sans" w:cs="Open Sans"/>
                <w:color w:val="0D0D0D"/>
                <w:sz w:val="20"/>
                <w:szCs w:val="20"/>
              </w:rPr>
              <w:t>3</w:t>
            </w:r>
            <w:r>
              <w:rPr>
                <w:rFonts w:ascii="Open Sans" w:eastAsia="Open Sans" w:hAnsi="Open Sans" w:cs="Open Sans"/>
                <w:color w:val="0D0D0D"/>
                <w:sz w:val="20"/>
                <w:szCs w:val="20"/>
              </w:rPr>
              <w:t xml:space="preserve"> vs 202</w:t>
            </w:r>
            <w:r w:rsidR="00BF0B7A">
              <w:rPr>
                <w:rFonts w:ascii="Open Sans" w:eastAsia="Open Sans" w:hAnsi="Open Sans" w:cs="Open Sans"/>
                <w:color w:val="0D0D0D"/>
                <w:sz w:val="20"/>
                <w:szCs w:val="20"/>
              </w:rPr>
              <w:t>4</w:t>
            </w:r>
            <w:r>
              <w:rPr>
                <w:rFonts w:ascii="Open Sans" w:eastAsia="Open Sans" w:hAnsi="Open Sans" w:cs="Open Sans"/>
                <w:color w:val="0D0D0D"/>
                <w:sz w:val="20"/>
                <w:szCs w:val="20"/>
              </w:rPr>
              <w:t>)</w:t>
            </w:r>
          </w:p>
        </w:tc>
      </w:tr>
      <w:tr w:rsidR="00BF0B7A" w14:paraId="65AFB1C1" w14:textId="77777777">
        <w:trPr>
          <w:trHeight w:val="215"/>
        </w:trPr>
        <w:tc>
          <w:tcPr>
            <w:tcW w:w="2400" w:type="dxa"/>
            <w:shd w:val="clear" w:color="auto" w:fill="auto"/>
            <w:vAlign w:val="bottom"/>
          </w:tcPr>
          <w:p w14:paraId="5E45E1A5"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1695" w:type="dxa"/>
            <w:vAlign w:val="bottom"/>
          </w:tcPr>
          <w:p w14:paraId="39EE4EE8" w14:textId="0436FFE0"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-8%</w:t>
            </w:r>
          </w:p>
        </w:tc>
        <w:tc>
          <w:tcPr>
            <w:tcW w:w="1785" w:type="dxa"/>
            <w:shd w:val="clear" w:color="auto" w:fill="auto"/>
            <w:vAlign w:val="bottom"/>
          </w:tcPr>
          <w:p w14:paraId="0655FD91" w14:textId="00E7A601"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39%</w:t>
            </w:r>
          </w:p>
        </w:tc>
        <w:tc>
          <w:tcPr>
            <w:tcW w:w="1545" w:type="dxa"/>
            <w:shd w:val="clear" w:color="auto" w:fill="auto"/>
            <w:vAlign w:val="bottom"/>
          </w:tcPr>
          <w:p w14:paraId="2BED4AA4" w14:textId="6C97139D"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26%</w:t>
            </w:r>
          </w:p>
        </w:tc>
        <w:tc>
          <w:tcPr>
            <w:tcW w:w="1560" w:type="dxa"/>
            <w:vAlign w:val="bottom"/>
          </w:tcPr>
          <w:p w14:paraId="49553A70" w14:textId="582198E9"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9%</w:t>
            </w:r>
          </w:p>
        </w:tc>
      </w:tr>
      <w:tr w:rsidR="00BF0B7A" w14:paraId="70CC93B6" w14:textId="77777777">
        <w:trPr>
          <w:trHeight w:val="215"/>
        </w:trPr>
        <w:tc>
          <w:tcPr>
            <w:tcW w:w="2400" w:type="dxa"/>
            <w:shd w:val="clear" w:color="auto" w:fill="auto"/>
            <w:vAlign w:val="bottom"/>
          </w:tcPr>
          <w:p w14:paraId="20431581"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1695" w:type="dxa"/>
            <w:vAlign w:val="bottom"/>
          </w:tcPr>
          <w:p w14:paraId="489CA7EA" w14:textId="7D5A4DFD"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-35%</w:t>
            </w:r>
          </w:p>
        </w:tc>
        <w:tc>
          <w:tcPr>
            <w:tcW w:w="1785" w:type="dxa"/>
            <w:shd w:val="clear" w:color="auto" w:fill="auto"/>
            <w:vAlign w:val="bottom"/>
          </w:tcPr>
          <w:p w14:paraId="3CE2A2BC" w14:textId="120F03B0"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5%</w:t>
            </w:r>
          </w:p>
        </w:tc>
        <w:tc>
          <w:tcPr>
            <w:tcW w:w="1545" w:type="dxa"/>
            <w:shd w:val="clear" w:color="auto" w:fill="auto"/>
            <w:vAlign w:val="bottom"/>
          </w:tcPr>
          <w:p w14:paraId="5D89E142" w14:textId="43A8671F"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9%</w:t>
            </w:r>
          </w:p>
        </w:tc>
        <w:tc>
          <w:tcPr>
            <w:tcW w:w="1560" w:type="dxa"/>
            <w:vAlign w:val="bottom"/>
          </w:tcPr>
          <w:p w14:paraId="0D938E73" w14:textId="55E2D51B"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5%</w:t>
            </w:r>
          </w:p>
        </w:tc>
      </w:tr>
      <w:tr w:rsidR="00BF0B7A" w14:paraId="3767E0FA" w14:textId="77777777">
        <w:trPr>
          <w:trHeight w:val="215"/>
        </w:trPr>
        <w:tc>
          <w:tcPr>
            <w:tcW w:w="2400" w:type="dxa"/>
            <w:shd w:val="clear" w:color="auto" w:fill="auto"/>
            <w:vAlign w:val="bottom"/>
          </w:tcPr>
          <w:p w14:paraId="734BA753"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1695" w:type="dxa"/>
            <w:vAlign w:val="bottom"/>
          </w:tcPr>
          <w:p w14:paraId="385EFEE2" w14:textId="4769D465"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-29%</w:t>
            </w:r>
          </w:p>
        </w:tc>
        <w:tc>
          <w:tcPr>
            <w:tcW w:w="1785" w:type="dxa"/>
            <w:shd w:val="clear" w:color="auto" w:fill="auto"/>
            <w:vAlign w:val="bottom"/>
          </w:tcPr>
          <w:p w14:paraId="2F64F4F3" w14:textId="7A18C10B"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-5%</w:t>
            </w:r>
          </w:p>
        </w:tc>
        <w:tc>
          <w:tcPr>
            <w:tcW w:w="1545" w:type="dxa"/>
            <w:shd w:val="clear" w:color="auto" w:fill="auto"/>
            <w:vAlign w:val="bottom"/>
          </w:tcPr>
          <w:p w14:paraId="4F15E7BE" w14:textId="3C9BA86F"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7%</w:t>
            </w:r>
          </w:p>
        </w:tc>
        <w:tc>
          <w:tcPr>
            <w:tcW w:w="1560" w:type="dxa"/>
            <w:vAlign w:val="bottom"/>
          </w:tcPr>
          <w:p w14:paraId="16683938" w14:textId="2CE082E8"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4%</w:t>
            </w:r>
          </w:p>
        </w:tc>
      </w:tr>
      <w:tr w:rsidR="00BF0B7A" w14:paraId="0148924E" w14:textId="77777777">
        <w:trPr>
          <w:trHeight w:val="215"/>
        </w:trPr>
        <w:tc>
          <w:tcPr>
            <w:tcW w:w="2400" w:type="dxa"/>
            <w:shd w:val="clear" w:color="auto" w:fill="auto"/>
            <w:vAlign w:val="bottom"/>
          </w:tcPr>
          <w:p w14:paraId="272EA32D"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1695" w:type="dxa"/>
            <w:vAlign w:val="bottom"/>
          </w:tcPr>
          <w:p w14:paraId="4336AC58" w14:textId="069C143D"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53%</w:t>
            </w:r>
          </w:p>
        </w:tc>
        <w:tc>
          <w:tcPr>
            <w:tcW w:w="1785" w:type="dxa"/>
            <w:shd w:val="clear" w:color="auto" w:fill="auto"/>
            <w:vAlign w:val="bottom"/>
          </w:tcPr>
          <w:p w14:paraId="237E923F" w14:textId="098FD3E5"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109%</w:t>
            </w:r>
          </w:p>
        </w:tc>
        <w:tc>
          <w:tcPr>
            <w:tcW w:w="1545" w:type="dxa"/>
            <w:shd w:val="clear" w:color="auto" w:fill="auto"/>
            <w:vAlign w:val="bottom"/>
          </w:tcPr>
          <w:p w14:paraId="49BD5267" w14:textId="15CE168B"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48%</w:t>
            </w:r>
          </w:p>
        </w:tc>
        <w:tc>
          <w:tcPr>
            <w:tcW w:w="1560" w:type="dxa"/>
            <w:vAlign w:val="bottom"/>
          </w:tcPr>
          <w:p w14:paraId="7F0F193F" w14:textId="2085A6F9"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11%</w:t>
            </w:r>
          </w:p>
        </w:tc>
      </w:tr>
      <w:tr w:rsidR="00BF0B7A" w14:paraId="1E6C9E82" w14:textId="77777777">
        <w:trPr>
          <w:trHeight w:val="215"/>
        </w:trPr>
        <w:tc>
          <w:tcPr>
            <w:tcW w:w="2400" w:type="dxa"/>
            <w:shd w:val="clear" w:color="auto" w:fill="auto"/>
            <w:vAlign w:val="bottom"/>
          </w:tcPr>
          <w:p w14:paraId="58217D19"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1695" w:type="dxa"/>
            <w:vAlign w:val="bottom"/>
          </w:tcPr>
          <w:p w14:paraId="17C8FBDB" w14:textId="7C69D485"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25%</w:t>
            </w:r>
          </w:p>
        </w:tc>
        <w:tc>
          <w:tcPr>
            <w:tcW w:w="1785" w:type="dxa"/>
            <w:shd w:val="clear" w:color="auto" w:fill="auto"/>
            <w:vAlign w:val="bottom"/>
          </w:tcPr>
          <w:p w14:paraId="1472C259" w14:textId="560C69CE"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78%</w:t>
            </w:r>
          </w:p>
        </w:tc>
        <w:tc>
          <w:tcPr>
            <w:tcW w:w="1545" w:type="dxa"/>
            <w:shd w:val="clear" w:color="auto" w:fill="auto"/>
            <w:vAlign w:val="bottom"/>
          </w:tcPr>
          <w:p w14:paraId="1196963E" w14:textId="075A0180"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45%</w:t>
            </w:r>
          </w:p>
        </w:tc>
        <w:tc>
          <w:tcPr>
            <w:tcW w:w="1560" w:type="dxa"/>
            <w:vAlign w:val="bottom"/>
          </w:tcPr>
          <w:p w14:paraId="590E8E0E" w14:textId="29DC7FC0"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23%</w:t>
            </w:r>
          </w:p>
        </w:tc>
      </w:tr>
      <w:tr w:rsidR="00BF0B7A" w14:paraId="4A2623E0" w14:textId="77777777">
        <w:trPr>
          <w:trHeight w:val="215"/>
        </w:trPr>
        <w:tc>
          <w:tcPr>
            <w:tcW w:w="2400" w:type="dxa"/>
            <w:shd w:val="clear" w:color="auto" w:fill="auto"/>
            <w:vAlign w:val="bottom"/>
          </w:tcPr>
          <w:p w14:paraId="48099886"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1695" w:type="dxa"/>
            <w:vAlign w:val="bottom"/>
          </w:tcPr>
          <w:p w14:paraId="332D2878" w14:textId="0E437D9A"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-29%</w:t>
            </w:r>
          </w:p>
        </w:tc>
        <w:tc>
          <w:tcPr>
            <w:tcW w:w="1785" w:type="dxa"/>
            <w:shd w:val="clear" w:color="auto" w:fill="auto"/>
            <w:vAlign w:val="bottom"/>
          </w:tcPr>
          <w:p w14:paraId="66764AA0" w14:textId="10E3A5CA"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3%</w:t>
            </w:r>
          </w:p>
        </w:tc>
        <w:tc>
          <w:tcPr>
            <w:tcW w:w="1545" w:type="dxa"/>
            <w:shd w:val="clear" w:color="auto" w:fill="auto"/>
            <w:vAlign w:val="bottom"/>
          </w:tcPr>
          <w:p w14:paraId="6319BD74" w14:textId="47B77F26"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13%</w:t>
            </w:r>
          </w:p>
        </w:tc>
        <w:tc>
          <w:tcPr>
            <w:tcW w:w="1560" w:type="dxa"/>
            <w:vAlign w:val="bottom"/>
          </w:tcPr>
          <w:p w14:paraId="6D860978" w14:textId="38D892F2"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6%</w:t>
            </w:r>
          </w:p>
        </w:tc>
      </w:tr>
      <w:tr w:rsidR="00BF0B7A" w14:paraId="6B4DA373" w14:textId="77777777">
        <w:trPr>
          <w:trHeight w:val="215"/>
        </w:trPr>
        <w:tc>
          <w:tcPr>
            <w:tcW w:w="2400" w:type="dxa"/>
            <w:shd w:val="clear" w:color="auto" w:fill="auto"/>
            <w:vAlign w:val="bottom"/>
          </w:tcPr>
          <w:p w14:paraId="343B15C7"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1695" w:type="dxa"/>
            <w:vAlign w:val="bottom"/>
          </w:tcPr>
          <w:p w14:paraId="59BF3F1F" w14:textId="369791A7"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-29%</w:t>
            </w:r>
          </w:p>
        </w:tc>
        <w:tc>
          <w:tcPr>
            <w:tcW w:w="1785" w:type="dxa"/>
            <w:shd w:val="clear" w:color="auto" w:fill="auto"/>
            <w:vAlign w:val="bottom"/>
          </w:tcPr>
          <w:p w14:paraId="18E55B36" w14:textId="08CECA4D"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w:t>
            </w:r>
          </w:p>
        </w:tc>
        <w:tc>
          <w:tcPr>
            <w:tcW w:w="1545" w:type="dxa"/>
            <w:shd w:val="clear" w:color="auto" w:fill="auto"/>
            <w:vAlign w:val="bottom"/>
          </w:tcPr>
          <w:p w14:paraId="31E8DD04" w14:textId="5567E83F"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0%</w:t>
            </w:r>
          </w:p>
        </w:tc>
        <w:tc>
          <w:tcPr>
            <w:tcW w:w="1560" w:type="dxa"/>
            <w:vAlign w:val="bottom"/>
          </w:tcPr>
          <w:p w14:paraId="4D73B759" w14:textId="1CB099ED"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2%</w:t>
            </w:r>
          </w:p>
        </w:tc>
      </w:tr>
      <w:tr w:rsidR="00BF0B7A" w14:paraId="40A2E6E0" w14:textId="77777777">
        <w:trPr>
          <w:trHeight w:val="215"/>
        </w:trPr>
        <w:tc>
          <w:tcPr>
            <w:tcW w:w="2400" w:type="dxa"/>
            <w:shd w:val="clear" w:color="auto" w:fill="auto"/>
            <w:vAlign w:val="bottom"/>
          </w:tcPr>
          <w:p w14:paraId="1C8475FB"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1695" w:type="dxa"/>
            <w:vAlign w:val="bottom"/>
          </w:tcPr>
          <w:p w14:paraId="20AED3C2" w14:textId="34B85AB1"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-38%</w:t>
            </w:r>
          </w:p>
        </w:tc>
        <w:tc>
          <w:tcPr>
            <w:tcW w:w="1785" w:type="dxa"/>
            <w:shd w:val="clear" w:color="auto" w:fill="auto"/>
            <w:vAlign w:val="bottom"/>
          </w:tcPr>
          <w:p w14:paraId="6DFE8E71" w14:textId="763DFBD5"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w:t>
            </w:r>
          </w:p>
        </w:tc>
        <w:tc>
          <w:tcPr>
            <w:tcW w:w="1545" w:type="dxa"/>
            <w:shd w:val="clear" w:color="auto" w:fill="auto"/>
            <w:vAlign w:val="bottom"/>
          </w:tcPr>
          <w:p w14:paraId="59AB8481" w14:textId="02C59E16"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7%</w:t>
            </w:r>
          </w:p>
        </w:tc>
        <w:tc>
          <w:tcPr>
            <w:tcW w:w="1560" w:type="dxa"/>
            <w:vAlign w:val="bottom"/>
          </w:tcPr>
          <w:p w14:paraId="240721A8" w14:textId="467788AC"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5%</w:t>
            </w:r>
          </w:p>
        </w:tc>
      </w:tr>
      <w:tr w:rsidR="00BF0B7A" w14:paraId="03A68725" w14:textId="77777777">
        <w:trPr>
          <w:trHeight w:val="215"/>
        </w:trPr>
        <w:tc>
          <w:tcPr>
            <w:tcW w:w="2400" w:type="dxa"/>
            <w:shd w:val="clear" w:color="auto" w:fill="auto"/>
            <w:vAlign w:val="bottom"/>
          </w:tcPr>
          <w:p w14:paraId="447FE5BC"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1695" w:type="dxa"/>
            <w:vAlign w:val="bottom"/>
          </w:tcPr>
          <w:p w14:paraId="799D2646" w14:textId="3D1DC11A"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-16%</w:t>
            </w:r>
          </w:p>
        </w:tc>
        <w:tc>
          <w:tcPr>
            <w:tcW w:w="1785" w:type="dxa"/>
            <w:shd w:val="clear" w:color="auto" w:fill="auto"/>
            <w:vAlign w:val="bottom"/>
          </w:tcPr>
          <w:p w14:paraId="1CD2487D" w14:textId="61439877"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29%</w:t>
            </w:r>
          </w:p>
        </w:tc>
        <w:tc>
          <w:tcPr>
            <w:tcW w:w="1545" w:type="dxa"/>
            <w:shd w:val="clear" w:color="auto" w:fill="auto"/>
            <w:vAlign w:val="bottom"/>
          </w:tcPr>
          <w:p w14:paraId="4A339D08" w14:textId="30233318"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10%</w:t>
            </w:r>
          </w:p>
        </w:tc>
        <w:tc>
          <w:tcPr>
            <w:tcW w:w="1560" w:type="dxa"/>
            <w:vAlign w:val="bottom"/>
          </w:tcPr>
          <w:p w14:paraId="391C0988" w14:textId="31C868DF"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4%</w:t>
            </w:r>
          </w:p>
        </w:tc>
      </w:tr>
      <w:tr w:rsidR="00BF0B7A" w14:paraId="5F78CC9B" w14:textId="77777777">
        <w:trPr>
          <w:trHeight w:val="215"/>
        </w:trPr>
        <w:tc>
          <w:tcPr>
            <w:tcW w:w="2400" w:type="dxa"/>
            <w:shd w:val="clear" w:color="auto" w:fill="auto"/>
            <w:vAlign w:val="bottom"/>
          </w:tcPr>
          <w:p w14:paraId="269B36AA"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Comunitat Valenciana</w:t>
            </w:r>
          </w:p>
        </w:tc>
        <w:tc>
          <w:tcPr>
            <w:tcW w:w="1695" w:type="dxa"/>
            <w:vAlign w:val="bottom"/>
          </w:tcPr>
          <w:p w14:paraId="2B8CCF48" w14:textId="78AF4179"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-11%</w:t>
            </w:r>
          </w:p>
        </w:tc>
        <w:tc>
          <w:tcPr>
            <w:tcW w:w="1785" w:type="dxa"/>
            <w:shd w:val="clear" w:color="auto" w:fill="auto"/>
            <w:vAlign w:val="bottom"/>
          </w:tcPr>
          <w:p w14:paraId="53F8C77C" w14:textId="36676C44"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31%</w:t>
            </w:r>
          </w:p>
        </w:tc>
        <w:tc>
          <w:tcPr>
            <w:tcW w:w="1545" w:type="dxa"/>
            <w:shd w:val="clear" w:color="auto" w:fill="auto"/>
            <w:vAlign w:val="bottom"/>
          </w:tcPr>
          <w:p w14:paraId="0A09C115" w14:textId="01DB2BF8"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28%</w:t>
            </w:r>
          </w:p>
        </w:tc>
        <w:tc>
          <w:tcPr>
            <w:tcW w:w="1560" w:type="dxa"/>
            <w:vAlign w:val="bottom"/>
          </w:tcPr>
          <w:p w14:paraId="3340FEB9" w14:textId="3A778F02"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11%</w:t>
            </w:r>
          </w:p>
        </w:tc>
      </w:tr>
      <w:tr w:rsidR="00BF0B7A" w14:paraId="32C440A6" w14:textId="77777777">
        <w:trPr>
          <w:trHeight w:val="215"/>
        </w:trPr>
        <w:tc>
          <w:tcPr>
            <w:tcW w:w="2400" w:type="dxa"/>
            <w:shd w:val="clear" w:color="auto" w:fill="auto"/>
            <w:vAlign w:val="bottom"/>
          </w:tcPr>
          <w:p w14:paraId="384E4880"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1695" w:type="dxa"/>
            <w:vAlign w:val="bottom"/>
          </w:tcPr>
          <w:p w14:paraId="2E402972" w14:textId="1736376A"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-29%</w:t>
            </w:r>
          </w:p>
        </w:tc>
        <w:tc>
          <w:tcPr>
            <w:tcW w:w="1785" w:type="dxa"/>
            <w:shd w:val="clear" w:color="auto" w:fill="auto"/>
            <w:vAlign w:val="bottom"/>
          </w:tcPr>
          <w:p w14:paraId="6E82D72C" w14:textId="7AB9B268"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-1%</w:t>
            </w:r>
          </w:p>
        </w:tc>
        <w:tc>
          <w:tcPr>
            <w:tcW w:w="1545" w:type="dxa"/>
            <w:shd w:val="clear" w:color="auto" w:fill="auto"/>
            <w:vAlign w:val="bottom"/>
          </w:tcPr>
          <w:p w14:paraId="2C85AE3E" w14:textId="7498FBE9"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8%</w:t>
            </w:r>
          </w:p>
        </w:tc>
        <w:tc>
          <w:tcPr>
            <w:tcW w:w="1560" w:type="dxa"/>
            <w:vAlign w:val="bottom"/>
          </w:tcPr>
          <w:p w14:paraId="1F7A52B9" w14:textId="5BC2FFE2" w:rsidR="00BF0B7A" w:rsidRDefault="00BF0B7A" w:rsidP="00BF0B7A">
            <w:pPr>
              <w:jc w:val="center"/>
              <w:rPr>
                <w:rFonts w:ascii="Open Sans" w:eastAsia="Open Sans" w:hAnsi="Open Sans" w:cs="Open Sans"/>
                <w:color w:val="FF0000"/>
                <w:sz w:val="22"/>
                <w:szCs w:val="22"/>
              </w:rPr>
            </w:pPr>
            <w:r>
              <w:rPr>
                <w:rFonts w:ascii="Open Sans" w:hAnsi="Open Sans" w:cs="Open Sans"/>
                <w:color w:val="9C0006"/>
                <w:sz w:val="22"/>
                <w:szCs w:val="22"/>
              </w:rPr>
              <w:t>-3%</w:t>
            </w:r>
          </w:p>
        </w:tc>
      </w:tr>
      <w:tr w:rsidR="00BF0B7A" w14:paraId="5C1D63E0" w14:textId="77777777">
        <w:trPr>
          <w:trHeight w:val="215"/>
        </w:trPr>
        <w:tc>
          <w:tcPr>
            <w:tcW w:w="2400" w:type="dxa"/>
            <w:shd w:val="clear" w:color="auto" w:fill="auto"/>
            <w:vAlign w:val="bottom"/>
          </w:tcPr>
          <w:p w14:paraId="2DF0F80C"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1695" w:type="dxa"/>
            <w:vAlign w:val="bottom"/>
          </w:tcPr>
          <w:p w14:paraId="1068B2BD" w14:textId="31009B13"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-17%</w:t>
            </w:r>
          </w:p>
        </w:tc>
        <w:tc>
          <w:tcPr>
            <w:tcW w:w="1785" w:type="dxa"/>
            <w:shd w:val="clear" w:color="auto" w:fill="auto"/>
            <w:vAlign w:val="bottom"/>
          </w:tcPr>
          <w:p w14:paraId="1B9DAFFD" w14:textId="5129B61F"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5%</w:t>
            </w:r>
          </w:p>
        </w:tc>
        <w:tc>
          <w:tcPr>
            <w:tcW w:w="1545" w:type="dxa"/>
            <w:shd w:val="clear" w:color="auto" w:fill="auto"/>
            <w:vAlign w:val="bottom"/>
          </w:tcPr>
          <w:p w14:paraId="0B7540A6" w14:textId="5B941B63"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6%</w:t>
            </w:r>
          </w:p>
        </w:tc>
        <w:tc>
          <w:tcPr>
            <w:tcW w:w="1560" w:type="dxa"/>
            <w:vAlign w:val="bottom"/>
          </w:tcPr>
          <w:p w14:paraId="2C3DDB93" w14:textId="772F96B1"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3%</w:t>
            </w:r>
          </w:p>
        </w:tc>
      </w:tr>
      <w:tr w:rsidR="00BF0B7A" w14:paraId="79C1448E" w14:textId="77777777">
        <w:trPr>
          <w:trHeight w:val="215"/>
        </w:trPr>
        <w:tc>
          <w:tcPr>
            <w:tcW w:w="2400" w:type="dxa"/>
            <w:shd w:val="clear" w:color="auto" w:fill="auto"/>
            <w:vAlign w:val="bottom"/>
          </w:tcPr>
          <w:p w14:paraId="6E8D8188"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1695" w:type="dxa"/>
            <w:vAlign w:val="bottom"/>
          </w:tcPr>
          <w:p w14:paraId="45AF3398" w14:textId="73F6B794"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-26%</w:t>
            </w:r>
          </w:p>
        </w:tc>
        <w:tc>
          <w:tcPr>
            <w:tcW w:w="1785" w:type="dxa"/>
            <w:shd w:val="clear" w:color="auto" w:fill="auto"/>
            <w:vAlign w:val="bottom"/>
          </w:tcPr>
          <w:p w14:paraId="6D5B2B5A" w14:textId="66113689"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19%</w:t>
            </w:r>
          </w:p>
        </w:tc>
        <w:tc>
          <w:tcPr>
            <w:tcW w:w="1545" w:type="dxa"/>
            <w:shd w:val="clear" w:color="auto" w:fill="auto"/>
            <w:vAlign w:val="bottom"/>
          </w:tcPr>
          <w:p w14:paraId="5D9B136E" w14:textId="0EA6E2DA"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19%</w:t>
            </w:r>
          </w:p>
        </w:tc>
        <w:tc>
          <w:tcPr>
            <w:tcW w:w="1560" w:type="dxa"/>
            <w:vAlign w:val="bottom"/>
          </w:tcPr>
          <w:p w14:paraId="214546FE" w14:textId="0E11E6A5"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8%</w:t>
            </w:r>
          </w:p>
        </w:tc>
      </w:tr>
      <w:tr w:rsidR="00BF0B7A" w14:paraId="14D62223" w14:textId="77777777">
        <w:trPr>
          <w:trHeight w:val="215"/>
        </w:trPr>
        <w:tc>
          <w:tcPr>
            <w:tcW w:w="2400" w:type="dxa"/>
            <w:shd w:val="clear" w:color="auto" w:fill="auto"/>
            <w:vAlign w:val="bottom"/>
          </w:tcPr>
          <w:p w14:paraId="066FE3F7"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1695" w:type="dxa"/>
            <w:vAlign w:val="bottom"/>
          </w:tcPr>
          <w:p w14:paraId="0D892F42" w14:textId="65A7880C"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17%</w:t>
            </w:r>
          </w:p>
        </w:tc>
        <w:tc>
          <w:tcPr>
            <w:tcW w:w="1785" w:type="dxa"/>
            <w:shd w:val="clear" w:color="auto" w:fill="auto"/>
            <w:vAlign w:val="bottom"/>
          </w:tcPr>
          <w:p w14:paraId="62E6B71D" w14:textId="14F0E136"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68%</w:t>
            </w:r>
          </w:p>
        </w:tc>
        <w:tc>
          <w:tcPr>
            <w:tcW w:w="1545" w:type="dxa"/>
            <w:shd w:val="clear" w:color="auto" w:fill="auto"/>
            <w:vAlign w:val="bottom"/>
          </w:tcPr>
          <w:p w14:paraId="480BBFF5" w14:textId="2D2BFBD5"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34%</w:t>
            </w:r>
          </w:p>
        </w:tc>
        <w:tc>
          <w:tcPr>
            <w:tcW w:w="1560" w:type="dxa"/>
            <w:vAlign w:val="bottom"/>
          </w:tcPr>
          <w:p w14:paraId="05CFED7A" w14:textId="5376A523"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15%</w:t>
            </w:r>
          </w:p>
        </w:tc>
      </w:tr>
      <w:tr w:rsidR="00BF0B7A" w14:paraId="09A005A1" w14:textId="77777777">
        <w:trPr>
          <w:trHeight w:val="215"/>
        </w:trPr>
        <w:tc>
          <w:tcPr>
            <w:tcW w:w="2400" w:type="dxa"/>
            <w:shd w:val="clear" w:color="auto" w:fill="auto"/>
            <w:vAlign w:val="bottom"/>
          </w:tcPr>
          <w:p w14:paraId="75E850C2"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1695" w:type="dxa"/>
            <w:vAlign w:val="bottom"/>
          </w:tcPr>
          <w:p w14:paraId="6C6F1D95" w14:textId="5C8ACF41"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-28%</w:t>
            </w:r>
          </w:p>
        </w:tc>
        <w:tc>
          <w:tcPr>
            <w:tcW w:w="1785" w:type="dxa"/>
            <w:shd w:val="clear" w:color="auto" w:fill="auto"/>
            <w:vAlign w:val="bottom"/>
          </w:tcPr>
          <w:p w14:paraId="7DCEC7C0" w14:textId="6494B2E4"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13%</w:t>
            </w:r>
          </w:p>
        </w:tc>
        <w:tc>
          <w:tcPr>
            <w:tcW w:w="1545" w:type="dxa"/>
            <w:shd w:val="clear" w:color="auto" w:fill="auto"/>
            <w:vAlign w:val="bottom"/>
          </w:tcPr>
          <w:p w14:paraId="00D1FCE0" w14:textId="09A5669E"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24%</w:t>
            </w:r>
          </w:p>
        </w:tc>
        <w:tc>
          <w:tcPr>
            <w:tcW w:w="1560" w:type="dxa"/>
            <w:vAlign w:val="bottom"/>
          </w:tcPr>
          <w:p w14:paraId="12DED50D" w14:textId="25F02323"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5%</w:t>
            </w:r>
          </w:p>
        </w:tc>
      </w:tr>
      <w:tr w:rsidR="00BF0B7A" w14:paraId="12C35F06" w14:textId="77777777">
        <w:trPr>
          <w:trHeight w:val="215"/>
        </w:trPr>
        <w:tc>
          <w:tcPr>
            <w:tcW w:w="2400" w:type="dxa"/>
            <w:shd w:val="clear" w:color="auto" w:fill="auto"/>
            <w:vAlign w:val="bottom"/>
          </w:tcPr>
          <w:p w14:paraId="5B04AF6A"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1695" w:type="dxa"/>
            <w:vAlign w:val="bottom"/>
          </w:tcPr>
          <w:p w14:paraId="5DCA675C" w14:textId="4D03F629"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-22%</w:t>
            </w:r>
          </w:p>
        </w:tc>
        <w:tc>
          <w:tcPr>
            <w:tcW w:w="1785" w:type="dxa"/>
            <w:shd w:val="clear" w:color="auto" w:fill="auto"/>
            <w:vAlign w:val="bottom"/>
          </w:tcPr>
          <w:p w14:paraId="38EC2185" w14:textId="304CB7AE"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4%</w:t>
            </w:r>
          </w:p>
        </w:tc>
        <w:tc>
          <w:tcPr>
            <w:tcW w:w="1545" w:type="dxa"/>
            <w:shd w:val="clear" w:color="auto" w:fill="auto"/>
            <w:vAlign w:val="bottom"/>
          </w:tcPr>
          <w:p w14:paraId="55CEB0C6" w14:textId="541FB5C7"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10%</w:t>
            </w:r>
          </w:p>
        </w:tc>
        <w:tc>
          <w:tcPr>
            <w:tcW w:w="1560" w:type="dxa"/>
            <w:vAlign w:val="bottom"/>
          </w:tcPr>
          <w:p w14:paraId="75608460" w14:textId="51B72AF8"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5%</w:t>
            </w:r>
          </w:p>
        </w:tc>
      </w:tr>
      <w:tr w:rsidR="00BF0B7A" w14:paraId="24089C7B" w14:textId="77777777">
        <w:trPr>
          <w:trHeight w:val="215"/>
        </w:trPr>
        <w:tc>
          <w:tcPr>
            <w:tcW w:w="2400" w:type="dxa"/>
            <w:shd w:val="clear" w:color="auto" w:fill="auto"/>
            <w:vAlign w:val="bottom"/>
          </w:tcPr>
          <w:p w14:paraId="6C211E4D" w14:textId="77777777" w:rsidR="00BF0B7A" w:rsidRDefault="00BF0B7A" w:rsidP="00BF0B7A">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1695" w:type="dxa"/>
            <w:vAlign w:val="bottom"/>
          </w:tcPr>
          <w:p w14:paraId="4D9467DB" w14:textId="21AB32FB" w:rsidR="00BF0B7A" w:rsidRDefault="00BF0B7A" w:rsidP="00BF0B7A">
            <w:pPr>
              <w:jc w:val="center"/>
              <w:rPr>
                <w:rFonts w:ascii="Open Sans" w:eastAsia="Open Sans" w:hAnsi="Open Sans" w:cs="Open Sans"/>
                <w:color w:val="000000"/>
                <w:sz w:val="22"/>
                <w:szCs w:val="22"/>
              </w:rPr>
            </w:pPr>
            <w:r>
              <w:rPr>
                <w:rFonts w:ascii="Open Sans" w:hAnsi="Open Sans" w:cs="Open Sans"/>
                <w:color w:val="9C0006"/>
                <w:sz w:val="22"/>
                <w:szCs w:val="22"/>
              </w:rPr>
              <w:t>-29%</w:t>
            </w:r>
          </w:p>
        </w:tc>
        <w:tc>
          <w:tcPr>
            <w:tcW w:w="1785" w:type="dxa"/>
            <w:shd w:val="clear" w:color="auto" w:fill="auto"/>
            <w:vAlign w:val="bottom"/>
          </w:tcPr>
          <w:p w14:paraId="51612E60" w14:textId="18DD51D3"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7%</w:t>
            </w:r>
          </w:p>
        </w:tc>
        <w:tc>
          <w:tcPr>
            <w:tcW w:w="1545" w:type="dxa"/>
            <w:shd w:val="clear" w:color="auto" w:fill="auto"/>
            <w:vAlign w:val="bottom"/>
          </w:tcPr>
          <w:p w14:paraId="183CEF58" w14:textId="6833E34C" w:rsidR="00BF0B7A" w:rsidRDefault="00BF0B7A" w:rsidP="00BF0B7A">
            <w:pPr>
              <w:jc w:val="center"/>
              <w:rPr>
                <w:rFonts w:ascii="Open Sans" w:eastAsia="Open Sans" w:hAnsi="Open Sans" w:cs="Open Sans"/>
                <w:color w:val="000000"/>
                <w:sz w:val="22"/>
                <w:szCs w:val="22"/>
              </w:rPr>
            </w:pPr>
            <w:r>
              <w:rPr>
                <w:rFonts w:ascii="Open Sans" w:hAnsi="Open Sans" w:cs="Open Sans"/>
                <w:color w:val="000000"/>
                <w:sz w:val="22"/>
                <w:szCs w:val="22"/>
              </w:rPr>
              <w:t>16%</w:t>
            </w:r>
          </w:p>
        </w:tc>
        <w:tc>
          <w:tcPr>
            <w:tcW w:w="1560" w:type="dxa"/>
            <w:vAlign w:val="bottom"/>
          </w:tcPr>
          <w:p w14:paraId="74B6CDF8" w14:textId="096DE485" w:rsidR="00BF0B7A" w:rsidRDefault="00BF0B7A" w:rsidP="00BF0B7A">
            <w:pPr>
              <w:jc w:val="center"/>
              <w:rPr>
                <w:rFonts w:ascii="Open Sans" w:eastAsia="Open Sans" w:hAnsi="Open Sans" w:cs="Open Sans"/>
                <w:color w:val="FF0000"/>
                <w:sz w:val="22"/>
                <w:szCs w:val="22"/>
              </w:rPr>
            </w:pPr>
            <w:r>
              <w:rPr>
                <w:rFonts w:ascii="Open Sans" w:hAnsi="Open Sans" w:cs="Open Sans"/>
                <w:color w:val="000000"/>
                <w:sz w:val="22"/>
                <w:szCs w:val="22"/>
              </w:rPr>
              <w:t>12%</w:t>
            </w:r>
          </w:p>
        </w:tc>
      </w:tr>
      <w:tr w:rsidR="00EA76BF" w14:paraId="620D0D04" w14:textId="77777777">
        <w:trPr>
          <w:trHeight w:val="215"/>
        </w:trPr>
        <w:tc>
          <w:tcPr>
            <w:tcW w:w="2400" w:type="dxa"/>
            <w:shd w:val="clear" w:color="auto" w:fill="ACB9CA"/>
            <w:vAlign w:val="bottom"/>
          </w:tcPr>
          <w:p w14:paraId="7967D80C"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España</w:t>
            </w:r>
          </w:p>
        </w:tc>
        <w:tc>
          <w:tcPr>
            <w:tcW w:w="1695" w:type="dxa"/>
            <w:shd w:val="clear" w:color="auto" w:fill="ACB9CA"/>
            <w:vAlign w:val="bottom"/>
          </w:tcPr>
          <w:p w14:paraId="1FD83B7F" w14:textId="77777777" w:rsidR="00EA76BF" w:rsidRDefault="00000000">
            <w:pPr>
              <w:jc w:val="center"/>
              <w:rPr>
                <w:rFonts w:ascii="Open Sans" w:eastAsia="Open Sans" w:hAnsi="Open Sans" w:cs="Open Sans"/>
                <w:b/>
                <w:color w:val="000000"/>
                <w:sz w:val="22"/>
                <w:szCs w:val="22"/>
              </w:rPr>
            </w:pPr>
            <w:r>
              <w:rPr>
                <w:rFonts w:ascii="Open Sans" w:eastAsia="Open Sans" w:hAnsi="Open Sans" w:cs="Open Sans"/>
                <w:color w:val="9C0006"/>
                <w:sz w:val="22"/>
                <w:szCs w:val="22"/>
              </w:rPr>
              <w:t>-11%</w:t>
            </w:r>
          </w:p>
        </w:tc>
        <w:tc>
          <w:tcPr>
            <w:tcW w:w="1785" w:type="dxa"/>
            <w:shd w:val="clear" w:color="auto" w:fill="ACB9CA"/>
            <w:vAlign w:val="bottom"/>
          </w:tcPr>
          <w:p w14:paraId="456F49C8" w14:textId="77777777" w:rsidR="00EA76BF"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29%</w:t>
            </w:r>
          </w:p>
        </w:tc>
        <w:tc>
          <w:tcPr>
            <w:tcW w:w="1545" w:type="dxa"/>
            <w:shd w:val="clear" w:color="auto" w:fill="ACB9CA"/>
            <w:vAlign w:val="bottom"/>
          </w:tcPr>
          <w:p w14:paraId="596E64E8" w14:textId="77777777" w:rsidR="00EA76BF"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18%</w:t>
            </w:r>
          </w:p>
        </w:tc>
        <w:tc>
          <w:tcPr>
            <w:tcW w:w="1560" w:type="dxa"/>
            <w:shd w:val="clear" w:color="auto" w:fill="ACB9CA"/>
            <w:vAlign w:val="bottom"/>
          </w:tcPr>
          <w:p w14:paraId="7B21FDA8" w14:textId="77777777" w:rsidR="00EA76BF" w:rsidRDefault="00000000">
            <w:pPr>
              <w:jc w:val="center"/>
              <w:rPr>
                <w:rFonts w:ascii="Open Sans" w:eastAsia="Open Sans" w:hAnsi="Open Sans" w:cs="Open Sans"/>
                <w:b/>
                <w:color w:val="FF0000"/>
                <w:sz w:val="22"/>
                <w:szCs w:val="22"/>
              </w:rPr>
            </w:pPr>
            <w:r>
              <w:rPr>
                <w:rFonts w:ascii="Open Sans" w:eastAsia="Open Sans" w:hAnsi="Open Sans" w:cs="Open Sans"/>
                <w:color w:val="000000"/>
                <w:sz w:val="22"/>
                <w:szCs w:val="22"/>
              </w:rPr>
              <w:t>7%</w:t>
            </w:r>
          </w:p>
        </w:tc>
      </w:tr>
    </w:tbl>
    <w:p w14:paraId="29B93D61"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FF"/>
          <w:sz w:val="22"/>
          <w:szCs w:val="22"/>
          <w:u w:val="single"/>
        </w:rPr>
      </w:pPr>
      <w:bookmarkStart w:id="0" w:name="_heading=h.gjdgxs" w:colFirst="0" w:colLast="0"/>
      <w:bookmarkEnd w:id="0"/>
      <w:r>
        <w:rPr>
          <w:rFonts w:ascii="Open Sans" w:eastAsia="Open Sans" w:hAnsi="Open Sans" w:cs="Open Sans"/>
          <w:sz w:val="22"/>
          <w:szCs w:val="22"/>
        </w:rPr>
        <w:t>“Con el paso del tiempo es habitual que todos los bienes y servicios vayan aumentando de precio. Sin embargo, la vivienda lo hace a un ritmo muy apresurado que condiciona las y limita el acceso al hogar. En los últimos años, el encarecimiento ha sido muy significativo fruto del desequilibrio existente entre oferta y demanda y que cada vez se agranda. Hoy la compra de una vivienda cuesta 40.000 euros más (de media) que en 2014. Hay comunidades en las que una vivienda vale 160.000 euros más que hace 10 años, como en el caso de Baleares. Además, lamentablemente, la tendencia indica que este aumento de precio será la tónica del mercado año tras año, mientras la oferta no se incremente</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 xml:space="preserve">explica María Matos, directora de Estudios y Portavoz de </w:t>
      </w:r>
      <w:hyperlink r:id="rId12">
        <w:r>
          <w:rPr>
            <w:rFonts w:ascii="Open Sans" w:eastAsia="Open Sans" w:hAnsi="Open Sans" w:cs="Open Sans"/>
            <w:b/>
            <w:color w:val="0000FF"/>
            <w:sz w:val="22"/>
            <w:szCs w:val="22"/>
            <w:u w:val="single"/>
          </w:rPr>
          <w:t>Fotocasa</w:t>
        </w:r>
      </w:hyperlink>
      <w:r>
        <w:rPr>
          <w:rFonts w:ascii="Open Sans" w:eastAsia="Open Sans" w:hAnsi="Open Sans" w:cs="Open Sans"/>
          <w:b/>
          <w:color w:val="0000FF"/>
          <w:sz w:val="22"/>
          <w:szCs w:val="22"/>
          <w:u w:val="single"/>
        </w:rPr>
        <w:t>.</w:t>
      </w:r>
    </w:p>
    <w:p w14:paraId="42746D6F"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Analizando los precios que se pagaban por una vivienda en venta hace 10 años (en 2014), </w:t>
      </w:r>
      <w:r>
        <w:rPr>
          <w:rFonts w:ascii="Open Sans" w:eastAsia="Open Sans" w:hAnsi="Open Sans" w:cs="Open Sans"/>
          <w:b/>
          <w:color w:val="000000"/>
          <w:sz w:val="22"/>
          <w:szCs w:val="22"/>
        </w:rPr>
        <w:t xml:space="preserve">el precio medio del metro cuadrado de la vivienda se ha incrementado un 29% en España </w:t>
      </w:r>
      <w:r>
        <w:rPr>
          <w:rFonts w:ascii="Open Sans" w:eastAsia="Open Sans" w:hAnsi="Open Sans" w:cs="Open Sans"/>
          <w:color w:val="000000"/>
          <w:sz w:val="22"/>
          <w:szCs w:val="22"/>
        </w:rPr>
        <w:t>(de 1.726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febrero de 2014, a los 2.234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febrero de 2024). Así, los españoles de hace 10 años (en 2014) debían pagar por la compra de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una media de 138.000 euros, frente a los 178.700 euros que </w:t>
      </w:r>
      <w:r>
        <w:rPr>
          <w:rFonts w:ascii="Open Sans" w:eastAsia="Open Sans" w:hAnsi="Open Sans" w:cs="Open Sans"/>
          <w:sz w:val="22"/>
          <w:szCs w:val="22"/>
        </w:rPr>
        <w:t>cuesta de</w:t>
      </w:r>
      <w:r>
        <w:rPr>
          <w:rFonts w:ascii="Open Sans" w:eastAsia="Open Sans" w:hAnsi="Open Sans" w:cs="Open Sans"/>
          <w:color w:val="000000"/>
          <w:sz w:val="22"/>
          <w:szCs w:val="22"/>
        </w:rPr>
        <w:t xml:space="preserve"> media en España en febrero de 2024. </w:t>
      </w:r>
    </w:p>
    <w:p w14:paraId="079701D6" w14:textId="77777777" w:rsidR="00EA76BF"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28"/>
          <w:szCs w:val="28"/>
        </w:rPr>
        <w:lastRenderedPageBreak/>
        <w:t>Precio medio en España para un piso de 80 metros</w:t>
      </w:r>
    </w:p>
    <w:p w14:paraId="472E1F4C" w14:textId="77777777" w:rsidR="00EA76BF"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2232D22F" wp14:editId="12B61F42">
            <wp:extent cx="5500254" cy="2895600"/>
            <wp:effectExtent l="0" t="0" r="0" b="0"/>
            <wp:docPr id="1564144308" name="Gráfico 1564144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73750F"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Baleares, Canarias y Madrid, los más afectados por el incremento del precio</w:t>
      </w:r>
    </w:p>
    <w:p w14:paraId="1B5EA11C"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las comunidades autónomas que más han visto incrementar el acumulativo del precio de la vivienda en venta en los últimos 10 años destacan Baleares, Canarias y la Comunidad de Madrid que se sitúan a la cabeza de los incrementos. En concreto, Baleares es la comunidad que más ha visto crecer el precio respecto a 2014, en concreto un 109%, seguido de Canarias (78%) y la Comunidad de Madrid (68%).</w:t>
      </w:r>
    </w:p>
    <w:p w14:paraId="18576ECA"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tres comunidades autónomas han visto descender el acumulativo del precio de la vivienda en venta desde 2014 (10 años). Se trata de Asturias (-5%), Castilla y León (-2%) y Extremadura (-1%). </w:t>
      </w:r>
    </w:p>
    <w:p w14:paraId="6D41F706" w14:textId="77777777" w:rsidR="00EA76BF"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CCAA</w:t>
      </w:r>
    </w:p>
    <w:p w14:paraId="16AE9180" w14:textId="77777777" w:rsidR="00EA76BF" w:rsidRDefault="00EA76B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920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550"/>
        <w:gridCol w:w="2126"/>
        <w:gridCol w:w="1843"/>
        <w:gridCol w:w="1842"/>
        <w:gridCol w:w="1843"/>
      </w:tblGrid>
      <w:tr w:rsidR="00EA76BF" w14:paraId="11218D0E" w14:textId="77777777">
        <w:trPr>
          <w:trHeight w:val="738"/>
        </w:trPr>
        <w:tc>
          <w:tcPr>
            <w:tcW w:w="1550" w:type="dxa"/>
            <w:shd w:val="clear" w:color="auto" w:fill="ACB9CA"/>
            <w:vAlign w:val="center"/>
          </w:tcPr>
          <w:p w14:paraId="421099C4"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CCAA</w:t>
            </w:r>
          </w:p>
        </w:tc>
        <w:tc>
          <w:tcPr>
            <w:tcW w:w="2126" w:type="dxa"/>
            <w:shd w:val="clear" w:color="auto" w:fill="ACB9CA"/>
          </w:tcPr>
          <w:p w14:paraId="11E7CBDF" w14:textId="77777777" w:rsidR="00EA76BF"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una vivienda de 80 m</w:t>
            </w:r>
            <w:r>
              <w:rPr>
                <w:rFonts w:ascii="Open Sans" w:eastAsia="Open Sans" w:hAnsi="Open Sans" w:cs="Open Sans"/>
                <w:color w:val="0D0D0D"/>
                <w:sz w:val="22"/>
                <w:szCs w:val="22"/>
                <w:vertAlign w:val="superscript"/>
              </w:rPr>
              <w:t>2</w:t>
            </w:r>
            <w:r>
              <w:rPr>
                <w:rFonts w:ascii="Open Sans" w:eastAsia="Open Sans" w:hAnsi="Open Sans" w:cs="Open Sans"/>
                <w:color w:val="0D0D0D"/>
                <w:sz w:val="22"/>
                <w:szCs w:val="22"/>
              </w:rPr>
              <w:t xml:space="preserve"> en 2009</w:t>
            </w:r>
          </w:p>
        </w:tc>
        <w:tc>
          <w:tcPr>
            <w:tcW w:w="1843" w:type="dxa"/>
            <w:shd w:val="clear" w:color="auto" w:fill="ACB9CA"/>
            <w:vAlign w:val="center"/>
          </w:tcPr>
          <w:p w14:paraId="0484F16C" w14:textId="77777777" w:rsidR="00EA76BF"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una vivienda de 80 m</w:t>
            </w:r>
            <w:r>
              <w:rPr>
                <w:rFonts w:ascii="Open Sans" w:eastAsia="Open Sans" w:hAnsi="Open Sans" w:cs="Open Sans"/>
                <w:color w:val="0D0D0D"/>
                <w:sz w:val="22"/>
                <w:szCs w:val="22"/>
                <w:vertAlign w:val="superscript"/>
              </w:rPr>
              <w:t>2</w:t>
            </w:r>
            <w:r>
              <w:rPr>
                <w:rFonts w:ascii="Open Sans" w:eastAsia="Open Sans" w:hAnsi="Open Sans" w:cs="Open Sans"/>
                <w:color w:val="0D0D0D"/>
                <w:sz w:val="22"/>
                <w:szCs w:val="22"/>
              </w:rPr>
              <w:t xml:space="preserve"> en 2014</w:t>
            </w:r>
          </w:p>
        </w:tc>
        <w:tc>
          <w:tcPr>
            <w:tcW w:w="1842" w:type="dxa"/>
            <w:shd w:val="clear" w:color="auto" w:fill="ACB9CA"/>
          </w:tcPr>
          <w:p w14:paraId="7B2E73AE" w14:textId="77777777" w:rsidR="00EA76BF"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una vivienda de 80 m</w:t>
            </w:r>
            <w:r>
              <w:rPr>
                <w:rFonts w:ascii="Open Sans" w:eastAsia="Open Sans" w:hAnsi="Open Sans" w:cs="Open Sans"/>
                <w:color w:val="0D0D0D"/>
                <w:sz w:val="22"/>
                <w:szCs w:val="22"/>
                <w:vertAlign w:val="superscript"/>
              </w:rPr>
              <w:t>2</w:t>
            </w:r>
            <w:r>
              <w:rPr>
                <w:rFonts w:ascii="Open Sans" w:eastAsia="Open Sans" w:hAnsi="Open Sans" w:cs="Open Sans"/>
                <w:color w:val="0D0D0D"/>
                <w:sz w:val="22"/>
                <w:szCs w:val="22"/>
              </w:rPr>
              <w:t xml:space="preserve"> en 2019</w:t>
            </w:r>
          </w:p>
        </w:tc>
        <w:tc>
          <w:tcPr>
            <w:tcW w:w="1843" w:type="dxa"/>
            <w:shd w:val="clear" w:color="auto" w:fill="ACB9CA"/>
          </w:tcPr>
          <w:p w14:paraId="4018C3EF" w14:textId="77777777" w:rsidR="00EA76BF" w:rsidRDefault="00000000">
            <w:pPr>
              <w:jc w:val="center"/>
              <w:rPr>
                <w:rFonts w:ascii="Open Sans" w:eastAsia="Open Sans" w:hAnsi="Open Sans" w:cs="Open Sans"/>
                <w:color w:val="0D0D0D"/>
                <w:sz w:val="22"/>
                <w:szCs w:val="22"/>
              </w:rPr>
            </w:pPr>
            <w:r>
              <w:rPr>
                <w:rFonts w:ascii="Open Sans" w:eastAsia="Open Sans" w:hAnsi="Open Sans" w:cs="Open Sans"/>
                <w:color w:val="0D0D0D"/>
                <w:sz w:val="22"/>
                <w:szCs w:val="22"/>
              </w:rPr>
              <w:t>Precio de una vivienda de 80 m</w:t>
            </w:r>
            <w:r>
              <w:rPr>
                <w:rFonts w:ascii="Open Sans" w:eastAsia="Open Sans" w:hAnsi="Open Sans" w:cs="Open Sans"/>
                <w:color w:val="0D0D0D"/>
                <w:sz w:val="22"/>
                <w:szCs w:val="22"/>
                <w:vertAlign w:val="superscript"/>
              </w:rPr>
              <w:t>2</w:t>
            </w:r>
            <w:r>
              <w:rPr>
                <w:rFonts w:ascii="Open Sans" w:eastAsia="Open Sans" w:hAnsi="Open Sans" w:cs="Open Sans"/>
                <w:color w:val="0D0D0D"/>
                <w:sz w:val="22"/>
                <w:szCs w:val="22"/>
              </w:rPr>
              <w:t xml:space="preserve"> en 2024</w:t>
            </w:r>
          </w:p>
        </w:tc>
      </w:tr>
      <w:tr w:rsidR="00EA76BF" w14:paraId="7B16E953" w14:textId="77777777">
        <w:trPr>
          <w:trHeight w:val="215"/>
        </w:trPr>
        <w:tc>
          <w:tcPr>
            <w:tcW w:w="1550" w:type="dxa"/>
            <w:shd w:val="clear" w:color="auto" w:fill="auto"/>
            <w:vAlign w:val="bottom"/>
          </w:tcPr>
          <w:p w14:paraId="4F2D14C6"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2126" w:type="dxa"/>
            <w:vAlign w:val="bottom"/>
          </w:tcPr>
          <w:p w14:paraId="0F82BCB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178.503 € </w:t>
            </w:r>
          </w:p>
        </w:tc>
        <w:tc>
          <w:tcPr>
            <w:tcW w:w="1843" w:type="dxa"/>
            <w:shd w:val="clear" w:color="auto" w:fill="auto"/>
            <w:vAlign w:val="bottom"/>
          </w:tcPr>
          <w:p w14:paraId="258F32B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117.978 € </w:t>
            </w:r>
          </w:p>
        </w:tc>
        <w:tc>
          <w:tcPr>
            <w:tcW w:w="1842" w:type="dxa"/>
            <w:shd w:val="clear" w:color="auto" w:fill="auto"/>
            <w:vAlign w:val="bottom"/>
          </w:tcPr>
          <w:p w14:paraId="019A709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130.205 € </w:t>
            </w:r>
          </w:p>
        </w:tc>
        <w:tc>
          <w:tcPr>
            <w:tcW w:w="1843" w:type="dxa"/>
            <w:vAlign w:val="bottom"/>
          </w:tcPr>
          <w:p w14:paraId="1CDD912B"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163.460 € </w:t>
            </w:r>
          </w:p>
        </w:tc>
      </w:tr>
      <w:tr w:rsidR="00EA76BF" w14:paraId="46811664" w14:textId="77777777">
        <w:trPr>
          <w:trHeight w:val="215"/>
        </w:trPr>
        <w:tc>
          <w:tcPr>
            <w:tcW w:w="1550" w:type="dxa"/>
            <w:shd w:val="clear" w:color="auto" w:fill="auto"/>
            <w:vAlign w:val="bottom"/>
          </w:tcPr>
          <w:p w14:paraId="3901FE2A"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2126" w:type="dxa"/>
            <w:vAlign w:val="bottom"/>
          </w:tcPr>
          <w:p w14:paraId="1C806DC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212.776 € </w:t>
            </w:r>
          </w:p>
        </w:tc>
        <w:tc>
          <w:tcPr>
            <w:tcW w:w="1843" w:type="dxa"/>
            <w:shd w:val="clear" w:color="auto" w:fill="auto"/>
            <w:vAlign w:val="bottom"/>
          </w:tcPr>
          <w:p w14:paraId="0600EB1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131.137 € </w:t>
            </w:r>
          </w:p>
        </w:tc>
        <w:tc>
          <w:tcPr>
            <w:tcW w:w="1842" w:type="dxa"/>
            <w:shd w:val="clear" w:color="auto" w:fill="auto"/>
            <w:vAlign w:val="bottom"/>
          </w:tcPr>
          <w:p w14:paraId="6C47FC9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126.846 € </w:t>
            </w:r>
          </w:p>
        </w:tc>
        <w:tc>
          <w:tcPr>
            <w:tcW w:w="1843" w:type="dxa"/>
            <w:vAlign w:val="bottom"/>
          </w:tcPr>
          <w:p w14:paraId="20B12264"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137.892 € </w:t>
            </w:r>
          </w:p>
        </w:tc>
      </w:tr>
      <w:tr w:rsidR="00EA76BF" w14:paraId="6C0B572E" w14:textId="77777777">
        <w:trPr>
          <w:trHeight w:val="215"/>
        </w:trPr>
        <w:tc>
          <w:tcPr>
            <w:tcW w:w="1550" w:type="dxa"/>
            <w:shd w:val="clear" w:color="auto" w:fill="auto"/>
            <w:vAlign w:val="bottom"/>
          </w:tcPr>
          <w:p w14:paraId="6144DFC8"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2126" w:type="dxa"/>
            <w:vAlign w:val="bottom"/>
          </w:tcPr>
          <w:p w14:paraId="2A49D34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186.224 € </w:t>
            </w:r>
          </w:p>
        </w:tc>
        <w:tc>
          <w:tcPr>
            <w:tcW w:w="1843" w:type="dxa"/>
            <w:shd w:val="clear" w:color="auto" w:fill="auto"/>
            <w:vAlign w:val="bottom"/>
          </w:tcPr>
          <w:p w14:paraId="6D39FEB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140.851 € </w:t>
            </w:r>
          </w:p>
        </w:tc>
        <w:tc>
          <w:tcPr>
            <w:tcW w:w="1842" w:type="dxa"/>
            <w:shd w:val="clear" w:color="auto" w:fill="auto"/>
            <w:vAlign w:val="bottom"/>
          </w:tcPr>
          <w:p w14:paraId="64EC87D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123.927 € </w:t>
            </w:r>
          </w:p>
        </w:tc>
        <w:tc>
          <w:tcPr>
            <w:tcW w:w="1843" w:type="dxa"/>
            <w:vAlign w:val="bottom"/>
          </w:tcPr>
          <w:p w14:paraId="61253912"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133.147 € </w:t>
            </w:r>
          </w:p>
        </w:tc>
      </w:tr>
      <w:tr w:rsidR="00EA76BF" w14:paraId="12D24614" w14:textId="77777777">
        <w:trPr>
          <w:trHeight w:val="215"/>
        </w:trPr>
        <w:tc>
          <w:tcPr>
            <w:tcW w:w="1550" w:type="dxa"/>
            <w:shd w:val="clear" w:color="auto" w:fill="auto"/>
            <w:vAlign w:val="bottom"/>
          </w:tcPr>
          <w:p w14:paraId="0A1C7248"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2126" w:type="dxa"/>
            <w:vAlign w:val="bottom"/>
          </w:tcPr>
          <w:p w14:paraId="0058DD4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200.815 € </w:t>
            </w:r>
          </w:p>
        </w:tc>
        <w:tc>
          <w:tcPr>
            <w:tcW w:w="1843" w:type="dxa"/>
            <w:shd w:val="clear" w:color="auto" w:fill="auto"/>
            <w:vAlign w:val="bottom"/>
          </w:tcPr>
          <w:p w14:paraId="6C2E555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147.327 € </w:t>
            </w:r>
          </w:p>
        </w:tc>
        <w:tc>
          <w:tcPr>
            <w:tcW w:w="1842" w:type="dxa"/>
            <w:shd w:val="clear" w:color="auto" w:fill="auto"/>
            <w:vAlign w:val="bottom"/>
          </w:tcPr>
          <w:p w14:paraId="488DF02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207.450 € </w:t>
            </w:r>
          </w:p>
        </w:tc>
        <w:tc>
          <w:tcPr>
            <w:tcW w:w="1843" w:type="dxa"/>
            <w:vAlign w:val="bottom"/>
          </w:tcPr>
          <w:p w14:paraId="0843243F"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307.801 € </w:t>
            </w:r>
          </w:p>
        </w:tc>
      </w:tr>
      <w:tr w:rsidR="00EA76BF" w14:paraId="33BEEDE4" w14:textId="77777777">
        <w:trPr>
          <w:trHeight w:val="215"/>
        </w:trPr>
        <w:tc>
          <w:tcPr>
            <w:tcW w:w="1550" w:type="dxa"/>
            <w:shd w:val="clear" w:color="auto" w:fill="auto"/>
            <w:vAlign w:val="bottom"/>
          </w:tcPr>
          <w:p w14:paraId="27D721CB"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2126" w:type="dxa"/>
            <w:vAlign w:val="bottom"/>
          </w:tcPr>
          <w:p w14:paraId="033828E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158.258 € </w:t>
            </w:r>
          </w:p>
        </w:tc>
        <w:tc>
          <w:tcPr>
            <w:tcW w:w="1843" w:type="dxa"/>
            <w:shd w:val="clear" w:color="auto" w:fill="auto"/>
            <w:vAlign w:val="bottom"/>
          </w:tcPr>
          <w:p w14:paraId="1C85528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111.262 € </w:t>
            </w:r>
          </w:p>
        </w:tc>
        <w:tc>
          <w:tcPr>
            <w:tcW w:w="1842" w:type="dxa"/>
            <w:shd w:val="clear" w:color="auto" w:fill="auto"/>
            <w:vAlign w:val="bottom"/>
          </w:tcPr>
          <w:p w14:paraId="41BBB227"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136.317 € </w:t>
            </w:r>
          </w:p>
        </w:tc>
        <w:tc>
          <w:tcPr>
            <w:tcW w:w="1843" w:type="dxa"/>
            <w:vAlign w:val="bottom"/>
          </w:tcPr>
          <w:p w14:paraId="58AE59FC"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197.604 € </w:t>
            </w:r>
          </w:p>
        </w:tc>
      </w:tr>
      <w:tr w:rsidR="00EA76BF" w14:paraId="56FB1ACB" w14:textId="77777777">
        <w:trPr>
          <w:trHeight w:val="215"/>
        </w:trPr>
        <w:tc>
          <w:tcPr>
            <w:tcW w:w="1550" w:type="dxa"/>
            <w:shd w:val="clear" w:color="auto" w:fill="auto"/>
            <w:vAlign w:val="bottom"/>
          </w:tcPr>
          <w:p w14:paraId="3EB91966"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2126" w:type="dxa"/>
            <w:vAlign w:val="bottom"/>
          </w:tcPr>
          <w:p w14:paraId="5E10222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218.373 € </w:t>
            </w:r>
          </w:p>
        </w:tc>
        <w:tc>
          <w:tcPr>
            <w:tcW w:w="1843" w:type="dxa"/>
            <w:shd w:val="clear" w:color="auto" w:fill="auto"/>
            <w:vAlign w:val="bottom"/>
          </w:tcPr>
          <w:p w14:paraId="2BFB835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150.160 € </w:t>
            </w:r>
          </w:p>
        </w:tc>
        <w:tc>
          <w:tcPr>
            <w:tcW w:w="1842" w:type="dxa"/>
            <w:shd w:val="clear" w:color="auto" w:fill="auto"/>
            <w:vAlign w:val="bottom"/>
          </w:tcPr>
          <w:p w14:paraId="6AEB8C6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136.787 € </w:t>
            </w:r>
          </w:p>
        </w:tc>
        <w:tc>
          <w:tcPr>
            <w:tcW w:w="1843" w:type="dxa"/>
            <w:vAlign w:val="bottom"/>
          </w:tcPr>
          <w:p w14:paraId="69756045"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155.042 € </w:t>
            </w:r>
          </w:p>
        </w:tc>
      </w:tr>
      <w:tr w:rsidR="00EA76BF" w14:paraId="38E1FD62" w14:textId="77777777">
        <w:trPr>
          <w:trHeight w:val="215"/>
        </w:trPr>
        <w:tc>
          <w:tcPr>
            <w:tcW w:w="1550" w:type="dxa"/>
            <w:shd w:val="clear" w:color="auto" w:fill="auto"/>
            <w:vAlign w:val="bottom"/>
          </w:tcPr>
          <w:p w14:paraId="7A3FD4E1"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Castilla y León</w:t>
            </w:r>
          </w:p>
        </w:tc>
        <w:tc>
          <w:tcPr>
            <w:tcW w:w="2126" w:type="dxa"/>
            <w:vAlign w:val="bottom"/>
          </w:tcPr>
          <w:p w14:paraId="7DD6B49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166.777 € </w:t>
            </w:r>
          </w:p>
        </w:tc>
        <w:tc>
          <w:tcPr>
            <w:tcW w:w="1843" w:type="dxa"/>
            <w:shd w:val="clear" w:color="auto" w:fill="auto"/>
            <w:vAlign w:val="bottom"/>
          </w:tcPr>
          <w:p w14:paraId="30DB2AF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121.823 € </w:t>
            </w:r>
          </w:p>
        </w:tc>
        <w:tc>
          <w:tcPr>
            <w:tcW w:w="1842" w:type="dxa"/>
            <w:shd w:val="clear" w:color="auto" w:fill="auto"/>
            <w:vAlign w:val="bottom"/>
          </w:tcPr>
          <w:p w14:paraId="630C60C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118.711 € </w:t>
            </w:r>
          </w:p>
        </w:tc>
        <w:tc>
          <w:tcPr>
            <w:tcW w:w="1843" w:type="dxa"/>
            <w:vAlign w:val="bottom"/>
          </w:tcPr>
          <w:p w14:paraId="6CE8C532"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119.014 € </w:t>
            </w:r>
          </w:p>
        </w:tc>
      </w:tr>
      <w:tr w:rsidR="00EA76BF" w14:paraId="2F2B0643" w14:textId="77777777">
        <w:trPr>
          <w:trHeight w:val="215"/>
        </w:trPr>
        <w:tc>
          <w:tcPr>
            <w:tcW w:w="1550" w:type="dxa"/>
            <w:shd w:val="clear" w:color="auto" w:fill="auto"/>
            <w:vAlign w:val="bottom"/>
          </w:tcPr>
          <w:p w14:paraId="50C279E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2126" w:type="dxa"/>
            <w:vAlign w:val="bottom"/>
          </w:tcPr>
          <w:p w14:paraId="4FCC9DC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155.559 € </w:t>
            </w:r>
          </w:p>
        </w:tc>
        <w:tc>
          <w:tcPr>
            <w:tcW w:w="1843" w:type="dxa"/>
            <w:shd w:val="clear" w:color="auto" w:fill="auto"/>
            <w:vAlign w:val="bottom"/>
          </w:tcPr>
          <w:p w14:paraId="77CE31A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95.657 € </w:t>
            </w:r>
          </w:p>
        </w:tc>
        <w:tc>
          <w:tcPr>
            <w:tcW w:w="1842" w:type="dxa"/>
            <w:shd w:val="clear" w:color="auto" w:fill="auto"/>
            <w:vAlign w:val="bottom"/>
          </w:tcPr>
          <w:p w14:paraId="3C54141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89.987 € </w:t>
            </w:r>
          </w:p>
        </w:tc>
        <w:tc>
          <w:tcPr>
            <w:tcW w:w="1843" w:type="dxa"/>
            <w:vAlign w:val="bottom"/>
          </w:tcPr>
          <w:p w14:paraId="009354DB"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96.358 € </w:t>
            </w:r>
          </w:p>
        </w:tc>
      </w:tr>
      <w:tr w:rsidR="00EA76BF" w14:paraId="4B7B279D" w14:textId="77777777">
        <w:trPr>
          <w:trHeight w:val="215"/>
        </w:trPr>
        <w:tc>
          <w:tcPr>
            <w:tcW w:w="1550" w:type="dxa"/>
            <w:shd w:val="clear" w:color="auto" w:fill="auto"/>
            <w:vAlign w:val="bottom"/>
          </w:tcPr>
          <w:p w14:paraId="209C14BB"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2126" w:type="dxa"/>
            <w:vAlign w:val="bottom"/>
          </w:tcPr>
          <w:p w14:paraId="1ED4077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263.975 € </w:t>
            </w:r>
          </w:p>
        </w:tc>
        <w:tc>
          <w:tcPr>
            <w:tcW w:w="1843" w:type="dxa"/>
            <w:shd w:val="clear" w:color="auto" w:fill="auto"/>
            <w:vAlign w:val="bottom"/>
          </w:tcPr>
          <w:p w14:paraId="4730156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172.546 € </w:t>
            </w:r>
          </w:p>
        </w:tc>
        <w:tc>
          <w:tcPr>
            <w:tcW w:w="1842" w:type="dxa"/>
            <w:shd w:val="clear" w:color="auto" w:fill="auto"/>
            <w:vAlign w:val="bottom"/>
          </w:tcPr>
          <w:p w14:paraId="1AB2AB9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202.543 € </w:t>
            </w:r>
          </w:p>
        </w:tc>
        <w:tc>
          <w:tcPr>
            <w:tcW w:w="1843" w:type="dxa"/>
            <w:vAlign w:val="bottom"/>
          </w:tcPr>
          <w:p w14:paraId="536E59E2"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222.935 € </w:t>
            </w:r>
          </w:p>
        </w:tc>
      </w:tr>
      <w:tr w:rsidR="00EA76BF" w14:paraId="736E32A3" w14:textId="77777777">
        <w:trPr>
          <w:trHeight w:val="215"/>
        </w:trPr>
        <w:tc>
          <w:tcPr>
            <w:tcW w:w="1550" w:type="dxa"/>
            <w:shd w:val="clear" w:color="auto" w:fill="auto"/>
            <w:vAlign w:val="bottom"/>
          </w:tcPr>
          <w:p w14:paraId="4EAB9D2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Comunitat Valenciana</w:t>
            </w:r>
          </w:p>
        </w:tc>
        <w:tc>
          <w:tcPr>
            <w:tcW w:w="2126" w:type="dxa"/>
            <w:vAlign w:val="bottom"/>
          </w:tcPr>
          <w:p w14:paraId="28B9E42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160.347 € </w:t>
            </w:r>
          </w:p>
        </w:tc>
        <w:tc>
          <w:tcPr>
            <w:tcW w:w="1843" w:type="dxa"/>
            <w:shd w:val="clear" w:color="auto" w:fill="auto"/>
            <w:vAlign w:val="bottom"/>
          </w:tcPr>
          <w:p w14:paraId="7E734C7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109.192 € </w:t>
            </w:r>
          </w:p>
        </w:tc>
        <w:tc>
          <w:tcPr>
            <w:tcW w:w="1842" w:type="dxa"/>
            <w:shd w:val="clear" w:color="auto" w:fill="auto"/>
            <w:vAlign w:val="bottom"/>
          </w:tcPr>
          <w:p w14:paraId="284A55D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112.155 € </w:t>
            </w:r>
          </w:p>
        </w:tc>
        <w:tc>
          <w:tcPr>
            <w:tcW w:w="1843" w:type="dxa"/>
            <w:vAlign w:val="bottom"/>
          </w:tcPr>
          <w:p w14:paraId="46CAF6E3"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143.091 € </w:t>
            </w:r>
          </w:p>
        </w:tc>
      </w:tr>
      <w:tr w:rsidR="00EA76BF" w14:paraId="00484F50" w14:textId="77777777">
        <w:trPr>
          <w:trHeight w:val="215"/>
        </w:trPr>
        <w:tc>
          <w:tcPr>
            <w:tcW w:w="1550" w:type="dxa"/>
            <w:shd w:val="clear" w:color="auto" w:fill="auto"/>
            <w:vAlign w:val="bottom"/>
          </w:tcPr>
          <w:p w14:paraId="65997EB0"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2126" w:type="dxa"/>
            <w:vAlign w:val="bottom"/>
          </w:tcPr>
          <w:p w14:paraId="4C9E204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135.381 € </w:t>
            </w:r>
          </w:p>
        </w:tc>
        <w:tc>
          <w:tcPr>
            <w:tcW w:w="1843" w:type="dxa"/>
            <w:shd w:val="clear" w:color="auto" w:fill="auto"/>
            <w:vAlign w:val="bottom"/>
          </w:tcPr>
          <w:p w14:paraId="6949CED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97.425 € </w:t>
            </w:r>
          </w:p>
        </w:tc>
        <w:tc>
          <w:tcPr>
            <w:tcW w:w="1842" w:type="dxa"/>
            <w:shd w:val="clear" w:color="auto" w:fill="auto"/>
            <w:vAlign w:val="bottom"/>
          </w:tcPr>
          <w:p w14:paraId="4F90CFA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88.787 € </w:t>
            </w:r>
          </w:p>
        </w:tc>
        <w:tc>
          <w:tcPr>
            <w:tcW w:w="1843" w:type="dxa"/>
            <w:vAlign w:val="bottom"/>
          </w:tcPr>
          <w:p w14:paraId="017BAA7E"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96.015 € </w:t>
            </w:r>
          </w:p>
        </w:tc>
      </w:tr>
      <w:tr w:rsidR="00EA76BF" w14:paraId="1B5701D3" w14:textId="77777777">
        <w:trPr>
          <w:trHeight w:val="215"/>
        </w:trPr>
        <w:tc>
          <w:tcPr>
            <w:tcW w:w="1550" w:type="dxa"/>
            <w:shd w:val="clear" w:color="auto" w:fill="auto"/>
            <w:vAlign w:val="bottom"/>
          </w:tcPr>
          <w:p w14:paraId="711751A1"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2126" w:type="dxa"/>
            <w:vAlign w:val="bottom"/>
          </w:tcPr>
          <w:p w14:paraId="26A38137"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167.144 € </w:t>
            </w:r>
          </w:p>
        </w:tc>
        <w:tc>
          <w:tcPr>
            <w:tcW w:w="1843" w:type="dxa"/>
            <w:shd w:val="clear" w:color="auto" w:fill="auto"/>
            <w:vAlign w:val="bottom"/>
          </w:tcPr>
          <w:p w14:paraId="69A0E26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131.370 € </w:t>
            </w:r>
          </w:p>
        </w:tc>
        <w:tc>
          <w:tcPr>
            <w:tcW w:w="1842" w:type="dxa"/>
            <w:shd w:val="clear" w:color="auto" w:fill="auto"/>
            <w:vAlign w:val="bottom"/>
          </w:tcPr>
          <w:p w14:paraId="5C19CDC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130.520 € </w:t>
            </w:r>
          </w:p>
        </w:tc>
        <w:tc>
          <w:tcPr>
            <w:tcW w:w="1843" w:type="dxa"/>
            <w:vAlign w:val="bottom"/>
          </w:tcPr>
          <w:p w14:paraId="64F80EA7"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138.221 € </w:t>
            </w:r>
          </w:p>
        </w:tc>
      </w:tr>
      <w:tr w:rsidR="00EA76BF" w14:paraId="441B206D" w14:textId="77777777">
        <w:trPr>
          <w:trHeight w:val="215"/>
        </w:trPr>
        <w:tc>
          <w:tcPr>
            <w:tcW w:w="1550" w:type="dxa"/>
            <w:shd w:val="clear" w:color="auto" w:fill="auto"/>
            <w:vAlign w:val="bottom"/>
          </w:tcPr>
          <w:p w14:paraId="73EDB75E"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2126" w:type="dxa"/>
            <w:vAlign w:val="bottom"/>
          </w:tcPr>
          <w:p w14:paraId="01A0887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182.046 € </w:t>
            </w:r>
          </w:p>
        </w:tc>
        <w:tc>
          <w:tcPr>
            <w:tcW w:w="1843" w:type="dxa"/>
            <w:shd w:val="clear" w:color="auto" w:fill="auto"/>
            <w:vAlign w:val="bottom"/>
          </w:tcPr>
          <w:p w14:paraId="069EEAC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112.938 € </w:t>
            </w:r>
          </w:p>
        </w:tc>
        <w:tc>
          <w:tcPr>
            <w:tcW w:w="1842" w:type="dxa"/>
            <w:shd w:val="clear" w:color="auto" w:fill="auto"/>
            <w:vAlign w:val="bottom"/>
          </w:tcPr>
          <w:p w14:paraId="19A0E58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112.493 € </w:t>
            </w:r>
          </w:p>
        </w:tc>
        <w:tc>
          <w:tcPr>
            <w:tcW w:w="1843" w:type="dxa"/>
            <w:vAlign w:val="bottom"/>
          </w:tcPr>
          <w:p w14:paraId="4C9325BA"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133.862 € </w:t>
            </w:r>
          </w:p>
        </w:tc>
      </w:tr>
      <w:tr w:rsidR="00EA76BF" w14:paraId="5B0908CB" w14:textId="77777777">
        <w:trPr>
          <w:trHeight w:val="215"/>
        </w:trPr>
        <w:tc>
          <w:tcPr>
            <w:tcW w:w="1550" w:type="dxa"/>
            <w:shd w:val="clear" w:color="auto" w:fill="auto"/>
            <w:vAlign w:val="bottom"/>
          </w:tcPr>
          <w:p w14:paraId="5FB7C911"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2126" w:type="dxa"/>
            <w:vAlign w:val="bottom"/>
          </w:tcPr>
          <w:p w14:paraId="28A9785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268.514 € </w:t>
            </w:r>
          </w:p>
        </w:tc>
        <w:tc>
          <w:tcPr>
            <w:tcW w:w="1843" w:type="dxa"/>
            <w:shd w:val="clear" w:color="auto" w:fill="auto"/>
            <w:vAlign w:val="bottom"/>
          </w:tcPr>
          <w:p w14:paraId="087AF31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187.172 € </w:t>
            </w:r>
          </w:p>
        </w:tc>
        <w:tc>
          <w:tcPr>
            <w:tcW w:w="1842" w:type="dxa"/>
            <w:shd w:val="clear" w:color="auto" w:fill="auto"/>
            <w:vAlign w:val="bottom"/>
          </w:tcPr>
          <w:p w14:paraId="6FCD278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235.263 € </w:t>
            </w:r>
          </w:p>
        </w:tc>
        <w:tc>
          <w:tcPr>
            <w:tcW w:w="1843" w:type="dxa"/>
            <w:vAlign w:val="bottom"/>
          </w:tcPr>
          <w:p w14:paraId="2C7336C6"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314.250 € </w:t>
            </w:r>
          </w:p>
        </w:tc>
      </w:tr>
      <w:tr w:rsidR="00EA76BF" w14:paraId="78F25EE0" w14:textId="77777777">
        <w:trPr>
          <w:trHeight w:val="215"/>
        </w:trPr>
        <w:tc>
          <w:tcPr>
            <w:tcW w:w="1550" w:type="dxa"/>
            <w:shd w:val="clear" w:color="auto" w:fill="auto"/>
            <w:vAlign w:val="bottom"/>
          </w:tcPr>
          <w:p w14:paraId="04A33CCD"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2126" w:type="dxa"/>
            <w:vAlign w:val="bottom"/>
          </w:tcPr>
          <w:p w14:paraId="05602AE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225.180 € </w:t>
            </w:r>
          </w:p>
        </w:tc>
        <w:tc>
          <w:tcPr>
            <w:tcW w:w="1843" w:type="dxa"/>
            <w:shd w:val="clear" w:color="auto" w:fill="auto"/>
            <w:vAlign w:val="bottom"/>
          </w:tcPr>
          <w:p w14:paraId="555B0D7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143.083 € </w:t>
            </w:r>
          </w:p>
        </w:tc>
        <w:tc>
          <w:tcPr>
            <w:tcW w:w="1842" w:type="dxa"/>
            <w:shd w:val="clear" w:color="auto" w:fill="auto"/>
            <w:vAlign w:val="bottom"/>
          </w:tcPr>
          <w:p w14:paraId="211FE8B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130.121 € </w:t>
            </w:r>
          </w:p>
        </w:tc>
        <w:tc>
          <w:tcPr>
            <w:tcW w:w="1843" w:type="dxa"/>
            <w:vAlign w:val="bottom"/>
          </w:tcPr>
          <w:p w14:paraId="602EA810"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161.262 € </w:t>
            </w:r>
          </w:p>
        </w:tc>
      </w:tr>
      <w:tr w:rsidR="00EA76BF" w14:paraId="0B243B39" w14:textId="77777777">
        <w:trPr>
          <w:trHeight w:val="215"/>
        </w:trPr>
        <w:tc>
          <w:tcPr>
            <w:tcW w:w="1550" w:type="dxa"/>
            <w:shd w:val="clear" w:color="auto" w:fill="auto"/>
            <w:vAlign w:val="bottom"/>
          </w:tcPr>
          <w:p w14:paraId="052EBB41"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2126" w:type="dxa"/>
            <w:vAlign w:val="bottom"/>
          </w:tcPr>
          <w:p w14:paraId="6CD2541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316.211 € </w:t>
            </w:r>
          </w:p>
        </w:tc>
        <w:tc>
          <w:tcPr>
            <w:tcW w:w="1843" w:type="dxa"/>
            <w:shd w:val="clear" w:color="auto" w:fill="auto"/>
            <w:vAlign w:val="bottom"/>
          </w:tcPr>
          <w:p w14:paraId="5BF138B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237.702 € </w:t>
            </w:r>
          </w:p>
        </w:tc>
        <w:tc>
          <w:tcPr>
            <w:tcW w:w="1842" w:type="dxa"/>
            <w:shd w:val="clear" w:color="auto" w:fill="auto"/>
            <w:vAlign w:val="bottom"/>
          </w:tcPr>
          <w:p w14:paraId="5019CB9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224.167 € </w:t>
            </w:r>
          </w:p>
        </w:tc>
        <w:tc>
          <w:tcPr>
            <w:tcW w:w="1843" w:type="dxa"/>
            <w:vAlign w:val="bottom"/>
          </w:tcPr>
          <w:p w14:paraId="08A3B35A" w14:textId="77777777" w:rsidR="00EA76BF" w:rsidRDefault="0000000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 xml:space="preserve">     247.417 € </w:t>
            </w:r>
          </w:p>
        </w:tc>
      </w:tr>
      <w:tr w:rsidR="00EA76BF" w14:paraId="5F6CB3E2" w14:textId="77777777">
        <w:trPr>
          <w:trHeight w:val="215"/>
        </w:trPr>
        <w:tc>
          <w:tcPr>
            <w:tcW w:w="1550" w:type="dxa"/>
            <w:shd w:val="clear" w:color="auto" w:fill="auto"/>
            <w:vAlign w:val="bottom"/>
          </w:tcPr>
          <w:p w14:paraId="08009DAD"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2126" w:type="dxa"/>
            <w:vAlign w:val="bottom"/>
          </w:tcPr>
          <w:p w14:paraId="1AADB085"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152.028 € </w:t>
            </w:r>
          </w:p>
        </w:tc>
        <w:tc>
          <w:tcPr>
            <w:tcW w:w="1843" w:type="dxa"/>
            <w:shd w:val="clear" w:color="auto" w:fill="auto"/>
            <w:vAlign w:val="bottom"/>
          </w:tcPr>
          <w:p w14:paraId="14599A6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100.891 € </w:t>
            </w:r>
          </w:p>
        </w:tc>
        <w:tc>
          <w:tcPr>
            <w:tcW w:w="1842" w:type="dxa"/>
            <w:shd w:val="clear" w:color="auto" w:fill="auto"/>
            <w:vAlign w:val="bottom"/>
          </w:tcPr>
          <w:p w14:paraId="4C857B8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92.639 € </w:t>
            </w:r>
          </w:p>
        </w:tc>
        <w:tc>
          <w:tcPr>
            <w:tcW w:w="1843" w:type="dxa"/>
            <w:vAlign w:val="bottom"/>
          </w:tcPr>
          <w:p w14:paraId="37E175B0" w14:textId="77777777" w:rsidR="00EA76BF" w:rsidRDefault="00000000">
            <w:pPr>
              <w:jc w:val="center"/>
              <w:rPr>
                <w:rFonts w:ascii="Open Sans" w:eastAsia="Open Sans" w:hAnsi="Open Sans" w:cs="Open Sans"/>
                <w:sz w:val="22"/>
                <w:szCs w:val="22"/>
              </w:rPr>
            </w:pPr>
            <w:r>
              <w:rPr>
                <w:rFonts w:ascii="Open Sans" w:eastAsia="Open Sans" w:hAnsi="Open Sans" w:cs="Open Sans"/>
                <w:color w:val="000000"/>
                <w:sz w:val="22"/>
                <w:szCs w:val="22"/>
              </w:rPr>
              <w:t xml:space="preserve">     107.717 € </w:t>
            </w:r>
          </w:p>
        </w:tc>
      </w:tr>
      <w:tr w:rsidR="00EA76BF" w14:paraId="3720E778" w14:textId="77777777">
        <w:trPr>
          <w:trHeight w:val="215"/>
        </w:trPr>
        <w:tc>
          <w:tcPr>
            <w:tcW w:w="1550" w:type="dxa"/>
            <w:shd w:val="clear" w:color="auto" w:fill="ACB9CA"/>
            <w:vAlign w:val="bottom"/>
          </w:tcPr>
          <w:p w14:paraId="683DC1DC"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España</w:t>
            </w:r>
          </w:p>
        </w:tc>
        <w:tc>
          <w:tcPr>
            <w:tcW w:w="2126" w:type="dxa"/>
            <w:shd w:val="clear" w:color="auto" w:fill="ACB9CA"/>
            <w:vAlign w:val="bottom"/>
          </w:tcPr>
          <w:p w14:paraId="2443102E" w14:textId="77777777" w:rsidR="00EA76BF"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 xml:space="preserve">     201.954 € </w:t>
            </w:r>
          </w:p>
        </w:tc>
        <w:tc>
          <w:tcPr>
            <w:tcW w:w="1843" w:type="dxa"/>
            <w:shd w:val="clear" w:color="auto" w:fill="ACB9CA"/>
            <w:vAlign w:val="bottom"/>
          </w:tcPr>
          <w:p w14:paraId="3BD086D5" w14:textId="77777777" w:rsidR="00EA76BF"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 xml:space="preserve">     138.095 € </w:t>
            </w:r>
          </w:p>
        </w:tc>
        <w:tc>
          <w:tcPr>
            <w:tcW w:w="1842" w:type="dxa"/>
            <w:shd w:val="clear" w:color="auto" w:fill="ACB9CA"/>
            <w:vAlign w:val="bottom"/>
          </w:tcPr>
          <w:p w14:paraId="49D17637" w14:textId="77777777" w:rsidR="00EA76BF"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 xml:space="preserve">     150.925 € </w:t>
            </w:r>
          </w:p>
        </w:tc>
        <w:tc>
          <w:tcPr>
            <w:tcW w:w="1843" w:type="dxa"/>
            <w:shd w:val="clear" w:color="auto" w:fill="ACB9CA"/>
            <w:vAlign w:val="bottom"/>
          </w:tcPr>
          <w:p w14:paraId="03B0F7D9" w14:textId="77777777" w:rsidR="00EA76BF" w:rsidRDefault="00000000">
            <w:pPr>
              <w:jc w:val="center"/>
              <w:rPr>
                <w:rFonts w:ascii="Open Sans" w:eastAsia="Open Sans" w:hAnsi="Open Sans" w:cs="Open Sans"/>
                <w:b/>
                <w:color w:val="FF0000"/>
                <w:sz w:val="22"/>
                <w:szCs w:val="22"/>
              </w:rPr>
            </w:pPr>
            <w:r>
              <w:rPr>
                <w:rFonts w:ascii="Open Sans" w:eastAsia="Open Sans" w:hAnsi="Open Sans" w:cs="Open Sans"/>
                <w:color w:val="000000"/>
                <w:sz w:val="22"/>
                <w:szCs w:val="22"/>
              </w:rPr>
              <w:t xml:space="preserve">     178.735 € </w:t>
            </w:r>
          </w:p>
        </w:tc>
      </w:tr>
    </w:tbl>
    <w:p w14:paraId="045CC3CF" w14:textId="77777777" w:rsidR="00EA76BF" w:rsidRDefault="00EA76BF">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75D08E2C"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Por capitales de provincia</w:t>
      </w:r>
    </w:p>
    <w:p w14:paraId="5CEB341B"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se analiza el incremento del precio de la vivienda de los últimos 10 años por capitales de provincia llama la atención que en dos de ellas se supera el 100% de incremento. Se trata de Palma de Mallorca (123%) y Málaga (107%) que presentan los incrementos más abultados del precio de la vivienda de segunda mano. En tercera posición encontramos a la ciudad de Madrid que incrementa un 82% el precio respecto a 2014, seguida de la ciudad de Valencia (66%) y Las Palmas de Gran Canaria (55%).</w:t>
      </w:r>
    </w:p>
    <w:p w14:paraId="463ACF0B"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siguiendo el ranking de las capitales de provincia que más han subido en los últimos diez años, en sexta posición se encuentra Alicante (51%), San Sebastián (46%), Girona (46%), Santa Cruz de Tenerife (45%) y Barcelona (43%).</w:t>
      </w:r>
    </w:p>
    <w:p w14:paraId="5925ADAA" w14:textId="77777777" w:rsidR="00EA76BF"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otro extremo, hay ocho capitales de provincia que en la comparativa respecto al precio de hace 10 años presentan caídas en el precio de la vivienda. La caída más acusada respecto a 2014 la presenta Zamora, que cae un -17%, seguida de Palencia (-11%), Jaén (-11%), Ciudad Real (-6%), Cáceres (-3%), Lugo (-2%), Ourense (-2%) y Salamanca (-1%). </w:t>
      </w:r>
    </w:p>
    <w:p w14:paraId="15843657" w14:textId="77777777" w:rsidR="00EA76BF" w:rsidRDefault="00EA76B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C256A72" w14:textId="77777777" w:rsidR="00EA76BF" w:rsidRDefault="00EA76B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2714BCB" w14:textId="77777777" w:rsidR="00EA76BF" w:rsidRDefault="00EA76B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F755CF3" w14:textId="77777777" w:rsidR="00EA76BF"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Capitales con porcentaje (%) acumulativo</w:t>
      </w:r>
      <w:r>
        <w:rPr>
          <w:rFonts w:ascii="National" w:eastAsia="National" w:hAnsi="National" w:cs="National"/>
          <w:b/>
          <w:color w:val="FF0000"/>
          <w:sz w:val="28"/>
          <w:szCs w:val="28"/>
        </w:rPr>
        <w:t xml:space="preserve"> </w:t>
      </w:r>
    </w:p>
    <w:p w14:paraId="747BA493" w14:textId="77777777" w:rsidR="00EA76BF" w:rsidRDefault="00EA76B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1"/>
        <w:tblW w:w="903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117"/>
        <w:gridCol w:w="1701"/>
        <w:gridCol w:w="1701"/>
        <w:gridCol w:w="1701"/>
        <w:gridCol w:w="1814"/>
      </w:tblGrid>
      <w:tr w:rsidR="00EA76BF" w14:paraId="4900DBB5" w14:textId="77777777">
        <w:trPr>
          <w:trHeight w:val="772"/>
        </w:trPr>
        <w:tc>
          <w:tcPr>
            <w:tcW w:w="2117" w:type="dxa"/>
            <w:shd w:val="clear" w:color="auto" w:fill="ACB9CA"/>
            <w:vAlign w:val="center"/>
          </w:tcPr>
          <w:p w14:paraId="4665947D" w14:textId="77777777" w:rsidR="00EA76BF" w:rsidRDefault="00000000">
            <w:pPr>
              <w:rPr>
                <w:rFonts w:ascii="Open Sans" w:eastAsia="Open Sans" w:hAnsi="Open Sans" w:cs="Open Sans"/>
                <w:color w:val="0D0D0D"/>
                <w:sz w:val="20"/>
                <w:szCs w:val="20"/>
              </w:rPr>
            </w:pPr>
            <w:r>
              <w:rPr>
                <w:rFonts w:ascii="Open Sans" w:eastAsia="Open Sans" w:hAnsi="Open Sans" w:cs="Open Sans"/>
                <w:color w:val="0D0D0D"/>
                <w:sz w:val="20"/>
                <w:szCs w:val="20"/>
              </w:rPr>
              <w:t>Ciudad</w:t>
            </w:r>
          </w:p>
        </w:tc>
        <w:tc>
          <w:tcPr>
            <w:tcW w:w="1701" w:type="dxa"/>
            <w:shd w:val="clear" w:color="auto" w:fill="ACB9CA"/>
          </w:tcPr>
          <w:p w14:paraId="41FE4744" w14:textId="387FCC8E" w:rsidR="00EA76BF" w:rsidRDefault="0000000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 xml:space="preserve">(%) Acumulativo      15 años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2009 vs 2024)</w:t>
            </w:r>
          </w:p>
        </w:tc>
        <w:tc>
          <w:tcPr>
            <w:tcW w:w="1701" w:type="dxa"/>
            <w:shd w:val="clear" w:color="auto" w:fill="ACB9CA"/>
            <w:vAlign w:val="center"/>
          </w:tcPr>
          <w:p w14:paraId="4B5C15A5" w14:textId="77777777" w:rsidR="007D575E"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10 años             </w:t>
            </w:r>
          </w:p>
          <w:p w14:paraId="5300DCF6" w14:textId="01EF1097" w:rsidR="00EA76BF" w:rsidRDefault="0000000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(2014 vs 2024)</w:t>
            </w:r>
          </w:p>
        </w:tc>
        <w:tc>
          <w:tcPr>
            <w:tcW w:w="1701" w:type="dxa"/>
            <w:shd w:val="clear" w:color="auto" w:fill="ACB9CA"/>
            <w:vAlign w:val="center"/>
          </w:tcPr>
          <w:p w14:paraId="1956F849" w14:textId="77777777" w:rsidR="007D575E"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5 años          </w:t>
            </w:r>
          </w:p>
          <w:p w14:paraId="63299A5D" w14:textId="11984335" w:rsidR="00EA76BF" w:rsidRDefault="0000000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(2019 vs 2024)</w:t>
            </w:r>
          </w:p>
        </w:tc>
        <w:tc>
          <w:tcPr>
            <w:tcW w:w="1814" w:type="dxa"/>
            <w:shd w:val="clear" w:color="auto" w:fill="ACB9CA"/>
            <w:vAlign w:val="center"/>
          </w:tcPr>
          <w:p w14:paraId="4E13C930"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 año         </w:t>
            </w:r>
          </w:p>
          <w:p w14:paraId="681A0363" w14:textId="77777777" w:rsidR="00EA76BF" w:rsidRDefault="0000000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 xml:space="preserve">   (2023 vs 2024)</w:t>
            </w:r>
          </w:p>
        </w:tc>
      </w:tr>
      <w:tr w:rsidR="00EA76BF" w14:paraId="0316FD34" w14:textId="77777777">
        <w:trPr>
          <w:trHeight w:val="226"/>
        </w:trPr>
        <w:tc>
          <w:tcPr>
            <w:tcW w:w="2117" w:type="dxa"/>
            <w:shd w:val="clear" w:color="auto" w:fill="auto"/>
            <w:vAlign w:val="bottom"/>
          </w:tcPr>
          <w:p w14:paraId="40F99A6D"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701" w:type="dxa"/>
            <w:vAlign w:val="bottom"/>
          </w:tcPr>
          <w:p w14:paraId="42A6221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63,0%</w:t>
            </w:r>
          </w:p>
        </w:tc>
        <w:tc>
          <w:tcPr>
            <w:tcW w:w="1701" w:type="dxa"/>
            <w:vAlign w:val="bottom"/>
          </w:tcPr>
          <w:p w14:paraId="7A77763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w:t>
            </w:r>
          </w:p>
        </w:tc>
        <w:tc>
          <w:tcPr>
            <w:tcW w:w="1701" w:type="dxa"/>
            <w:shd w:val="clear" w:color="auto" w:fill="auto"/>
            <w:vAlign w:val="bottom"/>
          </w:tcPr>
          <w:p w14:paraId="53FE36D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45,5%</w:t>
            </w:r>
          </w:p>
        </w:tc>
        <w:tc>
          <w:tcPr>
            <w:tcW w:w="1814" w:type="dxa"/>
            <w:vAlign w:val="bottom"/>
          </w:tcPr>
          <w:p w14:paraId="5A8A34C3"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8,3%</w:t>
            </w:r>
          </w:p>
        </w:tc>
      </w:tr>
      <w:tr w:rsidR="00EA76BF" w14:paraId="3A78DACC" w14:textId="77777777">
        <w:trPr>
          <w:trHeight w:val="226"/>
        </w:trPr>
        <w:tc>
          <w:tcPr>
            <w:tcW w:w="2117" w:type="dxa"/>
            <w:shd w:val="clear" w:color="auto" w:fill="auto"/>
            <w:vAlign w:val="bottom"/>
          </w:tcPr>
          <w:p w14:paraId="23FC57A2"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701" w:type="dxa"/>
            <w:vAlign w:val="bottom"/>
          </w:tcPr>
          <w:p w14:paraId="22BAADF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43,9%</w:t>
            </w:r>
          </w:p>
        </w:tc>
        <w:tc>
          <w:tcPr>
            <w:tcW w:w="1701" w:type="dxa"/>
            <w:vAlign w:val="bottom"/>
          </w:tcPr>
          <w:p w14:paraId="6EB155A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107%</w:t>
            </w:r>
          </w:p>
        </w:tc>
        <w:tc>
          <w:tcPr>
            <w:tcW w:w="1701" w:type="dxa"/>
            <w:shd w:val="clear" w:color="auto" w:fill="auto"/>
            <w:vAlign w:val="bottom"/>
          </w:tcPr>
          <w:p w14:paraId="242F5E27"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57,4%</w:t>
            </w:r>
          </w:p>
        </w:tc>
        <w:tc>
          <w:tcPr>
            <w:tcW w:w="1814" w:type="dxa"/>
            <w:vAlign w:val="bottom"/>
          </w:tcPr>
          <w:p w14:paraId="483BD576"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20,0%</w:t>
            </w:r>
          </w:p>
        </w:tc>
      </w:tr>
      <w:tr w:rsidR="00EA76BF" w14:paraId="196C8C30" w14:textId="77777777">
        <w:trPr>
          <w:trHeight w:val="226"/>
        </w:trPr>
        <w:tc>
          <w:tcPr>
            <w:tcW w:w="2117" w:type="dxa"/>
            <w:shd w:val="clear" w:color="auto" w:fill="auto"/>
            <w:vAlign w:val="bottom"/>
          </w:tcPr>
          <w:p w14:paraId="496E9029"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701" w:type="dxa"/>
            <w:vAlign w:val="bottom"/>
          </w:tcPr>
          <w:p w14:paraId="319D5CB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27,0%</w:t>
            </w:r>
          </w:p>
        </w:tc>
        <w:tc>
          <w:tcPr>
            <w:tcW w:w="1701" w:type="dxa"/>
            <w:vAlign w:val="bottom"/>
          </w:tcPr>
          <w:p w14:paraId="7CFBDBC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1701" w:type="dxa"/>
            <w:shd w:val="clear" w:color="auto" w:fill="auto"/>
            <w:vAlign w:val="bottom"/>
          </w:tcPr>
          <w:p w14:paraId="652B840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32,6%</w:t>
            </w:r>
          </w:p>
        </w:tc>
        <w:tc>
          <w:tcPr>
            <w:tcW w:w="1814" w:type="dxa"/>
            <w:vAlign w:val="bottom"/>
          </w:tcPr>
          <w:p w14:paraId="51753B30"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16,7%</w:t>
            </w:r>
          </w:p>
        </w:tc>
      </w:tr>
      <w:tr w:rsidR="00EA76BF" w14:paraId="3C4D77FC" w14:textId="77777777">
        <w:trPr>
          <w:trHeight w:val="226"/>
        </w:trPr>
        <w:tc>
          <w:tcPr>
            <w:tcW w:w="2117" w:type="dxa"/>
            <w:shd w:val="clear" w:color="auto" w:fill="auto"/>
            <w:vAlign w:val="bottom"/>
          </w:tcPr>
          <w:p w14:paraId="744AC88E"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701" w:type="dxa"/>
            <w:vAlign w:val="bottom"/>
          </w:tcPr>
          <w:p w14:paraId="73FCD57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8,5%</w:t>
            </w:r>
          </w:p>
        </w:tc>
        <w:tc>
          <w:tcPr>
            <w:tcW w:w="1701" w:type="dxa"/>
            <w:vAlign w:val="bottom"/>
          </w:tcPr>
          <w:p w14:paraId="4596F77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701" w:type="dxa"/>
            <w:shd w:val="clear" w:color="auto" w:fill="auto"/>
            <w:vAlign w:val="bottom"/>
          </w:tcPr>
          <w:p w14:paraId="4B9FC4E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43,3%</w:t>
            </w:r>
          </w:p>
        </w:tc>
        <w:tc>
          <w:tcPr>
            <w:tcW w:w="1814" w:type="dxa"/>
            <w:vAlign w:val="bottom"/>
          </w:tcPr>
          <w:p w14:paraId="4B52A33F"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15,3%</w:t>
            </w:r>
          </w:p>
        </w:tc>
      </w:tr>
      <w:tr w:rsidR="00EA76BF" w14:paraId="64553BC3" w14:textId="77777777">
        <w:trPr>
          <w:trHeight w:val="226"/>
        </w:trPr>
        <w:tc>
          <w:tcPr>
            <w:tcW w:w="2117" w:type="dxa"/>
            <w:shd w:val="clear" w:color="auto" w:fill="auto"/>
            <w:vAlign w:val="bottom"/>
          </w:tcPr>
          <w:p w14:paraId="0300DF0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701" w:type="dxa"/>
            <w:vAlign w:val="bottom"/>
          </w:tcPr>
          <w:p w14:paraId="5379F42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w:t>
            </w:r>
          </w:p>
        </w:tc>
        <w:tc>
          <w:tcPr>
            <w:tcW w:w="1701" w:type="dxa"/>
            <w:vAlign w:val="bottom"/>
          </w:tcPr>
          <w:p w14:paraId="089759E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01" w:type="dxa"/>
            <w:shd w:val="clear" w:color="auto" w:fill="auto"/>
            <w:vAlign w:val="bottom"/>
          </w:tcPr>
          <w:p w14:paraId="315FC69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23,3%</w:t>
            </w:r>
          </w:p>
        </w:tc>
        <w:tc>
          <w:tcPr>
            <w:tcW w:w="1814" w:type="dxa"/>
            <w:vAlign w:val="bottom"/>
          </w:tcPr>
          <w:p w14:paraId="425224A9"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8,4%</w:t>
            </w:r>
          </w:p>
        </w:tc>
      </w:tr>
      <w:tr w:rsidR="00EA76BF" w14:paraId="46AEC5B8" w14:textId="77777777">
        <w:trPr>
          <w:trHeight w:val="226"/>
        </w:trPr>
        <w:tc>
          <w:tcPr>
            <w:tcW w:w="2117" w:type="dxa"/>
            <w:shd w:val="clear" w:color="auto" w:fill="auto"/>
            <w:vAlign w:val="bottom"/>
          </w:tcPr>
          <w:p w14:paraId="34E295E9"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701" w:type="dxa"/>
            <w:vAlign w:val="bottom"/>
          </w:tcPr>
          <w:p w14:paraId="739DDEF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w:t>
            </w:r>
          </w:p>
        </w:tc>
        <w:tc>
          <w:tcPr>
            <w:tcW w:w="1701" w:type="dxa"/>
            <w:vAlign w:val="bottom"/>
          </w:tcPr>
          <w:p w14:paraId="0A7F82F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701" w:type="dxa"/>
            <w:shd w:val="clear" w:color="auto" w:fill="auto"/>
            <w:vAlign w:val="bottom"/>
          </w:tcPr>
          <w:p w14:paraId="58D04AD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46,2%</w:t>
            </w:r>
          </w:p>
        </w:tc>
        <w:tc>
          <w:tcPr>
            <w:tcW w:w="1814" w:type="dxa"/>
            <w:vAlign w:val="bottom"/>
          </w:tcPr>
          <w:p w14:paraId="49D33540"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14,5%</w:t>
            </w:r>
          </w:p>
        </w:tc>
      </w:tr>
      <w:tr w:rsidR="00EA76BF" w14:paraId="3154789D" w14:textId="77777777">
        <w:trPr>
          <w:trHeight w:val="226"/>
        </w:trPr>
        <w:tc>
          <w:tcPr>
            <w:tcW w:w="2117" w:type="dxa"/>
            <w:shd w:val="clear" w:color="auto" w:fill="auto"/>
            <w:vAlign w:val="bottom"/>
          </w:tcPr>
          <w:p w14:paraId="39E40C25"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7CB2BB4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12,4%</w:t>
            </w:r>
          </w:p>
        </w:tc>
        <w:tc>
          <w:tcPr>
            <w:tcW w:w="1701" w:type="dxa"/>
            <w:vAlign w:val="bottom"/>
          </w:tcPr>
          <w:p w14:paraId="6FC7C32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01" w:type="dxa"/>
            <w:shd w:val="clear" w:color="auto" w:fill="auto"/>
            <w:vAlign w:val="bottom"/>
          </w:tcPr>
          <w:p w14:paraId="5D975F4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24,2%</w:t>
            </w:r>
          </w:p>
        </w:tc>
        <w:tc>
          <w:tcPr>
            <w:tcW w:w="1814" w:type="dxa"/>
            <w:vAlign w:val="bottom"/>
          </w:tcPr>
          <w:p w14:paraId="132FF19B"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8,1%</w:t>
            </w:r>
          </w:p>
        </w:tc>
      </w:tr>
      <w:tr w:rsidR="00EA76BF" w14:paraId="142FFB4A" w14:textId="77777777">
        <w:trPr>
          <w:trHeight w:val="226"/>
        </w:trPr>
        <w:tc>
          <w:tcPr>
            <w:tcW w:w="2117" w:type="dxa"/>
            <w:shd w:val="clear" w:color="auto" w:fill="auto"/>
            <w:vAlign w:val="bottom"/>
          </w:tcPr>
          <w:p w14:paraId="10A3E672"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701" w:type="dxa"/>
            <w:vAlign w:val="bottom"/>
          </w:tcPr>
          <w:p w14:paraId="7ACC5AD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-10,9%</w:t>
            </w:r>
          </w:p>
        </w:tc>
        <w:tc>
          <w:tcPr>
            <w:tcW w:w="1701" w:type="dxa"/>
            <w:vAlign w:val="bottom"/>
          </w:tcPr>
          <w:p w14:paraId="0CC693A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01" w:type="dxa"/>
            <w:shd w:val="clear" w:color="auto" w:fill="auto"/>
            <w:vAlign w:val="bottom"/>
          </w:tcPr>
          <w:p w14:paraId="391B062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23,4%</w:t>
            </w:r>
          </w:p>
        </w:tc>
        <w:tc>
          <w:tcPr>
            <w:tcW w:w="1814" w:type="dxa"/>
            <w:vAlign w:val="bottom"/>
          </w:tcPr>
          <w:p w14:paraId="5CC888AB"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6,2%</w:t>
            </w:r>
          </w:p>
        </w:tc>
      </w:tr>
      <w:tr w:rsidR="00EA76BF" w14:paraId="7A4BAD79" w14:textId="77777777">
        <w:trPr>
          <w:trHeight w:val="226"/>
        </w:trPr>
        <w:tc>
          <w:tcPr>
            <w:tcW w:w="2117" w:type="dxa"/>
            <w:shd w:val="clear" w:color="auto" w:fill="auto"/>
            <w:vAlign w:val="bottom"/>
          </w:tcPr>
          <w:p w14:paraId="0FC80055"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701" w:type="dxa"/>
            <w:vAlign w:val="bottom"/>
          </w:tcPr>
          <w:p w14:paraId="06C1641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w:t>
            </w:r>
          </w:p>
        </w:tc>
        <w:tc>
          <w:tcPr>
            <w:tcW w:w="1701" w:type="dxa"/>
            <w:vAlign w:val="bottom"/>
          </w:tcPr>
          <w:p w14:paraId="4428B9F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01" w:type="dxa"/>
            <w:shd w:val="clear" w:color="auto" w:fill="auto"/>
            <w:vAlign w:val="bottom"/>
          </w:tcPr>
          <w:p w14:paraId="69721D4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50,8%</w:t>
            </w:r>
          </w:p>
        </w:tc>
        <w:tc>
          <w:tcPr>
            <w:tcW w:w="1814" w:type="dxa"/>
            <w:vAlign w:val="bottom"/>
          </w:tcPr>
          <w:p w14:paraId="59D9241F"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21,6%</w:t>
            </w:r>
          </w:p>
        </w:tc>
      </w:tr>
      <w:tr w:rsidR="00EA76BF" w14:paraId="73056AE4" w14:textId="77777777">
        <w:trPr>
          <w:trHeight w:val="226"/>
        </w:trPr>
        <w:tc>
          <w:tcPr>
            <w:tcW w:w="2117" w:type="dxa"/>
            <w:shd w:val="clear" w:color="auto" w:fill="auto"/>
            <w:vAlign w:val="bottom"/>
          </w:tcPr>
          <w:p w14:paraId="444AF098"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09FCD7F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701" w:type="dxa"/>
            <w:vAlign w:val="bottom"/>
          </w:tcPr>
          <w:p w14:paraId="43F5723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shd w:val="clear" w:color="auto" w:fill="auto"/>
            <w:vAlign w:val="bottom"/>
          </w:tcPr>
          <w:p w14:paraId="3A2BD29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814" w:type="dxa"/>
            <w:vAlign w:val="bottom"/>
          </w:tcPr>
          <w:p w14:paraId="3E3ADB8C"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5,2%</w:t>
            </w:r>
          </w:p>
        </w:tc>
      </w:tr>
      <w:tr w:rsidR="00EA76BF" w14:paraId="6D63F24A" w14:textId="77777777">
        <w:trPr>
          <w:trHeight w:val="226"/>
        </w:trPr>
        <w:tc>
          <w:tcPr>
            <w:tcW w:w="2117" w:type="dxa"/>
            <w:shd w:val="clear" w:color="auto" w:fill="auto"/>
            <w:vAlign w:val="bottom"/>
          </w:tcPr>
          <w:p w14:paraId="31E28F49"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701" w:type="dxa"/>
            <w:vAlign w:val="bottom"/>
          </w:tcPr>
          <w:p w14:paraId="5B9FB11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-9,9%</w:t>
            </w:r>
          </w:p>
        </w:tc>
        <w:tc>
          <w:tcPr>
            <w:tcW w:w="1701" w:type="dxa"/>
            <w:vAlign w:val="bottom"/>
          </w:tcPr>
          <w:p w14:paraId="1858D94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shd w:val="clear" w:color="auto" w:fill="auto"/>
            <w:vAlign w:val="bottom"/>
          </w:tcPr>
          <w:p w14:paraId="2395500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28,7%</w:t>
            </w:r>
          </w:p>
        </w:tc>
        <w:tc>
          <w:tcPr>
            <w:tcW w:w="1814" w:type="dxa"/>
            <w:vAlign w:val="bottom"/>
          </w:tcPr>
          <w:p w14:paraId="322C6D25"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3,1%</w:t>
            </w:r>
          </w:p>
        </w:tc>
      </w:tr>
      <w:tr w:rsidR="00EA76BF" w14:paraId="34E5D32C" w14:textId="77777777">
        <w:trPr>
          <w:trHeight w:val="226"/>
        </w:trPr>
        <w:tc>
          <w:tcPr>
            <w:tcW w:w="2117" w:type="dxa"/>
            <w:shd w:val="clear" w:color="auto" w:fill="auto"/>
            <w:vAlign w:val="bottom"/>
          </w:tcPr>
          <w:p w14:paraId="2E52F686"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701" w:type="dxa"/>
            <w:vAlign w:val="bottom"/>
          </w:tcPr>
          <w:p w14:paraId="3FC82D0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-10,2%</w:t>
            </w:r>
          </w:p>
        </w:tc>
        <w:tc>
          <w:tcPr>
            <w:tcW w:w="1701" w:type="dxa"/>
            <w:vAlign w:val="bottom"/>
          </w:tcPr>
          <w:p w14:paraId="7D75124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01" w:type="dxa"/>
            <w:shd w:val="clear" w:color="auto" w:fill="auto"/>
            <w:vAlign w:val="bottom"/>
          </w:tcPr>
          <w:p w14:paraId="0F4C183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31,2%</w:t>
            </w:r>
          </w:p>
        </w:tc>
        <w:tc>
          <w:tcPr>
            <w:tcW w:w="1814" w:type="dxa"/>
            <w:vAlign w:val="bottom"/>
          </w:tcPr>
          <w:p w14:paraId="754A0D1C"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4,1%</w:t>
            </w:r>
          </w:p>
        </w:tc>
      </w:tr>
      <w:tr w:rsidR="00EA76BF" w14:paraId="18159D08" w14:textId="77777777">
        <w:trPr>
          <w:trHeight w:val="226"/>
        </w:trPr>
        <w:tc>
          <w:tcPr>
            <w:tcW w:w="2117" w:type="dxa"/>
            <w:shd w:val="clear" w:color="auto" w:fill="auto"/>
            <w:vAlign w:val="bottom"/>
          </w:tcPr>
          <w:p w14:paraId="6FE31D51"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701" w:type="dxa"/>
            <w:vAlign w:val="bottom"/>
          </w:tcPr>
          <w:p w14:paraId="76E8A09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-6,9%</w:t>
            </w:r>
          </w:p>
        </w:tc>
        <w:tc>
          <w:tcPr>
            <w:tcW w:w="1701" w:type="dxa"/>
            <w:vAlign w:val="bottom"/>
          </w:tcPr>
          <w:p w14:paraId="5564A32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01" w:type="dxa"/>
            <w:shd w:val="clear" w:color="auto" w:fill="auto"/>
            <w:vAlign w:val="bottom"/>
          </w:tcPr>
          <w:p w14:paraId="10D31BB5"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22,6%</w:t>
            </w:r>
          </w:p>
        </w:tc>
        <w:tc>
          <w:tcPr>
            <w:tcW w:w="1814" w:type="dxa"/>
            <w:vAlign w:val="bottom"/>
          </w:tcPr>
          <w:p w14:paraId="0DDAA5C1"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8,3%</w:t>
            </w:r>
          </w:p>
        </w:tc>
      </w:tr>
      <w:tr w:rsidR="00EA76BF" w14:paraId="29DD446A" w14:textId="77777777">
        <w:trPr>
          <w:trHeight w:val="226"/>
        </w:trPr>
        <w:tc>
          <w:tcPr>
            <w:tcW w:w="2117" w:type="dxa"/>
            <w:shd w:val="clear" w:color="auto" w:fill="auto"/>
            <w:vAlign w:val="bottom"/>
          </w:tcPr>
          <w:p w14:paraId="1035ED10"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701" w:type="dxa"/>
            <w:vAlign w:val="bottom"/>
          </w:tcPr>
          <w:p w14:paraId="7FD43847"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701" w:type="dxa"/>
            <w:vAlign w:val="bottom"/>
          </w:tcPr>
          <w:p w14:paraId="0B80083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701" w:type="dxa"/>
            <w:shd w:val="clear" w:color="auto" w:fill="auto"/>
            <w:vAlign w:val="bottom"/>
          </w:tcPr>
          <w:p w14:paraId="49C7C26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22,7%</w:t>
            </w:r>
          </w:p>
        </w:tc>
        <w:tc>
          <w:tcPr>
            <w:tcW w:w="1814" w:type="dxa"/>
            <w:vAlign w:val="bottom"/>
          </w:tcPr>
          <w:p w14:paraId="0F78D703"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9,1%</w:t>
            </w:r>
          </w:p>
        </w:tc>
      </w:tr>
      <w:tr w:rsidR="00EA76BF" w14:paraId="691DC546" w14:textId="77777777">
        <w:trPr>
          <w:trHeight w:val="226"/>
        </w:trPr>
        <w:tc>
          <w:tcPr>
            <w:tcW w:w="2117" w:type="dxa"/>
            <w:shd w:val="clear" w:color="auto" w:fill="auto"/>
            <w:vAlign w:val="bottom"/>
          </w:tcPr>
          <w:p w14:paraId="2896646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701" w:type="dxa"/>
            <w:vAlign w:val="bottom"/>
          </w:tcPr>
          <w:p w14:paraId="2C97CC9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-13,4%</w:t>
            </w:r>
          </w:p>
        </w:tc>
        <w:tc>
          <w:tcPr>
            <w:tcW w:w="1701" w:type="dxa"/>
            <w:vAlign w:val="bottom"/>
          </w:tcPr>
          <w:p w14:paraId="568FB32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701" w:type="dxa"/>
            <w:shd w:val="clear" w:color="auto" w:fill="auto"/>
            <w:vAlign w:val="bottom"/>
          </w:tcPr>
          <w:p w14:paraId="61D8251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19,9%</w:t>
            </w:r>
          </w:p>
        </w:tc>
        <w:tc>
          <w:tcPr>
            <w:tcW w:w="1814" w:type="dxa"/>
            <w:vAlign w:val="bottom"/>
          </w:tcPr>
          <w:p w14:paraId="3C1412B0"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5,6%</w:t>
            </w:r>
          </w:p>
        </w:tc>
      </w:tr>
      <w:tr w:rsidR="00EA76BF" w14:paraId="06CED9EC" w14:textId="77777777">
        <w:trPr>
          <w:trHeight w:val="226"/>
        </w:trPr>
        <w:tc>
          <w:tcPr>
            <w:tcW w:w="2117" w:type="dxa"/>
            <w:shd w:val="clear" w:color="auto" w:fill="auto"/>
            <w:vAlign w:val="bottom"/>
          </w:tcPr>
          <w:p w14:paraId="3625F861"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701" w:type="dxa"/>
            <w:vAlign w:val="bottom"/>
          </w:tcPr>
          <w:p w14:paraId="69B674E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-20,1%</w:t>
            </w:r>
          </w:p>
        </w:tc>
        <w:tc>
          <w:tcPr>
            <w:tcW w:w="1701" w:type="dxa"/>
            <w:vAlign w:val="bottom"/>
          </w:tcPr>
          <w:p w14:paraId="17B0CA8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1701" w:type="dxa"/>
            <w:shd w:val="clear" w:color="auto" w:fill="auto"/>
            <w:vAlign w:val="bottom"/>
          </w:tcPr>
          <w:p w14:paraId="7457088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21,2%</w:t>
            </w:r>
          </w:p>
        </w:tc>
        <w:tc>
          <w:tcPr>
            <w:tcW w:w="1814" w:type="dxa"/>
            <w:vAlign w:val="bottom"/>
          </w:tcPr>
          <w:p w14:paraId="49EF925D"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4,9%</w:t>
            </w:r>
          </w:p>
        </w:tc>
      </w:tr>
      <w:tr w:rsidR="00EA76BF" w14:paraId="36E6BFD9" w14:textId="77777777">
        <w:trPr>
          <w:trHeight w:val="226"/>
        </w:trPr>
        <w:tc>
          <w:tcPr>
            <w:tcW w:w="2117" w:type="dxa"/>
            <w:shd w:val="clear" w:color="auto" w:fill="auto"/>
            <w:vAlign w:val="bottom"/>
          </w:tcPr>
          <w:p w14:paraId="488AE7E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701" w:type="dxa"/>
            <w:vAlign w:val="bottom"/>
          </w:tcPr>
          <w:p w14:paraId="13F0945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-30,9%</w:t>
            </w:r>
          </w:p>
        </w:tc>
        <w:tc>
          <w:tcPr>
            <w:tcW w:w="1701" w:type="dxa"/>
            <w:vAlign w:val="bottom"/>
          </w:tcPr>
          <w:p w14:paraId="0F76AEC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701" w:type="dxa"/>
            <w:shd w:val="clear" w:color="auto" w:fill="auto"/>
            <w:vAlign w:val="bottom"/>
          </w:tcPr>
          <w:p w14:paraId="571B1F5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w:t>
            </w:r>
          </w:p>
        </w:tc>
        <w:tc>
          <w:tcPr>
            <w:tcW w:w="1814" w:type="dxa"/>
            <w:vAlign w:val="bottom"/>
          </w:tcPr>
          <w:p w14:paraId="468D5445"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9,4%</w:t>
            </w:r>
          </w:p>
        </w:tc>
      </w:tr>
      <w:tr w:rsidR="00EA76BF" w14:paraId="09B4E076" w14:textId="77777777">
        <w:trPr>
          <w:trHeight w:val="226"/>
        </w:trPr>
        <w:tc>
          <w:tcPr>
            <w:tcW w:w="2117" w:type="dxa"/>
            <w:shd w:val="clear" w:color="auto" w:fill="auto"/>
            <w:vAlign w:val="bottom"/>
          </w:tcPr>
          <w:p w14:paraId="4D5AA712"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701" w:type="dxa"/>
            <w:vAlign w:val="bottom"/>
          </w:tcPr>
          <w:p w14:paraId="29C8431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-20,9%</w:t>
            </w:r>
          </w:p>
        </w:tc>
        <w:tc>
          <w:tcPr>
            <w:tcW w:w="1701" w:type="dxa"/>
            <w:vAlign w:val="bottom"/>
          </w:tcPr>
          <w:p w14:paraId="02C1C1B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01" w:type="dxa"/>
            <w:shd w:val="clear" w:color="auto" w:fill="auto"/>
            <w:vAlign w:val="bottom"/>
          </w:tcPr>
          <w:p w14:paraId="5E322BF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18,6%</w:t>
            </w:r>
          </w:p>
        </w:tc>
        <w:tc>
          <w:tcPr>
            <w:tcW w:w="1814" w:type="dxa"/>
            <w:vAlign w:val="bottom"/>
          </w:tcPr>
          <w:p w14:paraId="45CDF821"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-1,4%</w:t>
            </w:r>
          </w:p>
        </w:tc>
      </w:tr>
      <w:tr w:rsidR="00EA76BF" w14:paraId="421D80D1" w14:textId="77777777">
        <w:trPr>
          <w:trHeight w:val="226"/>
        </w:trPr>
        <w:tc>
          <w:tcPr>
            <w:tcW w:w="2117" w:type="dxa"/>
            <w:shd w:val="clear" w:color="auto" w:fill="auto"/>
            <w:vAlign w:val="bottom"/>
          </w:tcPr>
          <w:p w14:paraId="7B13B381"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701" w:type="dxa"/>
            <w:vAlign w:val="bottom"/>
          </w:tcPr>
          <w:p w14:paraId="3DDA553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7C05359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01" w:type="dxa"/>
            <w:shd w:val="clear" w:color="auto" w:fill="auto"/>
            <w:vAlign w:val="bottom"/>
          </w:tcPr>
          <w:p w14:paraId="6EE6BF2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18,2%</w:t>
            </w:r>
          </w:p>
        </w:tc>
        <w:tc>
          <w:tcPr>
            <w:tcW w:w="1814" w:type="dxa"/>
            <w:vAlign w:val="bottom"/>
          </w:tcPr>
          <w:p w14:paraId="2540CDA2"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3,8%</w:t>
            </w:r>
          </w:p>
        </w:tc>
      </w:tr>
      <w:tr w:rsidR="00EA76BF" w14:paraId="5BB7F085" w14:textId="77777777">
        <w:trPr>
          <w:trHeight w:val="226"/>
        </w:trPr>
        <w:tc>
          <w:tcPr>
            <w:tcW w:w="2117" w:type="dxa"/>
            <w:shd w:val="clear" w:color="auto" w:fill="auto"/>
            <w:vAlign w:val="bottom"/>
          </w:tcPr>
          <w:p w14:paraId="00E397EA"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701" w:type="dxa"/>
            <w:vAlign w:val="bottom"/>
          </w:tcPr>
          <w:p w14:paraId="3647922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-19,7%</w:t>
            </w:r>
          </w:p>
        </w:tc>
        <w:tc>
          <w:tcPr>
            <w:tcW w:w="1701" w:type="dxa"/>
            <w:vAlign w:val="bottom"/>
          </w:tcPr>
          <w:p w14:paraId="72BE80B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shd w:val="clear" w:color="auto" w:fill="auto"/>
            <w:vAlign w:val="bottom"/>
          </w:tcPr>
          <w:p w14:paraId="115DBC2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23,3%</w:t>
            </w:r>
          </w:p>
        </w:tc>
        <w:tc>
          <w:tcPr>
            <w:tcW w:w="1814" w:type="dxa"/>
            <w:vAlign w:val="bottom"/>
          </w:tcPr>
          <w:p w14:paraId="54084124"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11,2%</w:t>
            </w:r>
          </w:p>
        </w:tc>
      </w:tr>
      <w:tr w:rsidR="00EA76BF" w14:paraId="3FD7DCAC" w14:textId="77777777">
        <w:trPr>
          <w:trHeight w:val="226"/>
        </w:trPr>
        <w:tc>
          <w:tcPr>
            <w:tcW w:w="2117" w:type="dxa"/>
            <w:shd w:val="clear" w:color="auto" w:fill="auto"/>
            <w:vAlign w:val="bottom"/>
          </w:tcPr>
          <w:p w14:paraId="3A93147B"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701" w:type="dxa"/>
            <w:vAlign w:val="bottom"/>
          </w:tcPr>
          <w:p w14:paraId="3785775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-24,7%</w:t>
            </w:r>
          </w:p>
        </w:tc>
        <w:tc>
          <w:tcPr>
            <w:tcW w:w="1701" w:type="dxa"/>
            <w:vAlign w:val="bottom"/>
          </w:tcPr>
          <w:p w14:paraId="163F46F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shd w:val="clear" w:color="auto" w:fill="auto"/>
            <w:vAlign w:val="bottom"/>
          </w:tcPr>
          <w:p w14:paraId="1491C10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16,9%</w:t>
            </w:r>
          </w:p>
        </w:tc>
        <w:tc>
          <w:tcPr>
            <w:tcW w:w="1814" w:type="dxa"/>
            <w:vAlign w:val="bottom"/>
          </w:tcPr>
          <w:p w14:paraId="36A700D6"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14,2%</w:t>
            </w:r>
          </w:p>
        </w:tc>
      </w:tr>
      <w:tr w:rsidR="00EA76BF" w14:paraId="4A99BB0F" w14:textId="77777777">
        <w:trPr>
          <w:trHeight w:val="226"/>
        </w:trPr>
        <w:tc>
          <w:tcPr>
            <w:tcW w:w="2117" w:type="dxa"/>
            <w:shd w:val="clear" w:color="auto" w:fill="auto"/>
            <w:vAlign w:val="bottom"/>
          </w:tcPr>
          <w:p w14:paraId="57397E89"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701" w:type="dxa"/>
            <w:vAlign w:val="bottom"/>
          </w:tcPr>
          <w:p w14:paraId="53B8359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-10,8%</w:t>
            </w:r>
          </w:p>
        </w:tc>
        <w:tc>
          <w:tcPr>
            <w:tcW w:w="1701" w:type="dxa"/>
            <w:vAlign w:val="bottom"/>
          </w:tcPr>
          <w:p w14:paraId="5CEDE52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shd w:val="clear" w:color="auto" w:fill="auto"/>
            <w:vAlign w:val="bottom"/>
          </w:tcPr>
          <w:p w14:paraId="2D7D2BE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w:t>
            </w:r>
          </w:p>
        </w:tc>
        <w:tc>
          <w:tcPr>
            <w:tcW w:w="1814" w:type="dxa"/>
            <w:vAlign w:val="bottom"/>
          </w:tcPr>
          <w:p w14:paraId="360A7791"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4,4%</w:t>
            </w:r>
          </w:p>
        </w:tc>
      </w:tr>
      <w:tr w:rsidR="00EA76BF" w14:paraId="2BE6A20C" w14:textId="77777777">
        <w:trPr>
          <w:trHeight w:val="226"/>
        </w:trPr>
        <w:tc>
          <w:tcPr>
            <w:tcW w:w="2117" w:type="dxa"/>
            <w:shd w:val="clear" w:color="auto" w:fill="auto"/>
            <w:vAlign w:val="bottom"/>
          </w:tcPr>
          <w:p w14:paraId="06AA0FE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701" w:type="dxa"/>
            <w:vAlign w:val="bottom"/>
          </w:tcPr>
          <w:p w14:paraId="4532035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-33,5%</w:t>
            </w:r>
          </w:p>
        </w:tc>
        <w:tc>
          <w:tcPr>
            <w:tcW w:w="1701" w:type="dxa"/>
            <w:vAlign w:val="bottom"/>
          </w:tcPr>
          <w:p w14:paraId="2AB7E1D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shd w:val="clear" w:color="auto" w:fill="auto"/>
            <w:vAlign w:val="bottom"/>
          </w:tcPr>
          <w:p w14:paraId="6B5F29B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14,6%</w:t>
            </w:r>
          </w:p>
        </w:tc>
        <w:tc>
          <w:tcPr>
            <w:tcW w:w="1814" w:type="dxa"/>
            <w:vAlign w:val="bottom"/>
          </w:tcPr>
          <w:p w14:paraId="3CD0A8C0"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6,3%</w:t>
            </w:r>
          </w:p>
        </w:tc>
      </w:tr>
      <w:tr w:rsidR="00EA76BF" w14:paraId="2EF78A90" w14:textId="77777777">
        <w:trPr>
          <w:trHeight w:val="226"/>
        </w:trPr>
        <w:tc>
          <w:tcPr>
            <w:tcW w:w="2117" w:type="dxa"/>
            <w:shd w:val="clear" w:color="auto" w:fill="auto"/>
            <w:vAlign w:val="bottom"/>
          </w:tcPr>
          <w:p w14:paraId="49E36719"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701" w:type="dxa"/>
            <w:vAlign w:val="bottom"/>
          </w:tcPr>
          <w:p w14:paraId="33F7018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-30,3%</w:t>
            </w:r>
          </w:p>
        </w:tc>
        <w:tc>
          <w:tcPr>
            <w:tcW w:w="1701" w:type="dxa"/>
            <w:vAlign w:val="bottom"/>
          </w:tcPr>
          <w:p w14:paraId="26024A8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shd w:val="clear" w:color="auto" w:fill="auto"/>
            <w:vAlign w:val="bottom"/>
          </w:tcPr>
          <w:p w14:paraId="40F2A0A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w:t>
            </w:r>
          </w:p>
        </w:tc>
        <w:tc>
          <w:tcPr>
            <w:tcW w:w="1814" w:type="dxa"/>
            <w:vAlign w:val="bottom"/>
          </w:tcPr>
          <w:p w14:paraId="370AA8B9"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10,0%</w:t>
            </w:r>
          </w:p>
        </w:tc>
      </w:tr>
      <w:tr w:rsidR="00EA76BF" w14:paraId="4761CA96" w14:textId="77777777">
        <w:trPr>
          <w:trHeight w:val="226"/>
        </w:trPr>
        <w:tc>
          <w:tcPr>
            <w:tcW w:w="2117" w:type="dxa"/>
            <w:shd w:val="clear" w:color="auto" w:fill="auto"/>
            <w:vAlign w:val="bottom"/>
          </w:tcPr>
          <w:p w14:paraId="698B897B"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701" w:type="dxa"/>
            <w:vAlign w:val="bottom"/>
          </w:tcPr>
          <w:p w14:paraId="2926255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3773B63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shd w:val="clear" w:color="auto" w:fill="auto"/>
            <w:vAlign w:val="bottom"/>
          </w:tcPr>
          <w:p w14:paraId="6D22A25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10,8%</w:t>
            </w:r>
          </w:p>
        </w:tc>
        <w:tc>
          <w:tcPr>
            <w:tcW w:w="1814" w:type="dxa"/>
            <w:vAlign w:val="bottom"/>
          </w:tcPr>
          <w:p w14:paraId="64B9CFB2"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-1,0%</w:t>
            </w:r>
          </w:p>
        </w:tc>
      </w:tr>
      <w:tr w:rsidR="00EA76BF" w14:paraId="5599F8EE" w14:textId="77777777">
        <w:trPr>
          <w:trHeight w:val="226"/>
        </w:trPr>
        <w:tc>
          <w:tcPr>
            <w:tcW w:w="2117" w:type="dxa"/>
            <w:shd w:val="clear" w:color="auto" w:fill="auto"/>
            <w:vAlign w:val="bottom"/>
          </w:tcPr>
          <w:p w14:paraId="0DA5BE0D"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701" w:type="dxa"/>
            <w:vAlign w:val="bottom"/>
          </w:tcPr>
          <w:p w14:paraId="2A78BF3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-21,3%</w:t>
            </w:r>
          </w:p>
        </w:tc>
        <w:tc>
          <w:tcPr>
            <w:tcW w:w="1701" w:type="dxa"/>
            <w:vAlign w:val="bottom"/>
          </w:tcPr>
          <w:p w14:paraId="754D115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shd w:val="clear" w:color="auto" w:fill="auto"/>
            <w:vAlign w:val="bottom"/>
          </w:tcPr>
          <w:p w14:paraId="289F782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19,2%</w:t>
            </w:r>
          </w:p>
        </w:tc>
        <w:tc>
          <w:tcPr>
            <w:tcW w:w="1814" w:type="dxa"/>
            <w:vAlign w:val="bottom"/>
          </w:tcPr>
          <w:p w14:paraId="08D1042D"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11,9%</w:t>
            </w:r>
          </w:p>
        </w:tc>
      </w:tr>
      <w:tr w:rsidR="00EA76BF" w14:paraId="36E05150" w14:textId="77777777">
        <w:trPr>
          <w:trHeight w:val="226"/>
        </w:trPr>
        <w:tc>
          <w:tcPr>
            <w:tcW w:w="2117" w:type="dxa"/>
            <w:shd w:val="clear" w:color="auto" w:fill="auto"/>
            <w:vAlign w:val="bottom"/>
          </w:tcPr>
          <w:p w14:paraId="0EEFA059"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701" w:type="dxa"/>
            <w:vAlign w:val="bottom"/>
          </w:tcPr>
          <w:p w14:paraId="19E740A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57A8746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shd w:val="clear" w:color="auto" w:fill="auto"/>
            <w:vAlign w:val="bottom"/>
          </w:tcPr>
          <w:p w14:paraId="74875C0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24,9%</w:t>
            </w:r>
          </w:p>
        </w:tc>
        <w:tc>
          <w:tcPr>
            <w:tcW w:w="1814" w:type="dxa"/>
            <w:vAlign w:val="bottom"/>
          </w:tcPr>
          <w:p w14:paraId="07E3527E"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-4,1%</w:t>
            </w:r>
          </w:p>
        </w:tc>
      </w:tr>
      <w:tr w:rsidR="00EA76BF" w14:paraId="644CB8C4" w14:textId="77777777">
        <w:trPr>
          <w:trHeight w:val="226"/>
        </w:trPr>
        <w:tc>
          <w:tcPr>
            <w:tcW w:w="2117" w:type="dxa"/>
            <w:shd w:val="clear" w:color="auto" w:fill="auto"/>
            <w:vAlign w:val="bottom"/>
          </w:tcPr>
          <w:p w14:paraId="569C43FA"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701" w:type="dxa"/>
            <w:vAlign w:val="bottom"/>
          </w:tcPr>
          <w:p w14:paraId="43E8A67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-21,2%</w:t>
            </w:r>
          </w:p>
        </w:tc>
        <w:tc>
          <w:tcPr>
            <w:tcW w:w="1701" w:type="dxa"/>
            <w:vAlign w:val="bottom"/>
          </w:tcPr>
          <w:p w14:paraId="4F46D22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shd w:val="clear" w:color="auto" w:fill="auto"/>
            <w:vAlign w:val="bottom"/>
          </w:tcPr>
          <w:p w14:paraId="6AF8575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11,2%</w:t>
            </w:r>
          </w:p>
        </w:tc>
        <w:tc>
          <w:tcPr>
            <w:tcW w:w="1814" w:type="dxa"/>
            <w:vAlign w:val="bottom"/>
          </w:tcPr>
          <w:p w14:paraId="543A86A8"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5,3%</w:t>
            </w:r>
          </w:p>
        </w:tc>
      </w:tr>
      <w:tr w:rsidR="00EA76BF" w14:paraId="67ED8404" w14:textId="77777777">
        <w:trPr>
          <w:trHeight w:val="226"/>
        </w:trPr>
        <w:tc>
          <w:tcPr>
            <w:tcW w:w="2117" w:type="dxa"/>
            <w:shd w:val="clear" w:color="auto" w:fill="auto"/>
            <w:vAlign w:val="bottom"/>
          </w:tcPr>
          <w:p w14:paraId="6E5919F5"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701" w:type="dxa"/>
            <w:vAlign w:val="bottom"/>
          </w:tcPr>
          <w:p w14:paraId="6B45B547"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-34,5%</w:t>
            </w:r>
          </w:p>
        </w:tc>
        <w:tc>
          <w:tcPr>
            <w:tcW w:w="1701" w:type="dxa"/>
            <w:vAlign w:val="bottom"/>
          </w:tcPr>
          <w:p w14:paraId="6C48469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w:t>
            </w:r>
          </w:p>
        </w:tc>
        <w:tc>
          <w:tcPr>
            <w:tcW w:w="1701" w:type="dxa"/>
            <w:shd w:val="clear" w:color="auto" w:fill="auto"/>
            <w:vAlign w:val="bottom"/>
          </w:tcPr>
          <w:p w14:paraId="2BC850E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814" w:type="dxa"/>
            <w:vAlign w:val="bottom"/>
          </w:tcPr>
          <w:p w14:paraId="3ED40C6D"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5,4%</w:t>
            </w:r>
          </w:p>
        </w:tc>
      </w:tr>
      <w:tr w:rsidR="00EA76BF" w14:paraId="6B7A56E4" w14:textId="77777777">
        <w:trPr>
          <w:trHeight w:val="226"/>
        </w:trPr>
        <w:tc>
          <w:tcPr>
            <w:tcW w:w="2117" w:type="dxa"/>
            <w:shd w:val="clear" w:color="auto" w:fill="auto"/>
            <w:vAlign w:val="bottom"/>
          </w:tcPr>
          <w:p w14:paraId="1DEE862A"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701" w:type="dxa"/>
            <w:vAlign w:val="bottom"/>
          </w:tcPr>
          <w:p w14:paraId="629DC4A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598D70B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w:t>
            </w:r>
          </w:p>
        </w:tc>
        <w:tc>
          <w:tcPr>
            <w:tcW w:w="1701" w:type="dxa"/>
            <w:shd w:val="clear" w:color="auto" w:fill="auto"/>
            <w:vAlign w:val="bottom"/>
          </w:tcPr>
          <w:p w14:paraId="2229EB9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19,1%</w:t>
            </w:r>
          </w:p>
        </w:tc>
        <w:tc>
          <w:tcPr>
            <w:tcW w:w="1814" w:type="dxa"/>
            <w:vAlign w:val="bottom"/>
          </w:tcPr>
          <w:p w14:paraId="3D406BF4"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9,2%</w:t>
            </w:r>
          </w:p>
        </w:tc>
      </w:tr>
      <w:tr w:rsidR="00EA76BF" w14:paraId="4D825846" w14:textId="77777777">
        <w:trPr>
          <w:trHeight w:val="226"/>
        </w:trPr>
        <w:tc>
          <w:tcPr>
            <w:tcW w:w="2117" w:type="dxa"/>
            <w:shd w:val="clear" w:color="auto" w:fill="auto"/>
            <w:vAlign w:val="bottom"/>
          </w:tcPr>
          <w:p w14:paraId="4F644E35"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701" w:type="dxa"/>
            <w:vAlign w:val="bottom"/>
          </w:tcPr>
          <w:p w14:paraId="561917F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-33,9%</w:t>
            </w:r>
          </w:p>
        </w:tc>
        <w:tc>
          <w:tcPr>
            <w:tcW w:w="1701" w:type="dxa"/>
            <w:vAlign w:val="bottom"/>
          </w:tcPr>
          <w:p w14:paraId="1BB8B72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w:t>
            </w:r>
          </w:p>
        </w:tc>
        <w:tc>
          <w:tcPr>
            <w:tcW w:w="1701" w:type="dxa"/>
            <w:shd w:val="clear" w:color="auto" w:fill="auto"/>
            <w:vAlign w:val="bottom"/>
          </w:tcPr>
          <w:p w14:paraId="1857CA0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12,4%</w:t>
            </w:r>
          </w:p>
        </w:tc>
        <w:tc>
          <w:tcPr>
            <w:tcW w:w="1814" w:type="dxa"/>
            <w:vAlign w:val="bottom"/>
          </w:tcPr>
          <w:p w14:paraId="7AEF6854"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7,2%</w:t>
            </w:r>
          </w:p>
        </w:tc>
      </w:tr>
      <w:tr w:rsidR="00EA76BF" w14:paraId="6F897DD6" w14:textId="77777777">
        <w:trPr>
          <w:trHeight w:val="226"/>
        </w:trPr>
        <w:tc>
          <w:tcPr>
            <w:tcW w:w="2117" w:type="dxa"/>
            <w:shd w:val="clear" w:color="auto" w:fill="auto"/>
            <w:vAlign w:val="bottom"/>
          </w:tcPr>
          <w:p w14:paraId="1C8155B7"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701" w:type="dxa"/>
            <w:vAlign w:val="bottom"/>
          </w:tcPr>
          <w:p w14:paraId="28C2109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-33,1%</w:t>
            </w:r>
          </w:p>
        </w:tc>
        <w:tc>
          <w:tcPr>
            <w:tcW w:w="1701" w:type="dxa"/>
            <w:vAlign w:val="bottom"/>
          </w:tcPr>
          <w:p w14:paraId="38044DA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w:t>
            </w:r>
          </w:p>
        </w:tc>
        <w:tc>
          <w:tcPr>
            <w:tcW w:w="1701" w:type="dxa"/>
            <w:shd w:val="clear" w:color="auto" w:fill="auto"/>
            <w:vAlign w:val="bottom"/>
          </w:tcPr>
          <w:p w14:paraId="1823A16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w:t>
            </w:r>
          </w:p>
        </w:tc>
        <w:tc>
          <w:tcPr>
            <w:tcW w:w="1814" w:type="dxa"/>
            <w:vAlign w:val="bottom"/>
          </w:tcPr>
          <w:p w14:paraId="29F322C4"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7,1%</w:t>
            </w:r>
          </w:p>
        </w:tc>
      </w:tr>
      <w:tr w:rsidR="00EA76BF" w14:paraId="53AF93C2" w14:textId="77777777">
        <w:trPr>
          <w:trHeight w:val="226"/>
        </w:trPr>
        <w:tc>
          <w:tcPr>
            <w:tcW w:w="2117" w:type="dxa"/>
            <w:shd w:val="clear" w:color="auto" w:fill="auto"/>
            <w:vAlign w:val="bottom"/>
          </w:tcPr>
          <w:p w14:paraId="08AD6345"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701" w:type="dxa"/>
            <w:vAlign w:val="bottom"/>
          </w:tcPr>
          <w:p w14:paraId="7EC6108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F74E94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w:t>
            </w:r>
          </w:p>
        </w:tc>
        <w:tc>
          <w:tcPr>
            <w:tcW w:w="1701" w:type="dxa"/>
            <w:shd w:val="clear" w:color="auto" w:fill="auto"/>
            <w:vAlign w:val="bottom"/>
          </w:tcPr>
          <w:p w14:paraId="13271C4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18,0%</w:t>
            </w:r>
          </w:p>
        </w:tc>
        <w:tc>
          <w:tcPr>
            <w:tcW w:w="1814" w:type="dxa"/>
            <w:vAlign w:val="bottom"/>
          </w:tcPr>
          <w:p w14:paraId="5E75439C"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9,0%</w:t>
            </w:r>
          </w:p>
        </w:tc>
      </w:tr>
      <w:tr w:rsidR="00EA76BF" w14:paraId="67B032AC" w14:textId="77777777">
        <w:trPr>
          <w:trHeight w:val="226"/>
        </w:trPr>
        <w:tc>
          <w:tcPr>
            <w:tcW w:w="2117" w:type="dxa"/>
            <w:shd w:val="clear" w:color="auto" w:fill="auto"/>
            <w:vAlign w:val="bottom"/>
          </w:tcPr>
          <w:p w14:paraId="11C45C63"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Soria capital</w:t>
            </w:r>
          </w:p>
        </w:tc>
        <w:tc>
          <w:tcPr>
            <w:tcW w:w="1701" w:type="dxa"/>
            <w:vAlign w:val="bottom"/>
          </w:tcPr>
          <w:p w14:paraId="3518EC7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1833D13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w:t>
            </w:r>
          </w:p>
        </w:tc>
        <w:tc>
          <w:tcPr>
            <w:tcW w:w="1701" w:type="dxa"/>
            <w:shd w:val="clear" w:color="auto" w:fill="auto"/>
            <w:vAlign w:val="bottom"/>
          </w:tcPr>
          <w:p w14:paraId="16EF0CB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33,1%</w:t>
            </w:r>
          </w:p>
        </w:tc>
        <w:tc>
          <w:tcPr>
            <w:tcW w:w="1814" w:type="dxa"/>
            <w:vAlign w:val="bottom"/>
          </w:tcPr>
          <w:p w14:paraId="6BC7B679"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24,6%</w:t>
            </w:r>
          </w:p>
        </w:tc>
      </w:tr>
      <w:tr w:rsidR="00EA76BF" w14:paraId="479A0FEB" w14:textId="77777777">
        <w:trPr>
          <w:trHeight w:val="226"/>
        </w:trPr>
        <w:tc>
          <w:tcPr>
            <w:tcW w:w="2117" w:type="dxa"/>
            <w:shd w:val="clear" w:color="auto" w:fill="auto"/>
            <w:vAlign w:val="bottom"/>
          </w:tcPr>
          <w:p w14:paraId="6D94CDEB"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701" w:type="dxa"/>
            <w:vAlign w:val="bottom"/>
          </w:tcPr>
          <w:p w14:paraId="00AC9D9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-25,7%</w:t>
            </w:r>
          </w:p>
        </w:tc>
        <w:tc>
          <w:tcPr>
            <w:tcW w:w="1701" w:type="dxa"/>
            <w:vAlign w:val="bottom"/>
          </w:tcPr>
          <w:p w14:paraId="792789F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w:t>
            </w:r>
          </w:p>
        </w:tc>
        <w:tc>
          <w:tcPr>
            <w:tcW w:w="1701" w:type="dxa"/>
            <w:shd w:val="clear" w:color="auto" w:fill="auto"/>
            <w:vAlign w:val="bottom"/>
          </w:tcPr>
          <w:p w14:paraId="7CE3D0B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814" w:type="dxa"/>
            <w:vAlign w:val="bottom"/>
          </w:tcPr>
          <w:p w14:paraId="4ACA227E"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6,7%</w:t>
            </w:r>
          </w:p>
        </w:tc>
      </w:tr>
      <w:tr w:rsidR="00EA76BF" w14:paraId="2B22F90B" w14:textId="77777777">
        <w:trPr>
          <w:trHeight w:val="226"/>
        </w:trPr>
        <w:tc>
          <w:tcPr>
            <w:tcW w:w="2117" w:type="dxa"/>
            <w:shd w:val="clear" w:color="auto" w:fill="auto"/>
            <w:vAlign w:val="bottom"/>
          </w:tcPr>
          <w:p w14:paraId="7C618388"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701" w:type="dxa"/>
            <w:vAlign w:val="bottom"/>
          </w:tcPr>
          <w:p w14:paraId="43FFFE7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-26,5%</w:t>
            </w:r>
          </w:p>
        </w:tc>
        <w:tc>
          <w:tcPr>
            <w:tcW w:w="1701" w:type="dxa"/>
            <w:vAlign w:val="bottom"/>
          </w:tcPr>
          <w:p w14:paraId="4ED18055"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w:t>
            </w:r>
          </w:p>
        </w:tc>
        <w:tc>
          <w:tcPr>
            <w:tcW w:w="1701" w:type="dxa"/>
            <w:shd w:val="clear" w:color="auto" w:fill="auto"/>
            <w:vAlign w:val="bottom"/>
          </w:tcPr>
          <w:p w14:paraId="56350EB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19,5%</w:t>
            </w:r>
          </w:p>
        </w:tc>
        <w:tc>
          <w:tcPr>
            <w:tcW w:w="1814" w:type="dxa"/>
            <w:vAlign w:val="bottom"/>
          </w:tcPr>
          <w:p w14:paraId="4C81D05A"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9,2%</w:t>
            </w:r>
          </w:p>
        </w:tc>
      </w:tr>
      <w:tr w:rsidR="00EA76BF" w14:paraId="6FBD41C6" w14:textId="77777777">
        <w:trPr>
          <w:trHeight w:val="226"/>
        </w:trPr>
        <w:tc>
          <w:tcPr>
            <w:tcW w:w="2117" w:type="dxa"/>
            <w:shd w:val="clear" w:color="auto" w:fill="auto"/>
            <w:vAlign w:val="bottom"/>
          </w:tcPr>
          <w:p w14:paraId="77B8E77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701" w:type="dxa"/>
            <w:vAlign w:val="bottom"/>
          </w:tcPr>
          <w:p w14:paraId="0B95DE7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-29,8%</w:t>
            </w:r>
          </w:p>
        </w:tc>
        <w:tc>
          <w:tcPr>
            <w:tcW w:w="1701" w:type="dxa"/>
            <w:vAlign w:val="bottom"/>
          </w:tcPr>
          <w:p w14:paraId="0F83265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w:t>
            </w:r>
          </w:p>
        </w:tc>
        <w:tc>
          <w:tcPr>
            <w:tcW w:w="1701" w:type="dxa"/>
            <w:shd w:val="clear" w:color="auto" w:fill="auto"/>
            <w:vAlign w:val="bottom"/>
          </w:tcPr>
          <w:p w14:paraId="35636FB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w:t>
            </w:r>
          </w:p>
        </w:tc>
        <w:tc>
          <w:tcPr>
            <w:tcW w:w="1814" w:type="dxa"/>
            <w:vAlign w:val="bottom"/>
          </w:tcPr>
          <w:p w14:paraId="42C08BBA"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4,8%</w:t>
            </w:r>
          </w:p>
        </w:tc>
      </w:tr>
      <w:tr w:rsidR="00EA76BF" w14:paraId="6D72852C" w14:textId="77777777">
        <w:trPr>
          <w:trHeight w:val="226"/>
        </w:trPr>
        <w:tc>
          <w:tcPr>
            <w:tcW w:w="2117" w:type="dxa"/>
            <w:shd w:val="clear" w:color="auto" w:fill="auto"/>
            <w:vAlign w:val="bottom"/>
          </w:tcPr>
          <w:p w14:paraId="4A9135A6"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701" w:type="dxa"/>
            <w:vAlign w:val="bottom"/>
          </w:tcPr>
          <w:p w14:paraId="3FC410B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-22,7%</w:t>
            </w:r>
          </w:p>
        </w:tc>
        <w:tc>
          <w:tcPr>
            <w:tcW w:w="1701" w:type="dxa"/>
            <w:vAlign w:val="bottom"/>
          </w:tcPr>
          <w:p w14:paraId="5FC266D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w:t>
            </w:r>
          </w:p>
        </w:tc>
        <w:tc>
          <w:tcPr>
            <w:tcW w:w="1701" w:type="dxa"/>
            <w:shd w:val="clear" w:color="auto" w:fill="auto"/>
            <w:vAlign w:val="bottom"/>
          </w:tcPr>
          <w:p w14:paraId="3FF12E70"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16,5%</w:t>
            </w:r>
          </w:p>
        </w:tc>
        <w:tc>
          <w:tcPr>
            <w:tcW w:w="1814" w:type="dxa"/>
            <w:vAlign w:val="bottom"/>
          </w:tcPr>
          <w:p w14:paraId="228F45B9"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8,8%</w:t>
            </w:r>
          </w:p>
        </w:tc>
      </w:tr>
      <w:tr w:rsidR="00EA76BF" w14:paraId="4367480F" w14:textId="77777777">
        <w:trPr>
          <w:trHeight w:val="226"/>
        </w:trPr>
        <w:tc>
          <w:tcPr>
            <w:tcW w:w="2117" w:type="dxa"/>
            <w:shd w:val="clear" w:color="auto" w:fill="auto"/>
            <w:vAlign w:val="bottom"/>
          </w:tcPr>
          <w:p w14:paraId="5D6BE750"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701" w:type="dxa"/>
            <w:vAlign w:val="bottom"/>
          </w:tcPr>
          <w:p w14:paraId="0F95CB7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0AC7C0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w:t>
            </w:r>
          </w:p>
        </w:tc>
        <w:tc>
          <w:tcPr>
            <w:tcW w:w="1701" w:type="dxa"/>
            <w:shd w:val="clear" w:color="auto" w:fill="auto"/>
            <w:vAlign w:val="bottom"/>
          </w:tcPr>
          <w:p w14:paraId="741F483F"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15,5%</w:t>
            </w:r>
          </w:p>
        </w:tc>
        <w:tc>
          <w:tcPr>
            <w:tcW w:w="1814" w:type="dxa"/>
            <w:vAlign w:val="bottom"/>
          </w:tcPr>
          <w:p w14:paraId="6F239711"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4,2%</w:t>
            </w:r>
          </w:p>
        </w:tc>
      </w:tr>
      <w:tr w:rsidR="00EA76BF" w14:paraId="16D47310" w14:textId="77777777">
        <w:trPr>
          <w:trHeight w:val="226"/>
        </w:trPr>
        <w:tc>
          <w:tcPr>
            <w:tcW w:w="2117" w:type="dxa"/>
            <w:shd w:val="clear" w:color="auto" w:fill="auto"/>
            <w:vAlign w:val="bottom"/>
          </w:tcPr>
          <w:p w14:paraId="6C443C0A"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701" w:type="dxa"/>
            <w:vAlign w:val="bottom"/>
          </w:tcPr>
          <w:p w14:paraId="10C04E9C" w14:textId="77777777" w:rsidR="00EA76BF"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-24,0%</w:t>
            </w:r>
          </w:p>
        </w:tc>
        <w:tc>
          <w:tcPr>
            <w:tcW w:w="1701" w:type="dxa"/>
            <w:vAlign w:val="bottom"/>
          </w:tcPr>
          <w:p w14:paraId="3C947DA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w:t>
            </w:r>
          </w:p>
        </w:tc>
        <w:tc>
          <w:tcPr>
            <w:tcW w:w="1701" w:type="dxa"/>
            <w:shd w:val="clear" w:color="auto" w:fill="auto"/>
            <w:vAlign w:val="bottom"/>
          </w:tcPr>
          <w:p w14:paraId="27A463D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8,7%</w:t>
            </w:r>
          </w:p>
        </w:tc>
        <w:tc>
          <w:tcPr>
            <w:tcW w:w="1814" w:type="dxa"/>
            <w:vAlign w:val="bottom"/>
          </w:tcPr>
          <w:p w14:paraId="68977E48"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4,3%</w:t>
            </w:r>
          </w:p>
        </w:tc>
      </w:tr>
      <w:tr w:rsidR="00EA76BF" w14:paraId="7593053D" w14:textId="77777777">
        <w:trPr>
          <w:trHeight w:val="226"/>
        </w:trPr>
        <w:tc>
          <w:tcPr>
            <w:tcW w:w="2117" w:type="dxa"/>
            <w:shd w:val="clear" w:color="auto" w:fill="auto"/>
            <w:vAlign w:val="bottom"/>
          </w:tcPr>
          <w:p w14:paraId="6F4EFDA8"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701" w:type="dxa"/>
            <w:vAlign w:val="bottom"/>
          </w:tcPr>
          <w:p w14:paraId="446615DC" w14:textId="77777777" w:rsidR="00EA76BF"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-30,2%</w:t>
            </w:r>
          </w:p>
        </w:tc>
        <w:tc>
          <w:tcPr>
            <w:tcW w:w="1701" w:type="dxa"/>
            <w:vAlign w:val="bottom"/>
          </w:tcPr>
          <w:p w14:paraId="1B616E45"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w:t>
            </w:r>
          </w:p>
        </w:tc>
        <w:tc>
          <w:tcPr>
            <w:tcW w:w="1701" w:type="dxa"/>
            <w:shd w:val="clear" w:color="auto" w:fill="auto"/>
            <w:vAlign w:val="bottom"/>
          </w:tcPr>
          <w:p w14:paraId="03CFFC4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20,7%</w:t>
            </w:r>
          </w:p>
        </w:tc>
        <w:tc>
          <w:tcPr>
            <w:tcW w:w="1814" w:type="dxa"/>
            <w:vAlign w:val="bottom"/>
          </w:tcPr>
          <w:p w14:paraId="5D0DCD8A"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0,5%</w:t>
            </w:r>
          </w:p>
        </w:tc>
      </w:tr>
      <w:tr w:rsidR="00EA76BF" w14:paraId="739510BB" w14:textId="77777777">
        <w:trPr>
          <w:trHeight w:val="226"/>
        </w:trPr>
        <w:tc>
          <w:tcPr>
            <w:tcW w:w="2117" w:type="dxa"/>
            <w:shd w:val="clear" w:color="auto" w:fill="auto"/>
            <w:vAlign w:val="bottom"/>
          </w:tcPr>
          <w:p w14:paraId="243CFAC2"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701" w:type="dxa"/>
            <w:vAlign w:val="bottom"/>
          </w:tcPr>
          <w:p w14:paraId="526CB93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-25,0%</w:t>
            </w:r>
          </w:p>
        </w:tc>
        <w:tc>
          <w:tcPr>
            <w:tcW w:w="1701" w:type="dxa"/>
            <w:vAlign w:val="bottom"/>
          </w:tcPr>
          <w:p w14:paraId="300A83E5"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w:t>
            </w:r>
          </w:p>
        </w:tc>
        <w:tc>
          <w:tcPr>
            <w:tcW w:w="1701" w:type="dxa"/>
            <w:shd w:val="clear" w:color="auto" w:fill="auto"/>
            <w:vAlign w:val="bottom"/>
          </w:tcPr>
          <w:p w14:paraId="1E72A6E9"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814" w:type="dxa"/>
            <w:vAlign w:val="bottom"/>
          </w:tcPr>
          <w:p w14:paraId="2F79ED65"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0,5%</w:t>
            </w:r>
          </w:p>
        </w:tc>
      </w:tr>
      <w:tr w:rsidR="00EA76BF" w14:paraId="6E9A4761" w14:textId="77777777">
        <w:trPr>
          <w:trHeight w:val="226"/>
        </w:trPr>
        <w:tc>
          <w:tcPr>
            <w:tcW w:w="2117" w:type="dxa"/>
            <w:shd w:val="clear" w:color="auto" w:fill="auto"/>
            <w:vAlign w:val="bottom"/>
          </w:tcPr>
          <w:p w14:paraId="38AFDC5B"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701" w:type="dxa"/>
            <w:vAlign w:val="bottom"/>
          </w:tcPr>
          <w:p w14:paraId="4DA563CD" w14:textId="77777777" w:rsidR="00EA76BF"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-12,1%</w:t>
            </w:r>
          </w:p>
        </w:tc>
        <w:tc>
          <w:tcPr>
            <w:tcW w:w="1701" w:type="dxa"/>
            <w:vAlign w:val="bottom"/>
          </w:tcPr>
          <w:p w14:paraId="5CF29A05"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w:t>
            </w:r>
          </w:p>
        </w:tc>
        <w:tc>
          <w:tcPr>
            <w:tcW w:w="1701" w:type="dxa"/>
            <w:shd w:val="clear" w:color="auto" w:fill="auto"/>
            <w:vAlign w:val="bottom"/>
          </w:tcPr>
          <w:p w14:paraId="620B96E5"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814" w:type="dxa"/>
            <w:vAlign w:val="bottom"/>
          </w:tcPr>
          <w:p w14:paraId="71A8AA4D"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3,3%</w:t>
            </w:r>
          </w:p>
        </w:tc>
      </w:tr>
      <w:tr w:rsidR="00EA76BF" w14:paraId="50011908" w14:textId="77777777">
        <w:trPr>
          <w:trHeight w:val="226"/>
        </w:trPr>
        <w:tc>
          <w:tcPr>
            <w:tcW w:w="2117" w:type="dxa"/>
            <w:shd w:val="clear" w:color="auto" w:fill="auto"/>
            <w:vAlign w:val="bottom"/>
          </w:tcPr>
          <w:p w14:paraId="2FB1345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701" w:type="dxa"/>
            <w:vAlign w:val="bottom"/>
          </w:tcPr>
          <w:p w14:paraId="3C32FC2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B001D4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w:t>
            </w:r>
          </w:p>
        </w:tc>
        <w:tc>
          <w:tcPr>
            <w:tcW w:w="1701" w:type="dxa"/>
            <w:shd w:val="clear" w:color="auto" w:fill="auto"/>
            <w:vAlign w:val="bottom"/>
          </w:tcPr>
          <w:p w14:paraId="1E6F7CEB"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814" w:type="dxa"/>
            <w:vAlign w:val="bottom"/>
          </w:tcPr>
          <w:p w14:paraId="3617F43A"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-3,5%</w:t>
            </w:r>
          </w:p>
        </w:tc>
      </w:tr>
      <w:tr w:rsidR="00EA76BF" w14:paraId="196FBFE7" w14:textId="77777777">
        <w:trPr>
          <w:trHeight w:val="226"/>
        </w:trPr>
        <w:tc>
          <w:tcPr>
            <w:tcW w:w="2117" w:type="dxa"/>
            <w:shd w:val="clear" w:color="auto" w:fill="auto"/>
            <w:vAlign w:val="bottom"/>
          </w:tcPr>
          <w:p w14:paraId="552A1814"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701" w:type="dxa"/>
            <w:vAlign w:val="bottom"/>
          </w:tcPr>
          <w:p w14:paraId="4AEA9EB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-28,2%</w:t>
            </w:r>
          </w:p>
        </w:tc>
        <w:tc>
          <w:tcPr>
            <w:tcW w:w="1701" w:type="dxa"/>
            <w:vAlign w:val="bottom"/>
          </w:tcPr>
          <w:p w14:paraId="25D8B2F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w:t>
            </w:r>
          </w:p>
        </w:tc>
        <w:tc>
          <w:tcPr>
            <w:tcW w:w="1701" w:type="dxa"/>
            <w:shd w:val="clear" w:color="auto" w:fill="auto"/>
            <w:vAlign w:val="bottom"/>
          </w:tcPr>
          <w:p w14:paraId="0555B22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8,6%</w:t>
            </w:r>
          </w:p>
        </w:tc>
        <w:tc>
          <w:tcPr>
            <w:tcW w:w="1814" w:type="dxa"/>
            <w:vAlign w:val="bottom"/>
          </w:tcPr>
          <w:p w14:paraId="43A12E08"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3,6%</w:t>
            </w:r>
          </w:p>
        </w:tc>
      </w:tr>
      <w:tr w:rsidR="00EA76BF" w14:paraId="03B17147" w14:textId="77777777">
        <w:trPr>
          <w:trHeight w:val="226"/>
        </w:trPr>
        <w:tc>
          <w:tcPr>
            <w:tcW w:w="2117" w:type="dxa"/>
            <w:shd w:val="clear" w:color="auto" w:fill="auto"/>
            <w:vAlign w:val="bottom"/>
          </w:tcPr>
          <w:p w14:paraId="6F21AFF8"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701" w:type="dxa"/>
            <w:vAlign w:val="bottom"/>
          </w:tcPr>
          <w:p w14:paraId="7A68BFFE"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-35,5%</w:t>
            </w:r>
          </w:p>
        </w:tc>
        <w:tc>
          <w:tcPr>
            <w:tcW w:w="1701" w:type="dxa"/>
            <w:vAlign w:val="bottom"/>
          </w:tcPr>
          <w:p w14:paraId="1F9A59B4"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w:t>
            </w:r>
          </w:p>
        </w:tc>
        <w:tc>
          <w:tcPr>
            <w:tcW w:w="1701" w:type="dxa"/>
            <w:shd w:val="clear" w:color="auto" w:fill="auto"/>
            <w:vAlign w:val="bottom"/>
          </w:tcPr>
          <w:p w14:paraId="7F700D8D"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9,2%</w:t>
            </w:r>
          </w:p>
        </w:tc>
        <w:tc>
          <w:tcPr>
            <w:tcW w:w="1814" w:type="dxa"/>
            <w:vAlign w:val="bottom"/>
          </w:tcPr>
          <w:p w14:paraId="08C4DF26"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7,2%</w:t>
            </w:r>
          </w:p>
        </w:tc>
      </w:tr>
      <w:tr w:rsidR="00EA76BF" w14:paraId="6C02C9CF" w14:textId="77777777">
        <w:trPr>
          <w:trHeight w:val="226"/>
        </w:trPr>
        <w:tc>
          <w:tcPr>
            <w:tcW w:w="2117" w:type="dxa"/>
            <w:shd w:val="clear" w:color="auto" w:fill="auto"/>
            <w:vAlign w:val="bottom"/>
          </w:tcPr>
          <w:p w14:paraId="4953544F"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701" w:type="dxa"/>
            <w:vAlign w:val="bottom"/>
          </w:tcPr>
          <w:p w14:paraId="1CD6384A"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-36,6%</w:t>
            </w:r>
          </w:p>
        </w:tc>
        <w:tc>
          <w:tcPr>
            <w:tcW w:w="1701" w:type="dxa"/>
            <w:vAlign w:val="bottom"/>
          </w:tcPr>
          <w:p w14:paraId="613A1D56"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shd w:val="clear" w:color="auto" w:fill="auto"/>
            <w:vAlign w:val="bottom"/>
          </w:tcPr>
          <w:p w14:paraId="0D845DC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814" w:type="dxa"/>
            <w:vAlign w:val="bottom"/>
          </w:tcPr>
          <w:p w14:paraId="2A0DBC6F"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6,0%</w:t>
            </w:r>
          </w:p>
        </w:tc>
      </w:tr>
      <w:tr w:rsidR="00EA76BF" w14:paraId="045537C0" w14:textId="77777777">
        <w:trPr>
          <w:trHeight w:val="226"/>
        </w:trPr>
        <w:tc>
          <w:tcPr>
            <w:tcW w:w="2117" w:type="dxa"/>
            <w:shd w:val="clear" w:color="auto" w:fill="auto"/>
            <w:vAlign w:val="bottom"/>
          </w:tcPr>
          <w:p w14:paraId="42050216" w14:textId="77777777" w:rsidR="00EA76BF"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701" w:type="dxa"/>
            <w:vAlign w:val="bottom"/>
          </w:tcPr>
          <w:p w14:paraId="552DD172"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-27,9%</w:t>
            </w:r>
          </w:p>
        </w:tc>
        <w:tc>
          <w:tcPr>
            <w:tcW w:w="1701" w:type="dxa"/>
            <w:vAlign w:val="bottom"/>
          </w:tcPr>
          <w:p w14:paraId="59C8D8E1"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shd w:val="clear" w:color="auto" w:fill="auto"/>
            <w:vAlign w:val="bottom"/>
          </w:tcPr>
          <w:p w14:paraId="0935211C"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814" w:type="dxa"/>
            <w:vAlign w:val="bottom"/>
          </w:tcPr>
          <w:p w14:paraId="5643DBD4" w14:textId="77777777" w:rsidR="00EA76BF" w:rsidRDefault="0000000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4,4%</w:t>
            </w:r>
          </w:p>
        </w:tc>
      </w:tr>
      <w:tr w:rsidR="00EA76BF" w14:paraId="1AE08706" w14:textId="77777777">
        <w:trPr>
          <w:trHeight w:val="226"/>
        </w:trPr>
        <w:tc>
          <w:tcPr>
            <w:tcW w:w="2117" w:type="dxa"/>
            <w:shd w:val="clear" w:color="auto" w:fill="auto"/>
            <w:vAlign w:val="bottom"/>
          </w:tcPr>
          <w:p w14:paraId="54486B29" w14:textId="77777777" w:rsidR="00EA76BF" w:rsidRDefault="00000000">
            <w:pPr>
              <w:rPr>
                <w:rFonts w:ascii="Open Sans" w:eastAsia="Open Sans" w:hAnsi="Open Sans" w:cs="Open Sans"/>
                <w:sz w:val="22"/>
                <w:szCs w:val="22"/>
              </w:rPr>
            </w:pPr>
            <w:r>
              <w:rPr>
                <w:rFonts w:ascii="Open Sans" w:eastAsia="Open Sans" w:hAnsi="Open Sans" w:cs="Open Sans"/>
                <w:color w:val="000000"/>
                <w:sz w:val="22"/>
                <w:szCs w:val="22"/>
              </w:rPr>
              <w:t>Zamora capital</w:t>
            </w:r>
          </w:p>
        </w:tc>
        <w:tc>
          <w:tcPr>
            <w:tcW w:w="1701" w:type="dxa"/>
            <w:vAlign w:val="bottom"/>
          </w:tcPr>
          <w:p w14:paraId="7943D663"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-31,7%</w:t>
            </w:r>
          </w:p>
        </w:tc>
        <w:tc>
          <w:tcPr>
            <w:tcW w:w="1701" w:type="dxa"/>
            <w:vAlign w:val="bottom"/>
          </w:tcPr>
          <w:p w14:paraId="3A8493A5" w14:textId="77777777" w:rsidR="00EA76BF"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1701" w:type="dxa"/>
            <w:shd w:val="clear" w:color="auto" w:fill="auto"/>
            <w:vAlign w:val="bottom"/>
          </w:tcPr>
          <w:p w14:paraId="0B20E834" w14:textId="77777777" w:rsidR="00EA76BF"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-3,0%</w:t>
            </w:r>
          </w:p>
        </w:tc>
        <w:tc>
          <w:tcPr>
            <w:tcW w:w="1814" w:type="dxa"/>
            <w:vAlign w:val="bottom"/>
          </w:tcPr>
          <w:p w14:paraId="0878BC68" w14:textId="77777777" w:rsidR="00EA76BF"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bl>
    <w:p w14:paraId="32A8AF39" w14:textId="77777777" w:rsidR="00EA76BF" w:rsidRDefault="00EA76B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C56E079" w14:textId="77777777" w:rsidR="00EA76BF"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ciudades</w:t>
      </w:r>
    </w:p>
    <w:p w14:paraId="7BEE2F5C" w14:textId="77777777" w:rsidR="00EA76BF" w:rsidRDefault="00EA76B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2"/>
        <w:tblW w:w="903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117"/>
        <w:gridCol w:w="1701"/>
        <w:gridCol w:w="1701"/>
        <w:gridCol w:w="1701"/>
        <w:gridCol w:w="1814"/>
      </w:tblGrid>
      <w:tr w:rsidR="00EA76BF" w14:paraId="2087CB26" w14:textId="77777777">
        <w:trPr>
          <w:trHeight w:val="772"/>
        </w:trPr>
        <w:tc>
          <w:tcPr>
            <w:tcW w:w="2117" w:type="dxa"/>
            <w:shd w:val="clear" w:color="auto" w:fill="ACB9CA"/>
            <w:vAlign w:val="center"/>
          </w:tcPr>
          <w:p w14:paraId="7B9BDF78" w14:textId="77777777" w:rsidR="00EA76BF" w:rsidRDefault="00000000">
            <w:pPr>
              <w:rPr>
                <w:rFonts w:ascii="Open Sans" w:eastAsia="Open Sans" w:hAnsi="Open Sans" w:cs="Open Sans"/>
                <w:color w:val="0D0D0D"/>
                <w:sz w:val="20"/>
                <w:szCs w:val="20"/>
              </w:rPr>
            </w:pPr>
            <w:r>
              <w:rPr>
                <w:rFonts w:ascii="Open Sans" w:eastAsia="Open Sans" w:hAnsi="Open Sans" w:cs="Open Sans"/>
                <w:color w:val="0D0D0D"/>
                <w:sz w:val="20"/>
                <w:szCs w:val="20"/>
              </w:rPr>
              <w:t>Ciudad</w:t>
            </w:r>
          </w:p>
        </w:tc>
        <w:tc>
          <w:tcPr>
            <w:tcW w:w="1701" w:type="dxa"/>
            <w:shd w:val="clear" w:color="auto" w:fill="ACB9CA"/>
            <w:vAlign w:val="center"/>
          </w:tcPr>
          <w:p w14:paraId="25D8F2F6"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2009</w:t>
            </w:r>
          </w:p>
        </w:tc>
        <w:tc>
          <w:tcPr>
            <w:tcW w:w="1701" w:type="dxa"/>
            <w:shd w:val="clear" w:color="auto" w:fill="ACB9CA"/>
            <w:vAlign w:val="center"/>
          </w:tcPr>
          <w:p w14:paraId="0EED7E4B"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2014</w:t>
            </w:r>
          </w:p>
        </w:tc>
        <w:tc>
          <w:tcPr>
            <w:tcW w:w="1701" w:type="dxa"/>
            <w:shd w:val="clear" w:color="auto" w:fill="ACB9CA"/>
            <w:vAlign w:val="center"/>
          </w:tcPr>
          <w:p w14:paraId="4812BC31"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2019</w:t>
            </w:r>
          </w:p>
        </w:tc>
        <w:tc>
          <w:tcPr>
            <w:tcW w:w="1814" w:type="dxa"/>
            <w:shd w:val="clear" w:color="auto" w:fill="ACB9CA"/>
            <w:vAlign w:val="center"/>
          </w:tcPr>
          <w:p w14:paraId="11CA7F71" w14:textId="77777777" w:rsidR="00EA76BF" w:rsidRDefault="0000000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2024</w:t>
            </w:r>
          </w:p>
        </w:tc>
      </w:tr>
      <w:tr w:rsidR="007D575E" w14:paraId="5A10B7E7" w14:textId="77777777">
        <w:trPr>
          <w:trHeight w:val="226"/>
        </w:trPr>
        <w:tc>
          <w:tcPr>
            <w:tcW w:w="2117" w:type="dxa"/>
            <w:shd w:val="clear" w:color="auto" w:fill="auto"/>
            <w:vAlign w:val="bottom"/>
          </w:tcPr>
          <w:p w14:paraId="14893405"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701" w:type="dxa"/>
            <w:vAlign w:val="bottom"/>
          </w:tcPr>
          <w:p w14:paraId="6E9D54A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210.086 € </w:t>
            </w:r>
          </w:p>
        </w:tc>
        <w:tc>
          <w:tcPr>
            <w:tcW w:w="1701" w:type="dxa"/>
            <w:vAlign w:val="bottom"/>
          </w:tcPr>
          <w:p w14:paraId="24C60E7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178.178 € </w:t>
            </w:r>
          </w:p>
        </w:tc>
        <w:tc>
          <w:tcPr>
            <w:tcW w:w="1701" w:type="dxa"/>
            <w:shd w:val="clear" w:color="auto" w:fill="auto"/>
            <w:vAlign w:val="bottom"/>
          </w:tcPr>
          <w:p w14:paraId="5D24FBA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179.592 € </w:t>
            </w:r>
          </w:p>
        </w:tc>
        <w:tc>
          <w:tcPr>
            <w:tcW w:w="1814" w:type="dxa"/>
            <w:vAlign w:val="bottom"/>
          </w:tcPr>
          <w:p w14:paraId="6ED770D6" w14:textId="6B8751F9"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212.210 € </w:t>
            </w:r>
          </w:p>
        </w:tc>
      </w:tr>
      <w:tr w:rsidR="007D575E" w14:paraId="0B4E4717" w14:textId="77777777">
        <w:trPr>
          <w:trHeight w:val="226"/>
        </w:trPr>
        <w:tc>
          <w:tcPr>
            <w:tcW w:w="2117" w:type="dxa"/>
            <w:shd w:val="clear" w:color="auto" w:fill="auto"/>
            <w:vAlign w:val="bottom"/>
          </w:tcPr>
          <w:p w14:paraId="4E6C03FD"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701" w:type="dxa"/>
            <w:vAlign w:val="bottom"/>
          </w:tcPr>
          <w:p w14:paraId="20E1F06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 </w:t>
            </w:r>
          </w:p>
        </w:tc>
        <w:tc>
          <w:tcPr>
            <w:tcW w:w="1701" w:type="dxa"/>
            <w:vAlign w:val="bottom"/>
          </w:tcPr>
          <w:p w14:paraId="16D0840D"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123.926 € </w:t>
            </w:r>
          </w:p>
        </w:tc>
        <w:tc>
          <w:tcPr>
            <w:tcW w:w="1701" w:type="dxa"/>
            <w:shd w:val="clear" w:color="auto" w:fill="auto"/>
            <w:vAlign w:val="bottom"/>
          </w:tcPr>
          <w:p w14:paraId="5866980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112.054 € </w:t>
            </w:r>
          </w:p>
        </w:tc>
        <w:tc>
          <w:tcPr>
            <w:tcW w:w="1814" w:type="dxa"/>
            <w:vAlign w:val="bottom"/>
          </w:tcPr>
          <w:p w14:paraId="72E30BF2" w14:textId="340BB42A"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132.278 € </w:t>
            </w:r>
          </w:p>
        </w:tc>
      </w:tr>
      <w:tr w:rsidR="007D575E" w14:paraId="0D282841" w14:textId="77777777">
        <w:trPr>
          <w:trHeight w:val="226"/>
        </w:trPr>
        <w:tc>
          <w:tcPr>
            <w:tcW w:w="2117" w:type="dxa"/>
            <w:shd w:val="clear" w:color="auto" w:fill="auto"/>
            <w:vAlign w:val="bottom"/>
          </w:tcPr>
          <w:p w14:paraId="550A00B7"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701" w:type="dxa"/>
            <w:vAlign w:val="bottom"/>
          </w:tcPr>
          <w:p w14:paraId="7BCA51A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163.352 € </w:t>
            </w:r>
          </w:p>
        </w:tc>
        <w:tc>
          <w:tcPr>
            <w:tcW w:w="1701" w:type="dxa"/>
            <w:vAlign w:val="bottom"/>
          </w:tcPr>
          <w:p w14:paraId="1BAA95EF"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122.273 € </w:t>
            </w:r>
          </w:p>
        </w:tc>
        <w:tc>
          <w:tcPr>
            <w:tcW w:w="1701" w:type="dxa"/>
            <w:shd w:val="clear" w:color="auto" w:fill="auto"/>
            <w:vAlign w:val="bottom"/>
          </w:tcPr>
          <w:p w14:paraId="7A46C2D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126.101 € </w:t>
            </w:r>
          </w:p>
        </w:tc>
        <w:tc>
          <w:tcPr>
            <w:tcW w:w="1814" w:type="dxa"/>
            <w:vAlign w:val="bottom"/>
          </w:tcPr>
          <w:p w14:paraId="07ACD9B2" w14:textId="142A462E"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184.368 € </w:t>
            </w:r>
          </w:p>
        </w:tc>
      </w:tr>
      <w:tr w:rsidR="007D575E" w14:paraId="39B05E32" w14:textId="77777777">
        <w:trPr>
          <w:trHeight w:val="226"/>
        </w:trPr>
        <w:tc>
          <w:tcPr>
            <w:tcW w:w="2117" w:type="dxa"/>
            <w:shd w:val="clear" w:color="auto" w:fill="auto"/>
            <w:vAlign w:val="bottom"/>
          </w:tcPr>
          <w:p w14:paraId="589D0DFE"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701" w:type="dxa"/>
            <w:vAlign w:val="bottom"/>
          </w:tcPr>
          <w:p w14:paraId="1C2EB4F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176.237 € </w:t>
            </w:r>
          </w:p>
        </w:tc>
        <w:tc>
          <w:tcPr>
            <w:tcW w:w="1701" w:type="dxa"/>
            <w:vAlign w:val="bottom"/>
          </w:tcPr>
          <w:p w14:paraId="46E0826D"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121.552 € </w:t>
            </w:r>
          </w:p>
        </w:tc>
        <w:tc>
          <w:tcPr>
            <w:tcW w:w="1701" w:type="dxa"/>
            <w:shd w:val="clear" w:color="auto" w:fill="auto"/>
            <w:vAlign w:val="bottom"/>
          </w:tcPr>
          <w:p w14:paraId="2DF8799F"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101.906 € </w:t>
            </w:r>
          </w:p>
        </w:tc>
        <w:tc>
          <w:tcPr>
            <w:tcW w:w="1814" w:type="dxa"/>
            <w:vAlign w:val="bottom"/>
          </w:tcPr>
          <w:p w14:paraId="305EA36D" w14:textId="2241A757"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123.016 € </w:t>
            </w:r>
          </w:p>
        </w:tc>
      </w:tr>
      <w:tr w:rsidR="007D575E" w14:paraId="368D7832" w14:textId="77777777">
        <w:trPr>
          <w:trHeight w:val="226"/>
        </w:trPr>
        <w:tc>
          <w:tcPr>
            <w:tcW w:w="2117" w:type="dxa"/>
            <w:shd w:val="clear" w:color="auto" w:fill="auto"/>
            <w:vAlign w:val="bottom"/>
          </w:tcPr>
          <w:p w14:paraId="3E1A7696"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701" w:type="dxa"/>
            <w:vAlign w:val="bottom"/>
          </w:tcPr>
          <w:p w14:paraId="18442AD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 </w:t>
            </w:r>
          </w:p>
        </w:tc>
        <w:tc>
          <w:tcPr>
            <w:tcW w:w="1701" w:type="dxa"/>
            <w:vAlign w:val="bottom"/>
          </w:tcPr>
          <w:p w14:paraId="0A2C457D"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105.814 € </w:t>
            </w:r>
          </w:p>
        </w:tc>
        <w:tc>
          <w:tcPr>
            <w:tcW w:w="1701" w:type="dxa"/>
            <w:shd w:val="clear" w:color="auto" w:fill="auto"/>
            <w:vAlign w:val="bottom"/>
          </w:tcPr>
          <w:p w14:paraId="5F72758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93.815 € </w:t>
            </w:r>
          </w:p>
        </w:tc>
        <w:tc>
          <w:tcPr>
            <w:tcW w:w="1814" w:type="dxa"/>
            <w:vAlign w:val="bottom"/>
          </w:tcPr>
          <w:p w14:paraId="45144AFC" w14:textId="3DFB0C08"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108.339 € </w:t>
            </w:r>
          </w:p>
        </w:tc>
      </w:tr>
      <w:tr w:rsidR="007D575E" w14:paraId="65182A4A" w14:textId="77777777">
        <w:trPr>
          <w:trHeight w:val="226"/>
        </w:trPr>
        <w:tc>
          <w:tcPr>
            <w:tcW w:w="2117" w:type="dxa"/>
            <w:shd w:val="clear" w:color="auto" w:fill="auto"/>
            <w:vAlign w:val="bottom"/>
          </w:tcPr>
          <w:p w14:paraId="6C48D70D"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701" w:type="dxa"/>
            <w:vAlign w:val="bottom"/>
          </w:tcPr>
          <w:p w14:paraId="416EF31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 </w:t>
            </w:r>
          </w:p>
        </w:tc>
        <w:tc>
          <w:tcPr>
            <w:tcW w:w="1701" w:type="dxa"/>
            <w:vAlign w:val="bottom"/>
          </w:tcPr>
          <w:p w14:paraId="5870FD24"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112.891 € </w:t>
            </w:r>
          </w:p>
        </w:tc>
        <w:tc>
          <w:tcPr>
            <w:tcW w:w="1701" w:type="dxa"/>
            <w:shd w:val="clear" w:color="auto" w:fill="auto"/>
            <w:vAlign w:val="bottom"/>
          </w:tcPr>
          <w:p w14:paraId="01AC3FF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100.239 € </w:t>
            </w:r>
          </w:p>
        </w:tc>
        <w:tc>
          <w:tcPr>
            <w:tcW w:w="1814" w:type="dxa"/>
            <w:vAlign w:val="bottom"/>
          </w:tcPr>
          <w:p w14:paraId="481EEA87" w14:textId="7AEA5A38"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125.194 € </w:t>
            </w:r>
          </w:p>
        </w:tc>
      </w:tr>
      <w:tr w:rsidR="007D575E" w14:paraId="751BD8CC" w14:textId="77777777">
        <w:trPr>
          <w:trHeight w:val="226"/>
        </w:trPr>
        <w:tc>
          <w:tcPr>
            <w:tcW w:w="2117" w:type="dxa"/>
            <w:shd w:val="clear" w:color="auto" w:fill="auto"/>
            <w:vAlign w:val="bottom"/>
          </w:tcPr>
          <w:p w14:paraId="6B1B4347"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0FF0F84D"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351.301 € </w:t>
            </w:r>
          </w:p>
        </w:tc>
        <w:tc>
          <w:tcPr>
            <w:tcW w:w="1701" w:type="dxa"/>
            <w:vAlign w:val="bottom"/>
          </w:tcPr>
          <w:p w14:paraId="2A725F0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256.156 € </w:t>
            </w:r>
          </w:p>
        </w:tc>
        <w:tc>
          <w:tcPr>
            <w:tcW w:w="1701" w:type="dxa"/>
            <w:shd w:val="clear" w:color="auto" w:fill="auto"/>
            <w:vAlign w:val="bottom"/>
          </w:tcPr>
          <w:p w14:paraId="00B4DDE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355.218 € </w:t>
            </w:r>
          </w:p>
        </w:tc>
        <w:tc>
          <w:tcPr>
            <w:tcW w:w="1814" w:type="dxa"/>
            <w:vAlign w:val="bottom"/>
          </w:tcPr>
          <w:p w14:paraId="35B17D2C" w14:textId="4AEFAD81"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366.148 € </w:t>
            </w:r>
          </w:p>
        </w:tc>
      </w:tr>
      <w:tr w:rsidR="007D575E" w14:paraId="5AE38F5D" w14:textId="77777777">
        <w:trPr>
          <w:trHeight w:val="226"/>
        </w:trPr>
        <w:tc>
          <w:tcPr>
            <w:tcW w:w="2117" w:type="dxa"/>
            <w:shd w:val="clear" w:color="auto" w:fill="auto"/>
            <w:vAlign w:val="bottom"/>
          </w:tcPr>
          <w:p w14:paraId="4859114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701" w:type="dxa"/>
            <w:vAlign w:val="bottom"/>
          </w:tcPr>
          <w:p w14:paraId="1BF8C4B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323.229 € </w:t>
            </w:r>
          </w:p>
        </w:tc>
        <w:tc>
          <w:tcPr>
            <w:tcW w:w="1701" w:type="dxa"/>
            <w:vAlign w:val="bottom"/>
          </w:tcPr>
          <w:p w14:paraId="319F2D8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253.226 € </w:t>
            </w:r>
          </w:p>
        </w:tc>
        <w:tc>
          <w:tcPr>
            <w:tcW w:w="1701" w:type="dxa"/>
            <w:shd w:val="clear" w:color="auto" w:fill="auto"/>
            <w:vAlign w:val="bottom"/>
          </w:tcPr>
          <w:p w14:paraId="42A2120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254.960 € </w:t>
            </w:r>
          </w:p>
        </w:tc>
        <w:tc>
          <w:tcPr>
            <w:tcW w:w="1814" w:type="dxa"/>
            <w:vAlign w:val="bottom"/>
          </w:tcPr>
          <w:p w14:paraId="5E9A2753" w14:textId="1B37D7AC"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288.244 € </w:t>
            </w:r>
          </w:p>
        </w:tc>
      </w:tr>
      <w:tr w:rsidR="007D575E" w14:paraId="49BDF297" w14:textId="77777777">
        <w:trPr>
          <w:trHeight w:val="226"/>
        </w:trPr>
        <w:tc>
          <w:tcPr>
            <w:tcW w:w="2117" w:type="dxa"/>
            <w:shd w:val="clear" w:color="auto" w:fill="auto"/>
            <w:vAlign w:val="bottom"/>
          </w:tcPr>
          <w:p w14:paraId="66FFD86C"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701" w:type="dxa"/>
            <w:vAlign w:val="bottom"/>
          </w:tcPr>
          <w:p w14:paraId="001E87D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203.485 € </w:t>
            </w:r>
          </w:p>
        </w:tc>
        <w:tc>
          <w:tcPr>
            <w:tcW w:w="1701" w:type="dxa"/>
            <w:vAlign w:val="bottom"/>
          </w:tcPr>
          <w:p w14:paraId="2E4D3BF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142.768 € </w:t>
            </w:r>
          </w:p>
        </w:tc>
        <w:tc>
          <w:tcPr>
            <w:tcW w:w="1701" w:type="dxa"/>
            <w:shd w:val="clear" w:color="auto" w:fill="auto"/>
            <w:vAlign w:val="bottom"/>
          </w:tcPr>
          <w:p w14:paraId="640125F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142.955 € </w:t>
            </w:r>
          </w:p>
        </w:tc>
        <w:tc>
          <w:tcPr>
            <w:tcW w:w="1814" w:type="dxa"/>
            <w:vAlign w:val="bottom"/>
          </w:tcPr>
          <w:p w14:paraId="1B19D99C" w14:textId="33FBA1C4"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151.264 € </w:t>
            </w:r>
          </w:p>
        </w:tc>
      </w:tr>
      <w:tr w:rsidR="007D575E" w14:paraId="29C2406B" w14:textId="77777777">
        <w:trPr>
          <w:trHeight w:val="226"/>
        </w:trPr>
        <w:tc>
          <w:tcPr>
            <w:tcW w:w="2117" w:type="dxa"/>
            <w:shd w:val="clear" w:color="auto" w:fill="auto"/>
            <w:vAlign w:val="bottom"/>
          </w:tcPr>
          <w:p w14:paraId="1710582F"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701" w:type="dxa"/>
            <w:vAlign w:val="bottom"/>
          </w:tcPr>
          <w:p w14:paraId="6913C7E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156.371 € </w:t>
            </w:r>
          </w:p>
        </w:tc>
        <w:tc>
          <w:tcPr>
            <w:tcW w:w="1701" w:type="dxa"/>
            <w:vAlign w:val="bottom"/>
          </w:tcPr>
          <w:p w14:paraId="36E9F2E4"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115.534 € </w:t>
            </w:r>
          </w:p>
        </w:tc>
        <w:tc>
          <w:tcPr>
            <w:tcW w:w="1701" w:type="dxa"/>
            <w:shd w:val="clear" w:color="auto" w:fill="auto"/>
            <w:vAlign w:val="bottom"/>
          </w:tcPr>
          <w:p w14:paraId="4817F13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103.415 € </w:t>
            </w:r>
          </w:p>
        </w:tc>
        <w:tc>
          <w:tcPr>
            <w:tcW w:w="1814" w:type="dxa"/>
            <w:vAlign w:val="bottom"/>
          </w:tcPr>
          <w:p w14:paraId="598DA365" w14:textId="73A2B1A8"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112.341 € </w:t>
            </w:r>
          </w:p>
        </w:tc>
      </w:tr>
      <w:tr w:rsidR="007D575E" w14:paraId="61448AF6" w14:textId="77777777">
        <w:trPr>
          <w:trHeight w:val="226"/>
        </w:trPr>
        <w:tc>
          <w:tcPr>
            <w:tcW w:w="2117" w:type="dxa"/>
            <w:shd w:val="clear" w:color="auto" w:fill="auto"/>
            <w:vAlign w:val="bottom"/>
          </w:tcPr>
          <w:p w14:paraId="1C2E23D6"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701" w:type="dxa"/>
            <w:vAlign w:val="bottom"/>
          </w:tcPr>
          <w:p w14:paraId="31218FD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261.320 € </w:t>
            </w:r>
          </w:p>
        </w:tc>
        <w:tc>
          <w:tcPr>
            <w:tcW w:w="1701" w:type="dxa"/>
            <w:vAlign w:val="bottom"/>
          </w:tcPr>
          <w:p w14:paraId="6F98602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168.351 € </w:t>
            </w:r>
          </w:p>
        </w:tc>
        <w:tc>
          <w:tcPr>
            <w:tcW w:w="1701" w:type="dxa"/>
            <w:shd w:val="clear" w:color="auto" w:fill="auto"/>
            <w:vAlign w:val="bottom"/>
          </w:tcPr>
          <w:p w14:paraId="43ACCC3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178.981 € </w:t>
            </w:r>
          </w:p>
        </w:tc>
        <w:tc>
          <w:tcPr>
            <w:tcW w:w="1814" w:type="dxa"/>
            <w:vAlign w:val="bottom"/>
          </w:tcPr>
          <w:p w14:paraId="57227DE4" w14:textId="1715181B"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234.759 € </w:t>
            </w:r>
          </w:p>
        </w:tc>
      </w:tr>
      <w:tr w:rsidR="007D575E" w14:paraId="7F252A55" w14:textId="77777777">
        <w:trPr>
          <w:trHeight w:val="226"/>
        </w:trPr>
        <w:tc>
          <w:tcPr>
            <w:tcW w:w="2117" w:type="dxa"/>
            <w:shd w:val="clear" w:color="auto" w:fill="auto"/>
            <w:vAlign w:val="bottom"/>
          </w:tcPr>
          <w:p w14:paraId="1D93F83B"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701" w:type="dxa"/>
            <w:vAlign w:val="bottom"/>
          </w:tcPr>
          <w:p w14:paraId="50A6A26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168.980 € </w:t>
            </w:r>
          </w:p>
        </w:tc>
        <w:tc>
          <w:tcPr>
            <w:tcW w:w="1701" w:type="dxa"/>
            <w:vAlign w:val="bottom"/>
          </w:tcPr>
          <w:p w14:paraId="23B0773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104.983 € </w:t>
            </w:r>
          </w:p>
        </w:tc>
        <w:tc>
          <w:tcPr>
            <w:tcW w:w="1701" w:type="dxa"/>
            <w:shd w:val="clear" w:color="auto" w:fill="auto"/>
            <w:vAlign w:val="bottom"/>
          </w:tcPr>
          <w:p w14:paraId="43DA959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99.739 € </w:t>
            </w:r>
          </w:p>
        </w:tc>
        <w:tc>
          <w:tcPr>
            <w:tcW w:w="1814" w:type="dxa"/>
            <w:vAlign w:val="bottom"/>
          </w:tcPr>
          <w:p w14:paraId="33A940BC" w14:textId="0595AB4B"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113.097 € </w:t>
            </w:r>
          </w:p>
        </w:tc>
      </w:tr>
      <w:tr w:rsidR="007D575E" w14:paraId="5B30AFBA" w14:textId="77777777">
        <w:trPr>
          <w:trHeight w:val="226"/>
        </w:trPr>
        <w:tc>
          <w:tcPr>
            <w:tcW w:w="2117" w:type="dxa"/>
            <w:shd w:val="clear" w:color="auto" w:fill="auto"/>
            <w:vAlign w:val="bottom"/>
          </w:tcPr>
          <w:p w14:paraId="4FD60E5E"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701" w:type="dxa"/>
            <w:vAlign w:val="bottom"/>
          </w:tcPr>
          <w:p w14:paraId="61F1FFF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170.051 € </w:t>
            </w:r>
          </w:p>
        </w:tc>
        <w:tc>
          <w:tcPr>
            <w:tcW w:w="1701" w:type="dxa"/>
            <w:vAlign w:val="bottom"/>
          </w:tcPr>
          <w:p w14:paraId="1BF696E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116.351 € </w:t>
            </w:r>
          </w:p>
        </w:tc>
        <w:tc>
          <w:tcPr>
            <w:tcW w:w="1701" w:type="dxa"/>
            <w:shd w:val="clear" w:color="auto" w:fill="auto"/>
            <w:vAlign w:val="bottom"/>
          </w:tcPr>
          <w:p w14:paraId="5E08F244"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100.426 € </w:t>
            </w:r>
          </w:p>
        </w:tc>
        <w:tc>
          <w:tcPr>
            <w:tcW w:w="1814" w:type="dxa"/>
            <w:vAlign w:val="bottom"/>
          </w:tcPr>
          <w:p w14:paraId="1842F153" w14:textId="757F71EC"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109.696 € </w:t>
            </w:r>
          </w:p>
        </w:tc>
      </w:tr>
      <w:tr w:rsidR="007D575E" w14:paraId="710F6651" w14:textId="77777777">
        <w:trPr>
          <w:trHeight w:val="226"/>
        </w:trPr>
        <w:tc>
          <w:tcPr>
            <w:tcW w:w="2117" w:type="dxa"/>
            <w:shd w:val="clear" w:color="auto" w:fill="auto"/>
            <w:vAlign w:val="bottom"/>
          </w:tcPr>
          <w:p w14:paraId="75D263B6"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701" w:type="dxa"/>
            <w:vAlign w:val="bottom"/>
          </w:tcPr>
          <w:p w14:paraId="2348219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189.575 € </w:t>
            </w:r>
          </w:p>
        </w:tc>
        <w:tc>
          <w:tcPr>
            <w:tcW w:w="1701" w:type="dxa"/>
            <w:vAlign w:val="bottom"/>
          </w:tcPr>
          <w:p w14:paraId="213DB46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125.990 € </w:t>
            </w:r>
          </w:p>
        </w:tc>
        <w:tc>
          <w:tcPr>
            <w:tcW w:w="1701" w:type="dxa"/>
            <w:shd w:val="clear" w:color="auto" w:fill="auto"/>
            <w:vAlign w:val="bottom"/>
          </w:tcPr>
          <w:p w14:paraId="573E109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120.240 € </w:t>
            </w:r>
          </w:p>
        </w:tc>
        <w:tc>
          <w:tcPr>
            <w:tcW w:w="1814" w:type="dxa"/>
            <w:vAlign w:val="bottom"/>
          </w:tcPr>
          <w:p w14:paraId="030EFD13" w14:textId="4DF982EF"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133.042 € </w:t>
            </w:r>
          </w:p>
        </w:tc>
      </w:tr>
      <w:tr w:rsidR="007D575E" w14:paraId="5FFD0628" w14:textId="77777777">
        <w:trPr>
          <w:trHeight w:val="226"/>
        </w:trPr>
        <w:tc>
          <w:tcPr>
            <w:tcW w:w="2117" w:type="dxa"/>
            <w:shd w:val="clear" w:color="auto" w:fill="auto"/>
            <w:vAlign w:val="bottom"/>
          </w:tcPr>
          <w:p w14:paraId="76D515E7"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701" w:type="dxa"/>
            <w:vAlign w:val="bottom"/>
          </w:tcPr>
          <w:p w14:paraId="67B6460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 </w:t>
            </w:r>
          </w:p>
        </w:tc>
        <w:tc>
          <w:tcPr>
            <w:tcW w:w="1701" w:type="dxa"/>
            <w:vAlign w:val="bottom"/>
          </w:tcPr>
          <w:p w14:paraId="56A8CE1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105.085 € </w:t>
            </w:r>
          </w:p>
        </w:tc>
        <w:tc>
          <w:tcPr>
            <w:tcW w:w="1701" w:type="dxa"/>
            <w:shd w:val="clear" w:color="auto" w:fill="auto"/>
            <w:vAlign w:val="bottom"/>
          </w:tcPr>
          <w:p w14:paraId="24F7ED0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106.670 € </w:t>
            </w:r>
          </w:p>
        </w:tc>
        <w:tc>
          <w:tcPr>
            <w:tcW w:w="1814" w:type="dxa"/>
            <w:vAlign w:val="bottom"/>
          </w:tcPr>
          <w:p w14:paraId="564CEBC0" w14:textId="223BB08F"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118.155 € </w:t>
            </w:r>
          </w:p>
        </w:tc>
      </w:tr>
      <w:tr w:rsidR="007D575E" w14:paraId="42056498" w14:textId="77777777">
        <w:trPr>
          <w:trHeight w:val="226"/>
        </w:trPr>
        <w:tc>
          <w:tcPr>
            <w:tcW w:w="2117" w:type="dxa"/>
            <w:shd w:val="clear" w:color="auto" w:fill="auto"/>
            <w:vAlign w:val="bottom"/>
          </w:tcPr>
          <w:p w14:paraId="08E20B7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62DEB36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434.531 € </w:t>
            </w:r>
          </w:p>
        </w:tc>
        <w:tc>
          <w:tcPr>
            <w:tcW w:w="1701" w:type="dxa"/>
            <w:vAlign w:val="bottom"/>
          </w:tcPr>
          <w:p w14:paraId="1494D10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334.033 € </w:t>
            </w:r>
          </w:p>
        </w:tc>
        <w:tc>
          <w:tcPr>
            <w:tcW w:w="1701" w:type="dxa"/>
            <w:shd w:val="clear" w:color="auto" w:fill="auto"/>
            <w:vAlign w:val="bottom"/>
          </w:tcPr>
          <w:p w14:paraId="2C23E13F"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393.177 € </w:t>
            </w:r>
          </w:p>
        </w:tc>
        <w:tc>
          <w:tcPr>
            <w:tcW w:w="1814" w:type="dxa"/>
            <w:vAlign w:val="bottom"/>
          </w:tcPr>
          <w:p w14:paraId="7784F058" w14:textId="4CDF6A1C"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488.461 € </w:t>
            </w:r>
          </w:p>
        </w:tc>
      </w:tr>
      <w:tr w:rsidR="007D575E" w14:paraId="71EDFB8A" w14:textId="77777777">
        <w:trPr>
          <w:trHeight w:val="226"/>
        </w:trPr>
        <w:tc>
          <w:tcPr>
            <w:tcW w:w="2117" w:type="dxa"/>
            <w:shd w:val="clear" w:color="auto" w:fill="auto"/>
            <w:vAlign w:val="bottom"/>
          </w:tcPr>
          <w:p w14:paraId="63F0E22D"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701" w:type="dxa"/>
            <w:vAlign w:val="bottom"/>
          </w:tcPr>
          <w:p w14:paraId="2B21B2B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243.456 € </w:t>
            </w:r>
          </w:p>
        </w:tc>
        <w:tc>
          <w:tcPr>
            <w:tcW w:w="1701" w:type="dxa"/>
            <w:vAlign w:val="bottom"/>
          </w:tcPr>
          <w:p w14:paraId="46D1CC34"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148.761 € </w:t>
            </w:r>
          </w:p>
        </w:tc>
        <w:tc>
          <w:tcPr>
            <w:tcW w:w="1701" w:type="dxa"/>
            <w:shd w:val="clear" w:color="auto" w:fill="auto"/>
            <w:vAlign w:val="bottom"/>
          </w:tcPr>
          <w:p w14:paraId="7993C9C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175.827 € </w:t>
            </w:r>
          </w:p>
        </w:tc>
        <w:tc>
          <w:tcPr>
            <w:tcW w:w="1814" w:type="dxa"/>
            <w:vAlign w:val="bottom"/>
          </w:tcPr>
          <w:p w14:paraId="35B167F5" w14:textId="5A84DCD4"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216.961 € </w:t>
            </w:r>
          </w:p>
        </w:tc>
      </w:tr>
      <w:tr w:rsidR="007D575E" w14:paraId="40D6CE76" w14:textId="77777777">
        <w:trPr>
          <w:trHeight w:val="226"/>
        </w:trPr>
        <w:tc>
          <w:tcPr>
            <w:tcW w:w="2117" w:type="dxa"/>
            <w:shd w:val="clear" w:color="auto" w:fill="auto"/>
            <w:vAlign w:val="bottom"/>
          </w:tcPr>
          <w:p w14:paraId="51D7DFA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701" w:type="dxa"/>
            <w:vAlign w:val="bottom"/>
          </w:tcPr>
          <w:p w14:paraId="61AC1A0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200.336 € </w:t>
            </w:r>
          </w:p>
        </w:tc>
        <w:tc>
          <w:tcPr>
            <w:tcW w:w="1701" w:type="dxa"/>
            <w:vAlign w:val="bottom"/>
          </w:tcPr>
          <w:p w14:paraId="227065C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134.136 € </w:t>
            </w:r>
          </w:p>
        </w:tc>
        <w:tc>
          <w:tcPr>
            <w:tcW w:w="1701" w:type="dxa"/>
            <w:shd w:val="clear" w:color="auto" w:fill="auto"/>
            <w:vAlign w:val="bottom"/>
          </w:tcPr>
          <w:p w14:paraId="4CFC485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152.229 € </w:t>
            </w:r>
          </w:p>
        </w:tc>
        <w:tc>
          <w:tcPr>
            <w:tcW w:w="1814" w:type="dxa"/>
            <w:vAlign w:val="bottom"/>
          </w:tcPr>
          <w:p w14:paraId="057050C2" w14:textId="6AA4566A"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186.579 € </w:t>
            </w:r>
          </w:p>
        </w:tc>
      </w:tr>
      <w:tr w:rsidR="007D575E" w14:paraId="124FFD81" w14:textId="77777777">
        <w:trPr>
          <w:trHeight w:val="226"/>
        </w:trPr>
        <w:tc>
          <w:tcPr>
            <w:tcW w:w="2117" w:type="dxa"/>
            <w:shd w:val="clear" w:color="auto" w:fill="auto"/>
            <w:vAlign w:val="bottom"/>
          </w:tcPr>
          <w:p w14:paraId="0BBB5040"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Guadalajara capital</w:t>
            </w:r>
          </w:p>
        </w:tc>
        <w:tc>
          <w:tcPr>
            <w:tcW w:w="1701" w:type="dxa"/>
            <w:vAlign w:val="bottom"/>
          </w:tcPr>
          <w:p w14:paraId="2C02506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206.586 € </w:t>
            </w:r>
          </w:p>
        </w:tc>
        <w:tc>
          <w:tcPr>
            <w:tcW w:w="1701" w:type="dxa"/>
            <w:vAlign w:val="bottom"/>
          </w:tcPr>
          <w:p w14:paraId="6FD2B51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117.157 € </w:t>
            </w:r>
          </w:p>
        </w:tc>
        <w:tc>
          <w:tcPr>
            <w:tcW w:w="1701" w:type="dxa"/>
            <w:shd w:val="clear" w:color="auto" w:fill="auto"/>
            <w:vAlign w:val="bottom"/>
          </w:tcPr>
          <w:p w14:paraId="017A060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121.449 € </w:t>
            </w:r>
          </w:p>
        </w:tc>
        <w:tc>
          <w:tcPr>
            <w:tcW w:w="1814" w:type="dxa"/>
            <w:vAlign w:val="bottom"/>
          </w:tcPr>
          <w:p w14:paraId="41451554" w14:textId="718D7347"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142.814 € </w:t>
            </w:r>
          </w:p>
        </w:tc>
      </w:tr>
      <w:tr w:rsidR="007D575E" w14:paraId="68A8BDE2" w14:textId="77777777">
        <w:trPr>
          <w:trHeight w:val="226"/>
        </w:trPr>
        <w:tc>
          <w:tcPr>
            <w:tcW w:w="2117" w:type="dxa"/>
            <w:shd w:val="clear" w:color="auto" w:fill="auto"/>
            <w:vAlign w:val="bottom"/>
          </w:tcPr>
          <w:p w14:paraId="21BCEF7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701" w:type="dxa"/>
            <w:vAlign w:val="bottom"/>
          </w:tcPr>
          <w:p w14:paraId="683B8B8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155.229 € </w:t>
            </w:r>
          </w:p>
        </w:tc>
        <w:tc>
          <w:tcPr>
            <w:tcW w:w="1701" w:type="dxa"/>
            <w:vAlign w:val="bottom"/>
          </w:tcPr>
          <w:p w14:paraId="4F63EDE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107.734 € </w:t>
            </w:r>
          </w:p>
        </w:tc>
        <w:tc>
          <w:tcPr>
            <w:tcW w:w="1701" w:type="dxa"/>
            <w:shd w:val="clear" w:color="auto" w:fill="auto"/>
            <w:vAlign w:val="bottom"/>
          </w:tcPr>
          <w:p w14:paraId="47AB153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95.392 € </w:t>
            </w:r>
          </w:p>
        </w:tc>
        <w:tc>
          <w:tcPr>
            <w:tcW w:w="1814" w:type="dxa"/>
            <w:vAlign w:val="bottom"/>
          </w:tcPr>
          <w:p w14:paraId="095A4F81" w14:textId="5481F1F5"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114.031 € </w:t>
            </w:r>
          </w:p>
        </w:tc>
      </w:tr>
      <w:tr w:rsidR="007D575E" w14:paraId="7D7888FD" w14:textId="77777777">
        <w:trPr>
          <w:trHeight w:val="226"/>
        </w:trPr>
        <w:tc>
          <w:tcPr>
            <w:tcW w:w="2117" w:type="dxa"/>
            <w:shd w:val="clear" w:color="auto" w:fill="auto"/>
            <w:vAlign w:val="bottom"/>
          </w:tcPr>
          <w:p w14:paraId="2C8985E2"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701" w:type="dxa"/>
            <w:vAlign w:val="bottom"/>
          </w:tcPr>
          <w:p w14:paraId="32E1EF7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182.274 € </w:t>
            </w:r>
          </w:p>
        </w:tc>
        <w:tc>
          <w:tcPr>
            <w:tcW w:w="1701" w:type="dxa"/>
            <w:vAlign w:val="bottom"/>
          </w:tcPr>
          <w:p w14:paraId="20AC833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119.134 € </w:t>
            </w:r>
          </w:p>
        </w:tc>
        <w:tc>
          <w:tcPr>
            <w:tcW w:w="1701" w:type="dxa"/>
            <w:shd w:val="clear" w:color="auto" w:fill="auto"/>
            <w:vAlign w:val="bottom"/>
          </w:tcPr>
          <w:p w14:paraId="1531DC4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117.393 € </w:t>
            </w:r>
          </w:p>
        </w:tc>
        <w:tc>
          <w:tcPr>
            <w:tcW w:w="1814" w:type="dxa"/>
            <w:vAlign w:val="bottom"/>
          </w:tcPr>
          <w:p w14:paraId="34DC2B5E" w14:textId="6FBE166C"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137.177 € </w:t>
            </w:r>
          </w:p>
        </w:tc>
      </w:tr>
      <w:tr w:rsidR="007D575E" w14:paraId="5CFD3155" w14:textId="77777777">
        <w:trPr>
          <w:trHeight w:val="226"/>
        </w:trPr>
        <w:tc>
          <w:tcPr>
            <w:tcW w:w="2117" w:type="dxa"/>
            <w:shd w:val="clear" w:color="auto" w:fill="auto"/>
            <w:vAlign w:val="bottom"/>
          </w:tcPr>
          <w:p w14:paraId="142C5BEE"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701" w:type="dxa"/>
            <w:vAlign w:val="bottom"/>
          </w:tcPr>
          <w:p w14:paraId="04CF836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170.053 € </w:t>
            </w:r>
          </w:p>
        </w:tc>
        <w:tc>
          <w:tcPr>
            <w:tcW w:w="1701" w:type="dxa"/>
            <w:vAlign w:val="bottom"/>
          </w:tcPr>
          <w:p w14:paraId="27F15E1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120.987 € </w:t>
            </w:r>
          </w:p>
        </w:tc>
        <w:tc>
          <w:tcPr>
            <w:tcW w:w="1701" w:type="dxa"/>
            <w:shd w:val="clear" w:color="auto" w:fill="auto"/>
            <w:vAlign w:val="bottom"/>
          </w:tcPr>
          <w:p w14:paraId="71B25C8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102.067 € </w:t>
            </w:r>
          </w:p>
        </w:tc>
        <w:tc>
          <w:tcPr>
            <w:tcW w:w="1814" w:type="dxa"/>
            <w:vAlign w:val="bottom"/>
          </w:tcPr>
          <w:p w14:paraId="6293D91E" w14:textId="44A5253A"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107.873 € </w:t>
            </w:r>
          </w:p>
        </w:tc>
      </w:tr>
      <w:tr w:rsidR="007D575E" w14:paraId="6C176764" w14:textId="77777777">
        <w:trPr>
          <w:trHeight w:val="226"/>
        </w:trPr>
        <w:tc>
          <w:tcPr>
            <w:tcW w:w="2117" w:type="dxa"/>
            <w:shd w:val="clear" w:color="auto" w:fill="auto"/>
            <w:vAlign w:val="bottom"/>
          </w:tcPr>
          <w:p w14:paraId="785A771F"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701" w:type="dxa"/>
            <w:vAlign w:val="bottom"/>
          </w:tcPr>
          <w:p w14:paraId="4198DA0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179.806 € </w:t>
            </w:r>
          </w:p>
        </w:tc>
        <w:tc>
          <w:tcPr>
            <w:tcW w:w="1701" w:type="dxa"/>
            <w:vAlign w:val="bottom"/>
          </w:tcPr>
          <w:p w14:paraId="1FF0D21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126.636 € </w:t>
            </w:r>
          </w:p>
        </w:tc>
        <w:tc>
          <w:tcPr>
            <w:tcW w:w="1701" w:type="dxa"/>
            <w:shd w:val="clear" w:color="auto" w:fill="auto"/>
            <w:vAlign w:val="bottom"/>
          </w:tcPr>
          <w:p w14:paraId="74B8F294"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159.067 € </w:t>
            </w:r>
          </w:p>
        </w:tc>
        <w:tc>
          <w:tcPr>
            <w:tcW w:w="1814" w:type="dxa"/>
            <w:vAlign w:val="bottom"/>
          </w:tcPr>
          <w:p w14:paraId="763F0E60" w14:textId="11DE86CB"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196.181 € </w:t>
            </w:r>
          </w:p>
        </w:tc>
      </w:tr>
      <w:tr w:rsidR="007D575E" w14:paraId="7BC81105" w14:textId="77777777">
        <w:trPr>
          <w:trHeight w:val="226"/>
        </w:trPr>
        <w:tc>
          <w:tcPr>
            <w:tcW w:w="2117" w:type="dxa"/>
            <w:shd w:val="clear" w:color="auto" w:fill="auto"/>
            <w:vAlign w:val="bottom"/>
          </w:tcPr>
          <w:p w14:paraId="58E6648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701" w:type="dxa"/>
            <w:vAlign w:val="bottom"/>
          </w:tcPr>
          <w:p w14:paraId="19ABA354"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166.388 € </w:t>
            </w:r>
          </w:p>
        </w:tc>
        <w:tc>
          <w:tcPr>
            <w:tcW w:w="1701" w:type="dxa"/>
            <w:vAlign w:val="bottom"/>
          </w:tcPr>
          <w:p w14:paraId="68A592E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124.772 € </w:t>
            </w:r>
          </w:p>
        </w:tc>
        <w:tc>
          <w:tcPr>
            <w:tcW w:w="1701" w:type="dxa"/>
            <w:shd w:val="clear" w:color="auto" w:fill="auto"/>
            <w:vAlign w:val="bottom"/>
          </w:tcPr>
          <w:p w14:paraId="3301630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116.385 € </w:t>
            </w:r>
          </w:p>
        </w:tc>
        <w:tc>
          <w:tcPr>
            <w:tcW w:w="1814" w:type="dxa"/>
            <w:vAlign w:val="bottom"/>
          </w:tcPr>
          <w:p w14:paraId="5741362C" w14:textId="2C4F2640"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126.500 € </w:t>
            </w:r>
          </w:p>
        </w:tc>
      </w:tr>
      <w:tr w:rsidR="007D575E" w14:paraId="6A64B50F" w14:textId="77777777">
        <w:trPr>
          <w:trHeight w:val="226"/>
        </w:trPr>
        <w:tc>
          <w:tcPr>
            <w:tcW w:w="2117" w:type="dxa"/>
            <w:shd w:val="clear" w:color="auto" w:fill="auto"/>
            <w:vAlign w:val="bottom"/>
          </w:tcPr>
          <w:p w14:paraId="4541E141"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701" w:type="dxa"/>
            <w:vAlign w:val="bottom"/>
          </w:tcPr>
          <w:p w14:paraId="0B6B5EF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161.441 € </w:t>
            </w:r>
          </w:p>
        </w:tc>
        <w:tc>
          <w:tcPr>
            <w:tcW w:w="1701" w:type="dxa"/>
            <w:vAlign w:val="bottom"/>
          </w:tcPr>
          <w:p w14:paraId="312625B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99.798 € </w:t>
            </w:r>
          </w:p>
        </w:tc>
        <w:tc>
          <w:tcPr>
            <w:tcW w:w="1701" w:type="dxa"/>
            <w:shd w:val="clear" w:color="auto" w:fill="auto"/>
            <w:vAlign w:val="bottom"/>
          </w:tcPr>
          <w:p w14:paraId="1F8168A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101.477 € </w:t>
            </w:r>
          </w:p>
        </w:tc>
        <w:tc>
          <w:tcPr>
            <w:tcW w:w="1814" w:type="dxa"/>
            <w:vAlign w:val="bottom"/>
          </w:tcPr>
          <w:p w14:paraId="42985E41" w14:textId="56DA6D70"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112.490 € </w:t>
            </w:r>
          </w:p>
        </w:tc>
      </w:tr>
      <w:tr w:rsidR="007D575E" w14:paraId="6DC7B746" w14:textId="77777777">
        <w:trPr>
          <w:trHeight w:val="226"/>
        </w:trPr>
        <w:tc>
          <w:tcPr>
            <w:tcW w:w="2117" w:type="dxa"/>
            <w:shd w:val="clear" w:color="auto" w:fill="auto"/>
            <w:vAlign w:val="bottom"/>
          </w:tcPr>
          <w:p w14:paraId="3482EB4C"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701" w:type="dxa"/>
            <w:vAlign w:val="bottom"/>
          </w:tcPr>
          <w:p w14:paraId="1D899D3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196.811 € </w:t>
            </w:r>
          </w:p>
        </w:tc>
        <w:tc>
          <w:tcPr>
            <w:tcW w:w="1701" w:type="dxa"/>
            <w:vAlign w:val="bottom"/>
          </w:tcPr>
          <w:p w14:paraId="4360782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122.895 € </w:t>
            </w:r>
          </w:p>
        </w:tc>
        <w:tc>
          <w:tcPr>
            <w:tcW w:w="1701" w:type="dxa"/>
            <w:shd w:val="clear" w:color="auto" w:fill="auto"/>
            <w:vAlign w:val="bottom"/>
          </w:tcPr>
          <w:p w14:paraId="66EE6D1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129.849 € </w:t>
            </w:r>
          </w:p>
        </w:tc>
        <w:tc>
          <w:tcPr>
            <w:tcW w:w="1814" w:type="dxa"/>
            <w:vAlign w:val="bottom"/>
          </w:tcPr>
          <w:p w14:paraId="63DB43DF" w14:textId="214E42B3"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157.342 € </w:t>
            </w:r>
          </w:p>
        </w:tc>
      </w:tr>
      <w:tr w:rsidR="007D575E" w14:paraId="3ADF1911" w14:textId="77777777">
        <w:trPr>
          <w:trHeight w:val="226"/>
        </w:trPr>
        <w:tc>
          <w:tcPr>
            <w:tcW w:w="2117" w:type="dxa"/>
            <w:shd w:val="clear" w:color="auto" w:fill="auto"/>
            <w:vAlign w:val="bottom"/>
          </w:tcPr>
          <w:p w14:paraId="21CEDC89"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701" w:type="dxa"/>
            <w:vAlign w:val="bottom"/>
          </w:tcPr>
          <w:p w14:paraId="17EF410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 </w:t>
            </w:r>
          </w:p>
        </w:tc>
        <w:tc>
          <w:tcPr>
            <w:tcW w:w="1701" w:type="dxa"/>
            <w:vAlign w:val="bottom"/>
          </w:tcPr>
          <w:p w14:paraId="509E411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112.619 € </w:t>
            </w:r>
          </w:p>
        </w:tc>
        <w:tc>
          <w:tcPr>
            <w:tcW w:w="1701" w:type="dxa"/>
            <w:shd w:val="clear" w:color="auto" w:fill="auto"/>
            <w:vAlign w:val="bottom"/>
          </w:tcPr>
          <w:p w14:paraId="62332AB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105.820 € </w:t>
            </w:r>
          </w:p>
        </w:tc>
        <w:tc>
          <w:tcPr>
            <w:tcW w:w="1814" w:type="dxa"/>
            <w:vAlign w:val="bottom"/>
          </w:tcPr>
          <w:p w14:paraId="5FFAFD95" w14:textId="0614F24B"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109.846 € </w:t>
            </w:r>
          </w:p>
        </w:tc>
      </w:tr>
      <w:tr w:rsidR="007D575E" w14:paraId="3362CACA" w14:textId="77777777">
        <w:trPr>
          <w:trHeight w:val="226"/>
        </w:trPr>
        <w:tc>
          <w:tcPr>
            <w:tcW w:w="2117" w:type="dxa"/>
            <w:shd w:val="clear" w:color="auto" w:fill="auto"/>
            <w:vAlign w:val="bottom"/>
          </w:tcPr>
          <w:p w14:paraId="1BD17626"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701" w:type="dxa"/>
            <w:vAlign w:val="bottom"/>
          </w:tcPr>
          <w:p w14:paraId="4DAE428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314.437 € </w:t>
            </w:r>
          </w:p>
        </w:tc>
        <w:tc>
          <w:tcPr>
            <w:tcW w:w="1701" w:type="dxa"/>
            <w:vAlign w:val="bottom"/>
          </w:tcPr>
          <w:p w14:paraId="313B341F"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219.950 € </w:t>
            </w:r>
          </w:p>
        </w:tc>
        <w:tc>
          <w:tcPr>
            <w:tcW w:w="1701" w:type="dxa"/>
            <w:shd w:val="clear" w:color="auto" w:fill="auto"/>
            <w:vAlign w:val="bottom"/>
          </w:tcPr>
          <w:p w14:paraId="474B658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301.285 € </w:t>
            </w:r>
          </w:p>
        </w:tc>
        <w:tc>
          <w:tcPr>
            <w:tcW w:w="1814" w:type="dxa"/>
            <w:vAlign w:val="bottom"/>
          </w:tcPr>
          <w:p w14:paraId="3281A9FB" w14:textId="493B1809"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399.463 € </w:t>
            </w:r>
          </w:p>
        </w:tc>
      </w:tr>
      <w:tr w:rsidR="007D575E" w14:paraId="09051196" w14:textId="77777777">
        <w:trPr>
          <w:trHeight w:val="226"/>
        </w:trPr>
        <w:tc>
          <w:tcPr>
            <w:tcW w:w="2117" w:type="dxa"/>
            <w:shd w:val="clear" w:color="auto" w:fill="auto"/>
            <w:vAlign w:val="bottom"/>
          </w:tcPr>
          <w:p w14:paraId="700A819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701" w:type="dxa"/>
            <w:vAlign w:val="bottom"/>
          </w:tcPr>
          <w:p w14:paraId="5E1A98B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195.513 € </w:t>
            </w:r>
          </w:p>
        </w:tc>
        <w:tc>
          <w:tcPr>
            <w:tcW w:w="1701" w:type="dxa"/>
            <w:vAlign w:val="bottom"/>
          </w:tcPr>
          <w:p w14:paraId="3D62292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135.821 € </w:t>
            </w:r>
          </w:p>
        </w:tc>
        <w:tc>
          <w:tcPr>
            <w:tcW w:w="1701" w:type="dxa"/>
            <w:shd w:val="clear" w:color="auto" w:fill="auto"/>
            <w:vAlign w:val="bottom"/>
          </w:tcPr>
          <w:p w14:paraId="79D1BA9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178.768 € </w:t>
            </w:r>
          </w:p>
        </w:tc>
        <w:tc>
          <w:tcPr>
            <w:tcW w:w="1814" w:type="dxa"/>
            <w:vAlign w:val="bottom"/>
          </w:tcPr>
          <w:p w14:paraId="7DF05BF7" w14:textId="160E3EA3"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281.366 € </w:t>
            </w:r>
          </w:p>
        </w:tc>
      </w:tr>
      <w:tr w:rsidR="007D575E" w14:paraId="17D59175" w14:textId="77777777">
        <w:trPr>
          <w:trHeight w:val="226"/>
        </w:trPr>
        <w:tc>
          <w:tcPr>
            <w:tcW w:w="2117" w:type="dxa"/>
            <w:shd w:val="clear" w:color="auto" w:fill="auto"/>
            <w:vAlign w:val="bottom"/>
          </w:tcPr>
          <w:p w14:paraId="22806EE7"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701" w:type="dxa"/>
            <w:vAlign w:val="bottom"/>
          </w:tcPr>
          <w:p w14:paraId="342B4B5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165.780 € </w:t>
            </w:r>
          </w:p>
        </w:tc>
        <w:tc>
          <w:tcPr>
            <w:tcW w:w="1701" w:type="dxa"/>
            <w:vAlign w:val="bottom"/>
          </w:tcPr>
          <w:p w14:paraId="7BF7188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116.050 € </w:t>
            </w:r>
          </w:p>
        </w:tc>
        <w:tc>
          <w:tcPr>
            <w:tcW w:w="1701" w:type="dxa"/>
            <w:shd w:val="clear" w:color="auto" w:fill="auto"/>
            <w:vAlign w:val="bottom"/>
          </w:tcPr>
          <w:p w14:paraId="5174186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109.403 € </w:t>
            </w:r>
          </w:p>
        </w:tc>
        <w:tc>
          <w:tcPr>
            <w:tcW w:w="1814" w:type="dxa"/>
            <w:vAlign w:val="bottom"/>
          </w:tcPr>
          <w:p w14:paraId="6DD82378" w14:textId="10DA2BAB"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130.438 € </w:t>
            </w:r>
          </w:p>
        </w:tc>
      </w:tr>
      <w:tr w:rsidR="007D575E" w14:paraId="39465FBA" w14:textId="77777777">
        <w:trPr>
          <w:trHeight w:val="226"/>
        </w:trPr>
        <w:tc>
          <w:tcPr>
            <w:tcW w:w="2117" w:type="dxa"/>
            <w:shd w:val="clear" w:color="auto" w:fill="auto"/>
            <w:vAlign w:val="bottom"/>
          </w:tcPr>
          <w:p w14:paraId="7739E77A"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701" w:type="dxa"/>
            <w:vAlign w:val="bottom"/>
          </w:tcPr>
          <w:p w14:paraId="0372397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145.147 € </w:t>
            </w:r>
          </w:p>
        </w:tc>
        <w:tc>
          <w:tcPr>
            <w:tcW w:w="1701" w:type="dxa"/>
            <w:vAlign w:val="bottom"/>
          </w:tcPr>
          <w:p w14:paraId="5012834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130.148 € </w:t>
            </w:r>
          </w:p>
        </w:tc>
        <w:tc>
          <w:tcPr>
            <w:tcW w:w="1701" w:type="dxa"/>
            <w:shd w:val="clear" w:color="auto" w:fill="auto"/>
            <w:vAlign w:val="bottom"/>
          </w:tcPr>
          <w:p w14:paraId="71435C3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122.353 € </w:t>
            </w:r>
          </w:p>
        </w:tc>
        <w:tc>
          <w:tcPr>
            <w:tcW w:w="1814" w:type="dxa"/>
            <w:vAlign w:val="bottom"/>
          </w:tcPr>
          <w:p w14:paraId="40348104" w14:textId="08C8FC24"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127.562 € </w:t>
            </w:r>
          </w:p>
        </w:tc>
      </w:tr>
      <w:tr w:rsidR="007D575E" w14:paraId="6A976F63" w14:textId="77777777">
        <w:trPr>
          <w:trHeight w:val="226"/>
        </w:trPr>
        <w:tc>
          <w:tcPr>
            <w:tcW w:w="2117" w:type="dxa"/>
            <w:shd w:val="clear" w:color="auto" w:fill="auto"/>
            <w:vAlign w:val="bottom"/>
          </w:tcPr>
          <w:p w14:paraId="5BD34447"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701" w:type="dxa"/>
            <w:vAlign w:val="bottom"/>
          </w:tcPr>
          <w:p w14:paraId="52EF2C3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197.828 € </w:t>
            </w:r>
          </w:p>
        </w:tc>
        <w:tc>
          <w:tcPr>
            <w:tcW w:w="1701" w:type="dxa"/>
            <w:vAlign w:val="bottom"/>
          </w:tcPr>
          <w:p w14:paraId="3C80EED6"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147.744 € </w:t>
            </w:r>
          </w:p>
        </w:tc>
        <w:tc>
          <w:tcPr>
            <w:tcW w:w="1701" w:type="dxa"/>
            <w:shd w:val="clear" w:color="auto" w:fill="auto"/>
            <w:vAlign w:val="bottom"/>
          </w:tcPr>
          <w:p w14:paraId="395756F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131.180 € </w:t>
            </w:r>
          </w:p>
        </w:tc>
        <w:tc>
          <w:tcPr>
            <w:tcW w:w="1814" w:type="dxa"/>
            <w:vAlign w:val="bottom"/>
          </w:tcPr>
          <w:p w14:paraId="66AF352A" w14:textId="6A3BC2FB"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152.843 € </w:t>
            </w:r>
          </w:p>
        </w:tc>
      </w:tr>
      <w:tr w:rsidR="007D575E" w14:paraId="2C9A63FE" w14:textId="77777777">
        <w:trPr>
          <w:trHeight w:val="226"/>
        </w:trPr>
        <w:tc>
          <w:tcPr>
            <w:tcW w:w="2117" w:type="dxa"/>
            <w:shd w:val="clear" w:color="auto" w:fill="auto"/>
            <w:vAlign w:val="bottom"/>
          </w:tcPr>
          <w:p w14:paraId="4E990EB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701" w:type="dxa"/>
            <w:vAlign w:val="bottom"/>
          </w:tcPr>
          <w:p w14:paraId="60D675F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164.594 € </w:t>
            </w:r>
          </w:p>
        </w:tc>
        <w:tc>
          <w:tcPr>
            <w:tcW w:w="1701" w:type="dxa"/>
            <w:vAlign w:val="bottom"/>
          </w:tcPr>
          <w:p w14:paraId="1E779B3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133.372 € </w:t>
            </w:r>
          </w:p>
        </w:tc>
        <w:tc>
          <w:tcPr>
            <w:tcW w:w="1701" w:type="dxa"/>
            <w:shd w:val="clear" w:color="auto" w:fill="auto"/>
            <w:vAlign w:val="bottom"/>
          </w:tcPr>
          <w:p w14:paraId="6D8B09D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121.084 € </w:t>
            </w:r>
          </w:p>
        </w:tc>
        <w:tc>
          <w:tcPr>
            <w:tcW w:w="1814" w:type="dxa"/>
            <w:vAlign w:val="bottom"/>
          </w:tcPr>
          <w:p w14:paraId="0A063E8D" w14:textId="4525C04F"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118.654 € </w:t>
            </w:r>
          </w:p>
        </w:tc>
      </w:tr>
      <w:tr w:rsidR="007D575E" w14:paraId="51A366E1" w14:textId="77777777">
        <w:trPr>
          <w:trHeight w:val="226"/>
        </w:trPr>
        <w:tc>
          <w:tcPr>
            <w:tcW w:w="2117" w:type="dxa"/>
            <w:shd w:val="clear" w:color="auto" w:fill="auto"/>
            <w:vAlign w:val="bottom"/>
          </w:tcPr>
          <w:p w14:paraId="39FAC6AA"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701" w:type="dxa"/>
            <w:vAlign w:val="bottom"/>
          </w:tcPr>
          <w:p w14:paraId="64A434D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200.141 € </w:t>
            </w:r>
          </w:p>
        </w:tc>
        <w:tc>
          <w:tcPr>
            <w:tcW w:w="1701" w:type="dxa"/>
            <w:vAlign w:val="bottom"/>
          </w:tcPr>
          <w:p w14:paraId="0A8CB23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146.576 € </w:t>
            </w:r>
          </w:p>
        </w:tc>
        <w:tc>
          <w:tcPr>
            <w:tcW w:w="1701" w:type="dxa"/>
            <w:shd w:val="clear" w:color="auto" w:fill="auto"/>
            <w:vAlign w:val="bottom"/>
          </w:tcPr>
          <w:p w14:paraId="529EB19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224.312 € </w:t>
            </w:r>
          </w:p>
        </w:tc>
        <w:tc>
          <w:tcPr>
            <w:tcW w:w="1814" w:type="dxa"/>
            <w:vAlign w:val="bottom"/>
          </w:tcPr>
          <w:p w14:paraId="2D0FC91F" w14:textId="06EDAC30"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326.278 € </w:t>
            </w:r>
          </w:p>
        </w:tc>
      </w:tr>
      <w:tr w:rsidR="007D575E" w14:paraId="5805528C" w14:textId="77777777">
        <w:trPr>
          <w:trHeight w:val="226"/>
        </w:trPr>
        <w:tc>
          <w:tcPr>
            <w:tcW w:w="2117" w:type="dxa"/>
            <w:shd w:val="clear" w:color="auto" w:fill="auto"/>
            <w:vAlign w:val="bottom"/>
          </w:tcPr>
          <w:p w14:paraId="04AE9D8F"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701" w:type="dxa"/>
            <w:vAlign w:val="bottom"/>
          </w:tcPr>
          <w:p w14:paraId="39DF25E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266.926 € </w:t>
            </w:r>
          </w:p>
        </w:tc>
        <w:tc>
          <w:tcPr>
            <w:tcW w:w="1701" w:type="dxa"/>
            <w:vAlign w:val="bottom"/>
          </w:tcPr>
          <w:p w14:paraId="40BEF10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168.614 € </w:t>
            </w:r>
          </w:p>
        </w:tc>
        <w:tc>
          <w:tcPr>
            <w:tcW w:w="1701" w:type="dxa"/>
            <w:shd w:val="clear" w:color="auto" w:fill="auto"/>
            <w:vAlign w:val="bottom"/>
          </w:tcPr>
          <w:p w14:paraId="7831840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186.984 € </w:t>
            </w:r>
          </w:p>
        </w:tc>
        <w:tc>
          <w:tcPr>
            <w:tcW w:w="1814" w:type="dxa"/>
            <w:vAlign w:val="bottom"/>
          </w:tcPr>
          <w:p w14:paraId="1EA26B91" w14:textId="21BD03FA"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240.592 € </w:t>
            </w:r>
          </w:p>
        </w:tc>
      </w:tr>
      <w:tr w:rsidR="007D575E" w14:paraId="5A204C2C" w14:textId="77777777">
        <w:trPr>
          <w:trHeight w:val="226"/>
        </w:trPr>
        <w:tc>
          <w:tcPr>
            <w:tcW w:w="2117" w:type="dxa"/>
            <w:shd w:val="clear" w:color="auto" w:fill="auto"/>
            <w:vAlign w:val="bottom"/>
          </w:tcPr>
          <w:p w14:paraId="5F3C9987"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701" w:type="dxa"/>
            <w:vAlign w:val="bottom"/>
          </w:tcPr>
          <w:p w14:paraId="32DAB3A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160.266 € </w:t>
            </w:r>
          </w:p>
        </w:tc>
        <w:tc>
          <w:tcPr>
            <w:tcW w:w="1701" w:type="dxa"/>
            <w:vAlign w:val="bottom"/>
          </w:tcPr>
          <w:p w14:paraId="0B29C3F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127.947 € </w:t>
            </w:r>
          </w:p>
        </w:tc>
        <w:tc>
          <w:tcPr>
            <w:tcW w:w="1701" w:type="dxa"/>
            <w:shd w:val="clear" w:color="auto" w:fill="auto"/>
            <w:vAlign w:val="bottom"/>
          </w:tcPr>
          <w:p w14:paraId="5C4F8F1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137.878 € </w:t>
            </w:r>
          </w:p>
        </w:tc>
        <w:tc>
          <w:tcPr>
            <w:tcW w:w="1814" w:type="dxa"/>
            <w:vAlign w:val="bottom"/>
          </w:tcPr>
          <w:p w14:paraId="7331D75F" w14:textId="3487CE25"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169.192 € </w:t>
            </w:r>
          </w:p>
        </w:tc>
      </w:tr>
      <w:tr w:rsidR="007D575E" w14:paraId="643DF43C" w14:textId="77777777">
        <w:trPr>
          <w:trHeight w:val="226"/>
        </w:trPr>
        <w:tc>
          <w:tcPr>
            <w:tcW w:w="2117" w:type="dxa"/>
            <w:shd w:val="clear" w:color="auto" w:fill="auto"/>
            <w:vAlign w:val="bottom"/>
          </w:tcPr>
          <w:p w14:paraId="24172D25"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701" w:type="dxa"/>
            <w:vAlign w:val="bottom"/>
          </w:tcPr>
          <w:p w14:paraId="282BB34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214.560 € </w:t>
            </w:r>
          </w:p>
        </w:tc>
        <w:tc>
          <w:tcPr>
            <w:tcW w:w="1701" w:type="dxa"/>
            <w:vAlign w:val="bottom"/>
          </w:tcPr>
          <w:p w14:paraId="2F8914D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163.289 € </w:t>
            </w:r>
          </w:p>
        </w:tc>
        <w:tc>
          <w:tcPr>
            <w:tcW w:w="1701" w:type="dxa"/>
            <w:shd w:val="clear" w:color="auto" w:fill="auto"/>
            <w:vAlign w:val="bottom"/>
          </w:tcPr>
          <w:p w14:paraId="38F14D7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151.988 € </w:t>
            </w:r>
          </w:p>
        </w:tc>
        <w:tc>
          <w:tcPr>
            <w:tcW w:w="1814" w:type="dxa"/>
            <w:vAlign w:val="bottom"/>
          </w:tcPr>
          <w:p w14:paraId="1C362534" w14:textId="5CEBA850"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160.867 € </w:t>
            </w:r>
          </w:p>
        </w:tc>
      </w:tr>
      <w:tr w:rsidR="007D575E" w14:paraId="4C76928A" w14:textId="77777777">
        <w:trPr>
          <w:trHeight w:val="226"/>
        </w:trPr>
        <w:tc>
          <w:tcPr>
            <w:tcW w:w="2117" w:type="dxa"/>
            <w:shd w:val="clear" w:color="auto" w:fill="auto"/>
            <w:vAlign w:val="bottom"/>
          </w:tcPr>
          <w:p w14:paraId="37CF926A"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701" w:type="dxa"/>
            <w:vAlign w:val="bottom"/>
          </w:tcPr>
          <w:p w14:paraId="3130C69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164.799 € </w:t>
            </w:r>
          </w:p>
        </w:tc>
        <w:tc>
          <w:tcPr>
            <w:tcW w:w="1701" w:type="dxa"/>
            <w:vAlign w:val="bottom"/>
          </w:tcPr>
          <w:p w14:paraId="373EB59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125.461 € </w:t>
            </w:r>
          </w:p>
        </w:tc>
        <w:tc>
          <w:tcPr>
            <w:tcW w:w="1701" w:type="dxa"/>
            <w:shd w:val="clear" w:color="auto" w:fill="auto"/>
            <w:vAlign w:val="bottom"/>
          </w:tcPr>
          <w:p w14:paraId="7BCA3B6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120.402 € </w:t>
            </w:r>
          </w:p>
        </w:tc>
        <w:tc>
          <w:tcPr>
            <w:tcW w:w="1814" w:type="dxa"/>
            <w:vAlign w:val="bottom"/>
          </w:tcPr>
          <w:p w14:paraId="185693F3" w14:textId="6DCB35C6"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181.601 € </w:t>
            </w:r>
          </w:p>
        </w:tc>
      </w:tr>
      <w:tr w:rsidR="007D575E" w14:paraId="1C04A59C" w14:textId="77777777">
        <w:trPr>
          <w:trHeight w:val="226"/>
        </w:trPr>
        <w:tc>
          <w:tcPr>
            <w:tcW w:w="2117" w:type="dxa"/>
            <w:shd w:val="clear" w:color="auto" w:fill="auto"/>
            <w:vAlign w:val="bottom"/>
          </w:tcPr>
          <w:p w14:paraId="7BE099FC"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701" w:type="dxa"/>
            <w:vAlign w:val="bottom"/>
          </w:tcPr>
          <w:p w14:paraId="7280614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254.673 € </w:t>
            </w:r>
          </w:p>
        </w:tc>
        <w:tc>
          <w:tcPr>
            <w:tcW w:w="1701" w:type="dxa"/>
            <w:vAlign w:val="bottom"/>
          </w:tcPr>
          <w:p w14:paraId="422140C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175.668 € </w:t>
            </w:r>
          </w:p>
        </w:tc>
        <w:tc>
          <w:tcPr>
            <w:tcW w:w="1701" w:type="dxa"/>
            <w:shd w:val="clear" w:color="auto" w:fill="auto"/>
            <w:vAlign w:val="bottom"/>
          </w:tcPr>
          <w:p w14:paraId="10BE031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165.776 € </w:t>
            </w:r>
          </w:p>
        </w:tc>
        <w:tc>
          <w:tcPr>
            <w:tcW w:w="1814" w:type="dxa"/>
            <w:vAlign w:val="bottom"/>
          </w:tcPr>
          <w:p w14:paraId="6489F83A" w14:textId="12442012"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204.415 € </w:t>
            </w:r>
          </w:p>
        </w:tc>
      </w:tr>
      <w:tr w:rsidR="007D575E" w14:paraId="4DE896D6" w14:textId="77777777">
        <w:trPr>
          <w:trHeight w:val="226"/>
        </w:trPr>
        <w:tc>
          <w:tcPr>
            <w:tcW w:w="2117" w:type="dxa"/>
            <w:shd w:val="clear" w:color="auto" w:fill="auto"/>
            <w:vAlign w:val="bottom"/>
          </w:tcPr>
          <w:p w14:paraId="795211A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701" w:type="dxa"/>
            <w:vAlign w:val="bottom"/>
          </w:tcPr>
          <w:p w14:paraId="5C7C5EE1" w14:textId="77777777" w:rsidR="007D575E" w:rsidRDefault="007D575E" w:rsidP="007D575E">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   € </w:t>
            </w:r>
          </w:p>
        </w:tc>
        <w:tc>
          <w:tcPr>
            <w:tcW w:w="1701" w:type="dxa"/>
            <w:vAlign w:val="bottom"/>
          </w:tcPr>
          <w:p w14:paraId="2A50B98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140.045 € </w:t>
            </w:r>
          </w:p>
        </w:tc>
        <w:tc>
          <w:tcPr>
            <w:tcW w:w="1701" w:type="dxa"/>
            <w:shd w:val="clear" w:color="auto" w:fill="auto"/>
            <w:vAlign w:val="bottom"/>
          </w:tcPr>
          <w:p w14:paraId="75EA3712"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127.762 € </w:t>
            </w:r>
          </w:p>
        </w:tc>
        <w:tc>
          <w:tcPr>
            <w:tcW w:w="1814" w:type="dxa"/>
            <w:vAlign w:val="bottom"/>
          </w:tcPr>
          <w:p w14:paraId="354FB53C" w14:textId="3D3CA9BC"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152.219 € </w:t>
            </w:r>
          </w:p>
        </w:tc>
      </w:tr>
      <w:tr w:rsidR="007D575E" w14:paraId="5BDE168C" w14:textId="77777777">
        <w:trPr>
          <w:trHeight w:val="226"/>
        </w:trPr>
        <w:tc>
          <w:tcPr>
            <w:tcW w:w="2117" w:type="dxa"/>
            <w:shd w:val="clear" w:color="auto" w:fill="auto"/>
            <w:vAlign w:val="bottom"/>
          </w:tcPr>
          <w:p w14:paraId="6EEF79FD"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701" w:type="dxa"/>
            <w:vAlign w:val="bottom"/>
          </w:tcPr>
          <w:p w14:paraId="7427CE7A" w14:textId="77777777" w:rsidR="007D575E" w:rsidRDefault="007D575E" w:rsidP="007D575E">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223.850 € </w:t>
            </w:r>
          </w:p>
        </w:tc>
        <w:tc>
          <w:tcPr>
            <w:tcW w:w="1701" w:type="dxa"/>
            <w:vAlign w:val="bottom"/>
          </w:tcPr>
          <w:p w14:paraId="362909F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149.482 € </w:t>
            </w:r>
          </w:p>
        </w:tc>
        <w:tc>
          <w:tcPr>
            <w:tcW w:w="1701" w:type="dxa"/>
            <w:shd w:val="clear" w:color="auto" w:fill="auto"/>
            <w:vAlign w:val="bottom"/>
          </w:tcPr>
          <w:p w14:paraId="5F712FD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161.690 € </w:t>
            </w:r>
          </w:p>
        </w:tc>
        <w:tc>
          <w:tcPr>
            <w:tcW w:w="1814" w:type="dxa"/>
            <w:vAlign w:val="bottom"/>
          </w:tcPr>
          <w:p w14:paraId="1445FBEB" w14:textId="0570C1D0"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193.814 € </w:t>
            </w:r>
          </w:p>
        </w:tc>
      </w:tr>
      <w:tr w:rsidR="007D575E" w14:paraId="526EA024" w14:textId="77777777">
        <w:trPr>
          <w:trHeight w:val="226"/>
        </w:trPr>
        <w:tc>
          <w:tcPr>
            <w:tcW w:w="2117" w:type="dxa"/>
            <w:shd w:val="clear" w:color="auto" w:fill="auto"/>
            <w:vAlign w:val="bottom"/>
          </w:tcPr>
          <w:p w14:paraId="7213F131"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Soria capital</w:t>
            </w:r>
          </w:p>
        </w:tc>
        <w:tc>
          <w:tcPr>
            <w:tcW w:w="1701" w:type="dxa"/>
            <w:vAlign w:val="bottom"/>
          </w:tcPr>
          <w:p w14:paraId="0218DA1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   € </w:t>
            </w:r>
          </w:p>
        </w:tc>
        <w:tc>
          <w:tcPr>
            <w:tcW w:w="1701" w:type="dxa"/>
            <w:vAlign w:val="bottom"/>
          </w:tcPr>
          <w:p w14:paraId="0E727BFF"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130.885 € </w:t>
            </w:r>
          </w:p>
        </w:tc>
        <w:tc>
          <w:tcPr>
            <w:tcW w:w="1701" w:type="dxa"/>
            <w:shd w:val="clear" w:color="auto" w:fill="auto"/>
            <w:vAlign w:val="bottom"/>
          </w:tcPr>
          <w:p w14:paraId="590B937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104.789 € </w:t>
            </w:r>
          </w:p>
        </w:tc>
        <w:tc>
          <w:tcPr>
            <w:tcW w:w="1814" w:type="dxa"/>
            <w:vAlign w:val="bottom"/>
          </w:tcPr>
          <w:p w14:paraId="2C263FE9" w14:textId="7E709092"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139.480 € </w:t>
            </w:r>
          </w:p>
        </w:tc>
      </w:tr>
      <w:tr w:rsidR="007D575E" w14:paraId="47C62E2F" w14:textId="77777777">
        <w:trPr>
          <w:trHeight w:val="226"/>
        </w:trPr>
        <w:tc>
          <w:tcPr>
            <w:tcW w:w="2117" w:type="dxa"/>
            <w:shd w:val="clear" w:color="auto" w:fill="auto"/>
            <w:vAlign w:val="bottom"/>
          </w:tcPr>
          <w:p w14:paraId="79025E64"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701" w:type="dxa"/>
            <w:vAlign w:val="bottom"/>
          </w:tcPr>
          <w:p w14:paraId="6AEC0FF2" w14:textId="77777777" w:rsidR="007D575E" w:rsidRDefault="007D575E" w:rsidP="007D575E">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211.373 € </w:t>
            </w:r>
          </w:p>
        </w:tc>
        <w:tc>
          <w:tcPr>
            <w:tcW w:w="1701" w:type="dxa"/>
            <w:vAlign w:val="bottom"/>
          </w:tcPr>
          <w:p w14:paraId="7D2CAD3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126.951 € </w:t>
            </w:r>
          </w:p>
        </w:tc>
        <w:tc>
          <w:tcPr>
            <w:tcW w:w="1701" w:type="dxa"/>
            <w:shd w:val="clear" w:color="auto" w:fill="auto"/>
            <w:vAlign w:val="bottom"/>
          </w:tcPr>
          <w:p w14:paraId="35FE5CB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130.735 € </w:t>
            </w:r>
          </w:p>
        </w:tc>
        <w:tc>
          <w:tcPr>
            <w:tcW w:w="1814" w:type="dxa"/>
            <w:vAlign w:val="bottom"/>
          </w:tcPr>
          <w:p w14:paraId="7A37BFCE" w14:textId="74D04995"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138.502 € </w:t>
            </w:r>
          </w:p>
        </w:tc>
      </w:tr>
      <w:tr w:rsidR="007D575E" w14:paraId="335B381B" w14:textId="77777777">
        <w:trPr>
          <w:trHeight w:val="226"/>
        </w:trPr>
        <w:tc>
          <w:tcPr>
            <w:tcW w:w="2117" w:type="dxa"/>
            <w:shd w:val="clear" w:color="auto" w:fill="auto"/>
            <w:vAlign w:val="bottom"/>
          </w:tcPr>
          <w:p w14:paraId="18E68DBB"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701" w:type="dxa"/>
            <w:vAlign w:val="bottom"/>
          </w:tcPr>
          <w:p w14:paraId="5FD7EB7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199.622 € </w:t>
            </w:r>
          </w:p>
        </w:tc>
        <w:tc>
          <w:tcPr>
            <w:tcW w:w="1701" w:type="dxa"/>
            <w:vAlign w:val="bottom"/>
          </w:tcPr>
          <w:p w14:paraId="797023D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122.302 € </w:t>
            </w:r>
          </w:p>
        </w:tc>
        <w:tc>
          <w:tcPr>
            <w:tcW w:w="1701" w:type="dxa"/>
            <w:shd w:val="clear" w:color="auto" w:fill="auto"/>
            <w:vAlign w:val="bottom"/>
          </w:tcPr>
          <w:p w14:paraId="5E1BEE7B"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117.409 € </w:t>
            </w:r>
          </w:p>
        </w:tc>
        <w:tc>
          <w:tcPr>
            <w:tcW w:w="1814" w:type="dxa"/>
            <w:vAlign w:val="bottom"/>
          </w:tcPr>
          <w:p w14:paraId="7098DCCA" w14:textId="25DEB15B"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132.017 € </w:t>
            </w:r>
          </w:p>
        </w:tc>
      </w:tr>
      <w:tr w:rsidR="007D575E" w14:paraId="77CC9324" w14:textId="77777777">
        <w:trPr>
          <w:trHeight w:val="226"/>
        </w:trPr>
        <w:tc>
          <w:tcPr>
            <w:tcW w:w="2117" w:type="dxa"/>
            <w:shd w:val="clear" w:color="auto" w:fill="auto"/>
            <w:vAlign w:val="bottom"/>
          </w:tcPr>
          <w:p w14:paraId="4D842E10"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701" w:type="dxa"/>
            <w:vAlign w:val="bottom"/>
          </w:tcPr>
          <w:p w14:paraId="62E7F5E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200.003 € </w:t>
            </w:r>
          </w:p>
        </w:tc>
        <w:tc>
          <w:tcPr>
            <w:tcW w:w="1701" w:type="dxa"/>
            <w:vAlign w:val="bottom"/>
          </w:tcPr>
          <w:p w14:paraId="77D078F3"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130.647 € </w:t>
            </w:r>
          </w:p>
        </w:tc>
        <w:tc>
          <w:tcPr>
            <w:tcW w:w="1701" w:type="dxa"/>
            <w:shd w:val="clear" w:color="auto" w:fill="auto"/>
            <w:vAlign w:val="bottom"/>
          </w:tcPr>
          <w:p w14:paraId="13BCF5AC"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151.472 € </w:t>
            </w:r>
          </w:p>
        </w:tc>
        <w:tc>
          <w:tcPr>
            <w:tcW w:w="1814" w:type="dxa"/>
            <w:vAlign w:val="bottom"/>
          </w:tcPr>
          <w:p w14:paraId="53297078" w14:textId="118EFE57"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217.075 € </w:t>
            </w:r>
          </w:p>
        </w:tc>
      </w:tr>
      <w:tr w:rsidR="007D575E" w14:paraId="45ED0DAF" w14:textId="77777777">
        <w:trPr>
          <w:trHeight w:val="226"/>
        </w:trPr>
        <w:tc>
          <w:tcPr>
            <w:tcW w:w="2117" w:type="dxa"/>
            <w:shd w:val="clear" w:color="auto" w:fill="auto"/>
            <w:vAlign w:val="bottom"/>
          </w:tcPr>
          <w:p w14:paraId="7E35CD53"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701" w:type="dxa"/>
            <w:vAlign w:val="bottom"/>
          </w:tcPr>
          <w:p w14:paraId="7112F617"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187.831 € </w:t>
            </w:r>
          </w:p>
        </w:tc>
        <w:tc>
          <w:tcPr>
            <w:tcW w:w="1701" w:type="dxa"/>
            <w:vAlign w:val="bottom"/>
          </w:tcPr>
          <w:p w14:paraId="7F77C3D1"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134.019 € </w:t>
            </w:r>
          </w:p>
        </w:tc>
        <w:tc>
          <w:tcPr>
            <w:tcW w:w="1701" w:type="dxa"/>
            <w:shd w:val="clear" w:color="auto" w:fill="auto"/>
            <w:vAlign w:val="bottom"/>
          </w:tcPr>
          <w:p w14:paraId="30A025AF"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133.142 € </w:t>
            </w:r>
          </w:p>
        </w:tc>
        <w:tc>
          <w:tcPr>
            <w:tcW w:w="1814" w:type="dxa"/>
            <w:vAlign w:val="bottom"/>
          </w:tcPr>
          <w:p w14:paraId="0AD26EB0" w14:textId="21FE1168"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148.053 € </w:t>
            </w:r>
          </w:p>
        </w:tc>
      </w:tr>
      <w:tr w:rsidR="007D575E" w14:paraId="5B4FDC66" w14:textId="77777777">
        <w:trPr>
          <w:trHeight w:val="226"/>
        </w:trPr>
        <w:tc>
          <w:tcPr>
            <w:tcW w:w="2117" w:type="dxa"/>
            <w:shd w:val="clear" w:color="auto" w:fill="auto"/>
            <w:vAlign w:val="bottom"/>
          </w:tcPr>
          <w:p w14:paraId="3232D1CF"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701" w:type="dxa"/>
            <w:vAlign w:val="bottom"/>
          </w:tcPr>
          <w:p w14:paraId="62A7C6D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280.108 € </w:t>
            </w:r>
          </w:p>
        </w:tc>
        <w:tc>
          <w:tcPr>
            <w:tcW w:w="1701" w:type="dxa"/>
            <w:vAlign w:val="bottom"/>
          </w:tcPr>
          <w:p w14:paraId="5985163A"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184.456 € </w:t>
            </w:r>
          </w:p>
        </w:tc>
        <w:tc>
          <w:tcPr>
            <w:tcW w:w="1701" w:type="dxa"/>
            <w:shd w:val="clear" w:color="auto" w:fill="auto"/>
            <w:vAlign w:val="bottom"/>
          </w:tcPr>
          <w:p w14:paraId="61B29845"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186.839 € </w:t>
            </w:r>
          </w:p>
        </w:tc>
        <w:tc>
          <w:tcPr>
            <w:tcW w:w="1814" w:type="dxa"/>
            <w:vAlign w:val="bottom"/>
          </w:tcPr>
          <w:p w14:paraId="1B8869CF" w14:textId="1C7D2E25"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221.567 € </w:t>
            </w:r>
          </w:p>
        </w:tc>
      </w:tr>
      <w:tr w:rsidR="007D575E" w14:paraId="4382E568" w14:textId="77777777">
        <w:trPr>
          <w:trHeight w:val="226"/>
        </w:trPr>
        <w:tc>
          <w:tcPr>
            <w:tcW w:w="2117" w:type="dxa"/>
            <w:shd w:val="clear" w:color="auto" w:fill="auto"/>
            <w:vAlign w:val="bottom"/>
          </w:tcPr>
          <w:p w14:paraId="21C729B8" w14:textId="77777777" w:rsidR="007D575E" w:rsidRDefault="007D575E" w:rsidP="007D575E">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701" w:type="dxa"/>
            <w:vAlign w:val="bottom"/>
          </w:tcPr>
          <w:p w14:paraId="70984A90"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151.305 € </w:t>
            </w:r>
          </w:p>
        </w:tc>
        <w:tc>
          <w:tcPr>
            <w:tcW w:w="1701" w:type="dxa"/>
            <w:vAlign w:val="bottom"/>
          </w:tcPr>
          <w:p w14:paraId="1D716489"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124.976 € </w:t>
            </w:r>
          </w:p>
        </w:tc>
        <w:tc>
          <w:tcPr>
            <w:tcW w:w="1701" w:type="dxa"/>
            <w:shd w:val="clear" w:color="auto" w:fill="auto"/>
            <w:vAlign w:val="bottom"/>
          </w:tcPr>
          <w:p w14:paraId="222A96BE"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106.496 € </w:t>
            </w:r>
          </w:p>
        </w:tc>
        <w:tc>
          <w:tcPr>
            <w:tcW w:w="1814" w:type="dxa"/>
            <w:vAlign w:val="bottom"/>
          </w:tcPr>
          <w:p w14:paraId="56E5A8A0" w14:textId="4611F5B1" w:rsidR="007D575E" w:rsidRP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103.273 € </w:t>
            </w:r>
          </w:p>
        </w:tc>
      </w:tr>
      <w:tr w:rsidR="007D575E" w:rsidRPr="007D575E" w14:paraId="45DCC6D4" w14:textId="77777777">
        <w:trPr>
          <w:trHeight w:val="226"/>
        </w:trPr>
        <w:tc>
          <w:tcPr>
            <w:tcW w:w="2117" w:type="dxa"/>
            <w:shd w:val="clear" w:color="auto" w:fill="auto"/>
            <w:vAlign w:val="bottom"/>
          </w:tcPr>
          <w:p w14:paraId="0FA7941C" w14:textId="77777777" w:rsidR="007D575E" w:rsidRDefault="007D575E" w:rsidP="007D575E">
            <w:pPr>
              <w:rPr>
                <w:rFonts w:ascii="Open Sans" w:eastAsia="Open Sans" w:hAnsi="Open Sans" w:cs="Open Sans"/>
                <w:sz w:val="22"/>
                <w:szCs w:val="22"/>
              </w:rPr>
            </w:pPr>
            <w:r>
              <w:rPr>
                <w:rFonts w:ascii="Open Sans" w:eastAsia="Open Sans" w:hAnsi="Open Sans" w:cs="Open Sans"/>
                <w:color w:val="000000"/>
                <w:sz w:val="22"/>
                <w:szCs w:val="22"/>
              </w:rPr>
              <w:t>Zaragoza capital</w:t>
            </w:r>
          </w:p>
        </w:tc>
        <w:tc>
          <w:tcPr>
            <w:tcW w:w="1701" w:type="dxa"/>
            <w:vAlign w:val="bottom"/>
          </w:tcPr>
          <w:p w14:paraId="2AE9BB08" w14:textId="77777777" w:rsidR="007D575E" w:rsidRDefault="007D575E" w:rsidP="007D575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246.469 € </w:t>
            </w:r>
          </w:p>
        </w:tc>
        <w:tc>
          <w:tcPr>
            <w:tcW w:w="1701" w:type="dxa"/>
            <w:vAlign w:val="bottom"/>
          </w:tcPr>
          <w:p w14:paraId="63B8F8F9" w14:textId="77777777" w:rsidR="007D575E" w:rsidRDefault="007D575E" w:rsidP="007D575E">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144.916 € </w:t>
            </w:r>
          </w:p>
        </w:tc>
        <w:tc>
          <w:tcPr>
            <w:tcW w:w="1701" w:type="dxa"/>
            <w:shd w:val="clear" w:color="auto" w:fill="auto"/>
            <w:vAlign w:val="bottom"/>
          </w:tcPr>
          <w:p w14:paraId="4A3444D8" w14:textId="77777777" w:rsidR="007D575E" w:rsidRDefault="007D575E" w:rsidP="007D575E">
            <w:pPr>
              <w:jc w:val="center"/>
              <w:rPr>
                <w:rFonts w:ascii="Open Sans" w:eastAsia="Open Sans" w:hAnsi="Open Sans" w:cs="Open Sans"/>
                <w:color w:val="9C0006"/>
                <w:sz w:val="20"/>
                <w:szCs w:val="20"/>
              </w:rPr>
            </w:pPr>
            <w:r>
              <w:rPr>
                <w:rFonts w:ascii="Open Sans" w:eastAsia="Open Sans" w:hAnsi="Open Sans" w:cs="Open Sans"/>
                <w:color w:val="000000"/>
                <w:sz w:val="20"/>
                <w:szCs w:val="20"/>
              </w:rPr>
              <w:t xml:space="preserve">          142.918 € </w:t>
            </w:r>
          </w:p>
        </w:tc>
        <w:tc>
          <w:tcPr>
            <w:tcW w:w="1814" w:type="dxa"/>
            <w:vAlign w:val="bottom"/>
          </w:tcPr>
          <w:p w14:paraId="5241EAE2" w14:textId="61ABB2F9" w:rsidR="007D575E" w:rsidRDefault="007D575E" w:rsidP="007D575E">
            <w:pPr>
              <w:jc w:val="center"/>
              <w:rPr>
                <w:rFonts w:ascii="Open Sans" w:eastAsia="Open Sans" w:hAnsi="Open Sans" w:cs="Open Sans"/>
                <w:color w:val="000000"/>
                <w:sz w:val="20"/>
                <w:szCs w:val="20"/>
              </w:rPr>
            </w:pPr>
            <w:r w:rsidRPr="007D575E">
              <w:rPr>
                <w:rFonts w:ascii="Open Sans" w:eastAsia="Open Sans" w:hAnsi="Open Sans" w:cs="Open Sans"/>
                <w:color w:val="000000"/>
                <w:sz w:val="20"/>
                <w:szCs w:val="20"/>
              </w:rPr>
              <w:t xml:space="preserve">          163.817 € </w:t>
            </w:r>
          </w:p>
        </w:tc>
      </w:tr>
    </w:tbl>
    <w:p w14:paraId="41C48DFB" w14:textId="77777777" w:rsidR="00EA76BF" w:rsidRDefault="00EA76BF">
      <w:pPr>
        <w:spacing w:line="276" w:lineRule="auto"/>
        <w:ind w:right="-291"/>
        <w:jc w:val="right"/>
        <w:rPr>
          <w:rFonts w:ascii="Open Sans Light" w:eastAsia="Open Sans Light" w:hAnsi="Open Sans Light" w:cs="Open Sans Light"/>
          <w:b/>
          <w:color w:val="303AB2"/>
        </w:rPr>
      </w:pPr>
    </w:p>
    <w:p w14:paraId="2C879D4B" w14:textId="77777777" w:rsidR="00EA76BF" w:rsidRDefault="00EA76BF">
      <w:pPr>
        <w:spacing w:line="276" w:lineRule="auto"/>
        <w:ind w:right="-291"/>
        <w:jc w:val="right"/>
        <w:rPr>
          <w:rFonts w:ascii="Open Sans Light" w:eastAsia="Open Sans Light" w:hAnsi="Open Sans Light" w:cs="Open Sans Light"/>
          <w:b/>
          <w:color w:val="303AB2"/>
        </w:rPr>
      </w:pPr>
    </w:p>
    <w:p w14:paraId="69AA082E" w14:textId="77777777" w:rsidR="00EA76BF" w:rsidRDefault="00EA76BF">
      <w:pPr>
        <w:spacing w:line="276" w:lineRule="auto"/>
        <w:ind w:right="-291"/>
        <w:jc w:val="right"/>
        <w:rPr>
          <w:rFonts w:ascii="Open Sans Light" w:eastAsia="Open Sans Light" w:hAnsi="Open Sans Light" w:cs="Open Sans Light"/>
          <w:b/>
          <w:color w:val="303AB2"/>
        </w:rPr>
      </w:pPr>
    </w:p>
    <w:p w14:paraId="3B08C6EB" w14:textId="77777777" w:rsidR="00EA76BF" w:rsidRDefault="00EA76BF">
      <w:pPr>
        <w:spacing w:line="276" w:lineRule="auto"/>
        <w:ind w:right="-291"/>
        <w:jc w:val="right"/>
        <w:rPr>
          <w:rFonts w:ascii="Open Sans Light" w:eastAsia="Open Sans Light" w:hAnsi="Open Sans Light" w:cs="Open Sans Light"/>
          <w:b/>
          <w:color w:val="303AB2"/>
        </w:rPr>
      </w:pPr>
    </w:p>
    <w:p w14:paraId="5AC40906" w14:textId="77777777" w:rsidR="00EA76BF" w:rsidRDefault="00EA76BF">
      <w:pPr>
        <w:spacing w:line="276" w:lineRule="auto"/>
        <w:ind w:right="-291"/>
        <w:jc w:val="right"/>
        <w:rPr>
          <w:rFonts w:ascii="Open Sans Light" w:eastAsia="Open Sans Light" w:hAnsi="Open Sans Light" w:cs="Open Sans Light"/>
          <w:b/>
          <w:color w:val="303AB2"/>
        </w:rPr>
      </w:pPr>
    </w:p>
    <w:p w14:paraId="2D9B1B59" w14:textId="77777777" w:rsidR="00EA76BF" w:rsidRDefault="00EA76BF">
      <w:pPr>
        <w:spacing w:line="276" w:lineRule="auto"/>
        <w:ind w:right="-291"/>
        <w:jc w:val="right"/>
        <w:rPr>
          <w:rFonts w:ascii="Open Sans Light" w:eastAsia="Open Sans Light" w:hAnsi="Open Sans Light" w:cs="Open Sans Light"/>
          <w:b/>
          <w:color w:val="303AB2"/>
        </w:rPr>
      </w:pPr>
    </w:p>
    <w:p w14:paraId="3274FBF3" w14:textId="77777777" w:rsidR="00EA76BF" w:rsidRDefault="00EA76BF">
      <w:pPr>
        <w:spacing w:line="276" w:lineRule="auto"/>
        <w:ind w:right="-291"/>
        <w:jc w:val="right"/>
        <w:rPr>
          <w:rFonts w:ascii="Open Sans Light" w:eastAsia="Open Sans Light" w:hAnsi="Open Sans Light" w:cs="Open Sans Light"/>
          <w:b/>
          <w:color w:val="303AB2"/>
        </w:rPr>
      </w:pPr>
    </w:p>
    <w:p w14:paraId="4CF27237" w14:textId="77777777" w:rsidR="00EA76BF" w:rsidRDefault="00EA76BF">
      <w:pPr>
        <w:spacing w:line="276" w:lineRule="auto"/>
        <w:ind w:right="-291"/>
        <w:jc w:val="right"/>
        <w:rPr>
          <w:rFonts w:ascii="Open Sans Light" w:eastAsia="Open Sans Light" w:hAnsi="Open Sans Light" w:cs="Open Sans Light"/>
          <w:b/>
          <w:color w:val="303AB2"/>
        </w:rPr>
      </w:pPr>
    </w:p>
    <w:p w14:paraId="0C149920" w14:textId="77777777" w:rsidR="00EA76BF" w:rsidRDefault="00EA76BF">
      <w:pPr>
        <w:spacing w:line="276" w:lineRule="auto"/>
        <w:ind w:right="-291"/>
        <w:jc w:val="right"/>
        <w:rPr>
          <w:rFonts w:ascii="Open Sans Light" w:eastAsia="Open Sans Light" w:hAnsi="Open Sans Light" w:cs="Open Sans Light"/>
          <w:b/>
          <w:color w:val="303AB2"/>
        </w:rPr>
      </w:pPr>
    </w:p>
    <w:p w14:paraId="0D431EBE" w14:textId="77777777" w:rsidR="00EA76BF"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2FF28C0" w14:textId="77777777" w:rsidR="00EA76BF"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71CB43C2" w14:textId="77777777" w:rsidR="00EA76BF"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DF36CE7" w14:textId="77777777" w:rsidR="00EA76BF"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EA5A479" w14:textId="77777777" w:rsidR="00EA76BF" w:rsidRDefault="00EA76BF">
      <w:pPr>
        <w:spacing w:line="276" w:lineRule="auto"/>
        <w:ind w:right="-574"/>
        <w:jc w:val="right"/>
        <w:rPr>
          <w:rFonts w:ascii="Open Sans Light" w:eastAsia="Open Sans Light" w:hAnsi="Open Sans Light" w:cs="Open Sans Light"/>
          <w:b/>
          <w:color w:val="303AB2"/>
        </w:rPr>
      </w:pPr>
    </w:p>
    <w:p w14:paraId="53A38588" w14:textId="77777777" w:rsidR="00EA76BF"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3468880" w14:textId="77777777" w:rsidR="00EA76BF" w:rsidRDefault="00000000">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3EF6507" w14:textId="77777777" w:rsidR="00EA76BF"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2037ECF" w14:textId="77777777" w:rsidR="00EA76BF" w:rsidRDefault="00000000">
      <w:pPr>
        <w:spacing w:before="143" w:after="200"/>
        <w:ind w:right="-57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2B2486B2" w14:textId="77777777" w:rsidR="00EA76BF"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335016AF" w14:textId="77777777" w:rsidR="00EA76BF" w:rsidRDefault="00EA76BF">
      <w:pPr>
        <w:spacing w:after="160"/>
        <w:ind w:right="-574"/>
        <w:jc w:val="both"/>
        <w:rPr>
          <w:rFonts w:ascii="Open Sans" w:eastAsia="Open Sans" w:hAnsi="Open Sans" w:cs="Open Sans"/>
        </w:rPr>
      </w:pPr>
    </w:p>
    <w:p w14:paraId="2282FE02" w14:textId="77777777" w:rsidR="00EA76BF"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65762AE" w14:textId="77777777" w:rsidR="00EA76BF"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171596B" w14:textId="77777777" w:rsidR="00EA76BF" w:rsidRDefault="00000000">
      <w:pPr>
        <w:shd w:val="clear" w:color="auto" w:fill="FFFFFF"/>
        <w:spacing w:line="276" w:lineRule="auto"/>
        <w:ind w:right="-574"/>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64803E27" w14:textId="77777777" w:rsidR="00EA76BF"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6DD47AB" w14:textId="77777777" w:rsidR="00EA76BF" w:rsidRDefault="00EA76BF">
      <w:pPr>
        <w:spacing w:line="276" w:lineRule="auto"/>
        <w:ind w:right="-574"/>
        <w:rPr>
          <w:rFonts w:ascii="Open Sans Light" w:eastAsia="Open Sans Light" w:hAnsi="Open Sans Light" w:cs="Open Sans Light"/>
          <w:b/>
          <w:color w:val="303AB2"/>
          <w:sz w:val="22"/>
          <w:szCs w:val="22"/>
        </w:rPr>
      </w:pPr>
    </w:p>
    <w:p w14:paraId="12133B5F" w14:textId="77777777" w:rsidR="00EA76BF" w:rsidRDefault="00EA76BF">
      <w:pPr>
        <w:spacing w:line="276" w:lineRule="auto"/>
        <w:ind w:right="-574"/>
        <w:rPr>
          <w:rFonts w:ascii="Open Sans Light" w:eastAsia="Open Sans Light" w:hAnsi="Open Sans Light" w:cs="Open Sans Light"/>
          <w:b/>
          <w:color w:val="303AB2"/>
          <w:sz w:val="22"/>
          <w:szCs w:val="22"/>
        </w:rPr>
      </w:pPr>
    </w:p>
    <w:p w14:paraId="311AC578" w14:textId="77777777" w:rsidR="00C57DD0" w:rsidRDefault="00C57DD0">
      <w:pPr>
        <w:spacing w:line="276" w:lineRule="auto"/>
        <w:ind w:right="-574"/>
        <w:rPr>
          <w:rFonts w:ascii="Open Sans Light" w:eastAsia="Open Sans Light" w:hAnsi="Open Sans Light" w:cs="Open Sans Light"/>
          <w:b/>
          <w:color w:val="303AB2"/>
          <w:sz w:val="22"/>
          <w:szCs w:val="22"/>
        </w:rPr>
      </w:pPr>
    </w:p>
    <w:p w14:paraId="54702CFD" w14:textId="77777777" w:rsidR="00C57DD0" w:rsidRDefault="00C57DD0">
      <w:pPr>
        <w:spacing w:line="276" w:lineRule="auto"/>
        <w:ind w:right="-574"/>
        <w:rPr>
          <w:rFonts w:ascii="Open Sans Light" w:eastAsia="Open Sans Light" w:hAnsi="Open Sans Light" w:cs="Open Sans Light"/>
          <w:b/>
          <w:color w:val="303AB2"/>
          <w:sz w:val="22"/>
          <w:szCs w:val="22"/>
        </w:rPr>
      </w:pPr>
    </w:p>
    <w:p w14:paraId="76CD3267" w14:textId="77777777" w:rsidR="00C57DD0" w:rsidRDefault="00C57DD0">
      <w:pPr>
        <w:spacing w:line="276" w:lineRule="auto"/>
        <w:ind w:right="-574"/>
        <w:rPr>
          <w:rFonts w:ascii="Open Sans Light" w:eastAsia="Open Sans Light" w:hAnsi="Open Sans Light" w:cs="Open Sans Light"/>
          <w:b/>
          <w:color w:val="303AB2"/>
          <w:sz w:val="22"/>
          <w:szCs w:val="22"/>
        </w:rPr>
      </w:pPr>
    </w:p>
    <w:p w14:paraId="06D97399" w14:textId="77777777" w:rsidR="00EA76BF"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F345E04" w14:textId="77777777" w:rsidR="00EA76BF"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707AA73" w14:textId="77777777" w:rsidR="00EA76BF" w:rsidRPr="00BC2C78"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24">
        <w:r w:rsidRPr="00BC2C78">
          <w:rPr>
            <w:rFonts w:ascii="Open Sans" w:eastAsia="Open Sans" w:hAnsi="Open Sans" w:cs="Open Sans"/>
            <w:color w:val="0000FF"/>
            <w:sz w:val="22"/>
            <w:szCs w:val="22"/>
            <w:u w:val="single"/>
            <w:lang w:val="en-US"/>
          </w:rPr>
          <w:t>rtorne@llorenteycuenca.com</w:t>
        </w:r>
      </w:hyperlink>
      <w:r w:rsidRPr="00BC2C78">
        <w:rPr>
          <w:rFonts w:ascii="Open Sans" w:eastAsia="Open Sans" w:hAnsi="Open Sans" w:cs="Open Sans"/>
          <w:color w:val="0000FF"/>
          <w:sz w:val="22"/>
          <w:szCs w:val="22"/>
          <w:lang w:val="en-US"/>
        </w:rPr>
        <w:tab/>
      </w:r>
      <w:r w:rsidRPr="00BC2C78">
        <w:rPr>
          <w:rFonts w:ascii="Open Sans" w:eastAsia="Open Sans" w:hAnsi="Open Sans" w:cs="Open Sans"/>
          <w:color w:val="0000FF"/>
          <w:sz w:val="22"/>
          <w:szCs w:val="22"/>
          <w:lang w:val="en-US"/>
        </w:rPr>
        <w:tab/>
      </w:r>
      <w:r w:rsidRPr="00BC2C78">
        <w:rPr>
          <w:rFonts w:ascii="Open Sans" w:eastAsia="Open Sans" w:hAnsi="Open Sans" w:cs="Open Sans"/>
          <w:color w:val="0000FF"/>
          <w:sz w:val="22"/>
          <w:szCs w:val="22"/>
          <w:lang w:val="en-US"/>
        </w:rPr>
        <w:tab/>
      </w:r>
    </w:p>
    <w:p w14:paraId="7C22E64D" w14:textId="77777777" w:rsidR="00EA76BF" w:rsidRPr="00BC2C78" w:rsidRDefault="00000000">
      <w:pPr>
        <w:shd w:val="clear" w:color="auto" w:fill="FFFFFF"/>
        <w:spacing w:line="276" w:lineRule="auto"/>
        <w:ind w:right="-574"/>
        <w:rPr>
          <w:rFonts w:ascii="Open Sans" w:eastAsia="Open Sans" w:hAnsi="Open Sans" w:cs="Open Sans"/>
          <w:color w:val="000000"/>
          <w:sz w:val="22"/>
          <w:szCs w:val="22"/>
          <w:lang w:val="en-US"/>
        </w:rPr>
      </w:pPr>
      <w:r w:rsidRPr="00BC2C78">
        <w:rPr>
          <w:rFonts w:ascii="Open Sans" w:eastAsia="Open Sans" w:hAnsi="Open Sans" w:cs="Open Sans"/>
          <w:color w:val="000000"/>
          <w:sz w:val="22"/>
          <w:szCs w:val="22"/>
          <w:lang w:val="en-US"/>
        </w:rPr>
        <w:t xml:space="preserve">638 68 19 85      </w:t>
      </w:r>
      <w:r w:rsidRPr="00BC2C78">
        <w:rPr>
          <w:rFonts w:ascii="Open Sans" w:eastAsia="Open Sans" w:hAnsi="Open Sans" w:cs="Open Sans"/>
          <w:color w:val="000000"/>
          <w:sz w:val="22"/>
          <w:szCs w:val="22"/>
          <w:lang w:val="en-US"/>
        </w:rPr>
        <w:tab/>
      </w:r>
      <w:r w:rsidRPr="00BC2C78">
        <w:rPr>
          <w:rFonts w:ascii="Open Sans" w:eastAsia="Open Sans" w:hAnsi="Open Sans" w:cs="Open Sans"/>
          <w:color w:val="000000"/>
          <w:sz w:val="22"/>
          <w:szCs w:val="22"/>
          <w:lang w:val="en-US"/>
        </w:rPr>
        <w:tab/>
      </w:r>
      <w:r w:rsidRPr="00BC2C78">
        <w:rPr>
          <w:rFonts w:ascii="Open Sans" w:eastAsia="Open Sans" w:hAnsi="Open Sans" w:cs="Open Sans"/>
          <w:color w:val="000000"/>
          <w:sz w:val="22"/>
          <w:szCs w:val="22"/>
          <w:lang w:val="en-US"/>
        </w:rPr>
        <w:tab/>
      </w:r>
      <w:r w:rsidRPr="00BC2C78">
        <w:rPr>
          <w:rFonts w:ascii="Open Sans" w:eastAsia="Open Sans" w:hAnsi="Open Sans" w:cs="Open Sans"/>
          <w:color w:val="000000"/>
          <w:sz w:val="22"/>
          <w:szCs w:val="22"/>
          <w:lang w:val="en-US"/>
        </w:rPr>
        <w:tab/>
      </w:r>
      <w:r w:rsidRPr="00BC2C78">
        <w:rPr>
          <w:rFonts w:ascii="Open Sans" w:eastAsia="Open Sans" w:hAnsi="Open Sans" w:cs="Open Sans"/>
          <w:color w:val="000000"/>
          <w:sz w:val="22"/>
          <w:szCs w:val="22"/>
          <w:lang w:val="en-US"/>
        </w:rPr>
        <w:tab/>
      </w:r>
      <w:r w:rsidRPr="00BC2C78">
        <w:rPr>
          <w:rFonts w:ascii="Open Sans" w:eastAsia="Open Sans" w:hAnsi="Open Sans" w:cs="Open Sans"/>
          <w:color w:val="000000"/>
          <w:sz w:val="22"/>
          <w:szCs w:val="22"/>
          <w:lang w:val="en-US"/>
        </w:rPr>
        <w:tab/>
      </w:r>
      <w:r w:rsidRPr="00BC2C78">
        <w:rPr>
          <w:rFonts w:ascii="Open Sans" w:eastAsia="Open Sans" w:hAnsi="Open Sans" w:cs="Open Sans"/>
          <w:color w:val="000000"/>
          <w:sz w:val="22"/>
          <w:szCs w:val="22"/>
          <w:lang w:val="en-US"/>
        </w:rPr>
        <w:tab/>
      </w:r>
      <w:r w:rsidRPr="00BC2C78">
        <w:rPr>
          <w:rFonts w:ascii="Open Sans" w:eastAsia="Open Sans" w:hAnsi="Open Sans" w:cs="Open Sans"/>
          <w:color w:val="000000"/>
          <w:sz w:val="22"/>
          <w:szCs w:val="22"/>
          <w:lang w:val="en-US"/>
        </w:rPr>
        <w:tab/>
      </w:r>
    </w:p>
    <w:p w14:paraId="61EA00CC" w14:textId="77777777" w:rsidR="00EA76BF" w:rsidRPr="00BC2C78" w:rsidRDefault="00000000">
      <w:pPr>
        <w:shd w:val="clear" w:color="auto" w:fill="FFFFFF"/>
        <w:ind w:right="-574"/>
        <w:rPr>
          <w:rFonts w:ascii="Arial" w:eastAsia="Arial" w:hAnsi="Arial" w:cs="Arial"/>
          <w:color w:val="222222"/>
          <w:sz w:val="22"/>
          <w:szCs w:val="22"/>
          <w:lang w:val="en-US"/>
        </w:rPr>
      </w:pPr>
      <w:r w:rsidRPr="00BC2C78">
        <w:rPr>
          <w:rFonts w:ascii="Arial" w:eastAsia="Arial" w:hAnsi="Arial" w:cs="Arial"/>
          <w:color w:val="222222"/>
          <w:sz w:val="22"/>
          <w:szCs w:val="22"/>
          <w:lang w:val="en-US"/>
        </w:rPr>
        <w:tab/>
      </w:r>
    </w:p>
    <w:p w14:paraId="692D7071" w14:textId="77777777" w:rsidR="00EA76BF" w:rsidRPr="00BC2C78" w:rsidRDefault="00000000">
      <w:pPr>
        <w:shd w:val="clear" w:color="auto" w:fill="FFFFFF"/>
        <w:ind w:right="-574"/>
        <w:rPr>
          <w:rFonts w:ascii="Arial" w:eastAsia="Arial" w:hAnsi="Arial" w:cs="Arial"/>
          <w:color w:val="222222"/>
          <w:sz w:val="22"/>
          <w:szCs w:val="22"/>
          <w:lang w:val="en-US"/>
        </w:rPr>
      </w:pPr>
      <w:r w:rsidRPr="00BC2C78">
        <w:rPr>
          <w:rFonts w:ascii="Arial" w:eastAsia="Arial" w:hAnsi="Arial" w:cs="Arial"/>
          <w:color w:val="222222"/>
          <w:sz w:val="22"/>
          <w:szCs w:val="22"/>
          <w:lang w:val="en-US"/>
        </w:rPr>
        <w:tab/>
      </w:r>
      <w:r w:rsidRPr="00BC2C78">
        <w:rPr>
          <w:rFonts w:ascii="Arial" w:eastAsia="Arial" w:hAnsi="Arial" w:cs="Arial"/>
          <w:color w:val="222222"/>
          <w:sz w:val="22"/>
          <w:szCs w:val="22"/>
          <w:lang w:val="en-US"/>
        </w:rPr>
        <w:tab/>
      </w:r>
      <w:r w:rsidRPr="00BC2C78">
        <w:rPr>
          <w:rFonts w:ascii="Arial" w:eastAsia="Arial" w:hAnsi="Arial" w:cs="Arial"/>
          <w:color w:val="222222"/>
          <w:sz w:val="22"/>
          <w:szCs w:val="22"/>
          <w:lang w:val="en-US"/>
        </w:rPr>
        <w:tab/>
      </w:r>
      <w:r w:rsidRPr="00BC2C78">
        <w:rPr>
          <w:rFonts w:ascii="Arial" w:eastAsia="Arial" w:hAnsi="Arial" w:cs="Arial"/>
          <w:color w:val="222222"/>
          <w:sz w:val="22"/>
          <w:szCs w:val="22"/>
          <w:lang w:val="en-US"/>
        </w:rPr>
        <w:tab/>
      </w:r>
      <w:r w:rsidRPr="00BC2C78">
        <w:rPr>
          <w:rFonts w:ascii="Arial" w:eastAsia="Arial" w:hAnsi="Arial" w:cs="Arial"/>
          <w:color w:val="222222"/>
          <w:sz w:val="22"/>
          <w:szCs w:val="22"/>
          <w:lang w:val="en-US"/>
        </w:rPr>
        <w:tab/>
      </w:r>
      <w:r w:rsidRPr="00BC2C78">
        <w:rPr>
          <w:rFonts w:ascii="Arial" w:eastAsia="Arial" w:hAnsi="Arial" w:cs="Arial"/>
          <w:color w:val="222222"/>
          <w:sz w:val="22"/>
          <w:szCs w:val="22"/>
          <w:lang w:val="en-US"/>
        </w:rPr>
        <w:tab/>
        <w:t xml:space="preserve">     </w:t>
      </w:r>
    </w:p>
    <w:p w14:paraId="0F3F9331" w14:textId="77777777" w:rsidR="00EA76BF" w:rsidRPr="00BC2C78" w:rsidRDefault="00000000">
      <w:pPr>
        <w:shd w:val="clear" w:color="auto" w:fill="FFFFFF"/>
        <w:ind w:right="-574"/>
        <w:rPr>
          <w:rFonts w:ascii="Open Sans" w:eastAsia="Open Sans" w:hAnsi="Open Sans" w:cs="Open Sans"/>
          <w:b/>
          <w:color w:val="000000"/>
          <w:sz w:val="22"/>
          <w:szCs w:val="22"/>
          <w:lang w:val="en-US"/>
        </w:rPr>
      </w:pPr>
      <w:r w:rsidRPr="00BC2C78">
        <w:rPr>
          <w:rFonts w:ascii="Open Sans" w:eastAsia="Open Sans" w:hAnsi="Open Sans" w:cs="Open Sans"/>
          <w:b/>
          <w:color w:val="000000"/>
          <w:sz w:val="22"/>
          <w:szCs w:val="22"/>
          <w:lang w:val="en-US"/>
        </w:rPr>
        <w:t>Fanny Merino</w:t>
      </w:r>
    </w:p>
    <w:p w14:paraId="14FE871C" w14:textId="77777777" w:rsidR="00EA76BF" w:rsidRPr="00BC2C78" w:rsidRDefault="00000000">
      <w:pPr>
        <w:shd w:val="clear" w:color="auto" w:fill="FFFFFF"/>
        <w:ind w:right="-574"/>
        <w:rPr>
          <w:rFonts w:ascii="Open Sans" w:eastAsia="Open Sans" w:hAnsi="Open Sans" w:cs="Open Sans"/>
          <w:b/>
          <w:color w:val="000000"/>
          <w:sz w:val="22"/>
          <w:szCs w:val="22"/>
          <w:lang w:val="en-US"/>
        </w:rPr>
      </w:pPr>
      <w:hyperlink r:id="rId25">
        <w:r w:rsidRPr="00BC2C78">
          <w:rPr>
            <w:rFonts w:ascii="Open Sans" w:eastAsia="Open Sans" w:hAnsi="Open Sans" w:cs="Open Sans"/>
            <w:color w:val="0000FF"/>
            <w:sz w:val="22"/>
            <w:szCs w:val="22"/>
            <w:u w:val="single"/>
            <w:lang w:val="en-US"/>
          </w:rPr>
          <w:t>emerino@llorenteycuenca.com</w:t>
        </w:r>
      </w:hyperlink>
      <w:r w:rsidRPr="00BC2C78">
        <w:rPr>
          <w:rFonts w:ascii="Open Sans" w:eastAsia="Open Sans" w:hAnsi="Open Sans" w:cs="Open Sans"/>
          <w:color w:val="0000FF"/>
          <w:sz w:val="22"/>
          <w:szCs w:val="22"/>
          <w:lang w:val="en-US"/>
        </w:rPr>
        <w:tab/>
      </w:r>
      <w:r w:rsidRPr="00BC2C78">
        <w:rPr>
          <w:rFonts w:ascii="Open Sans" w:eastAsia="Open Sans" w:hAnsi="Open Sans" w:cs="Open Sans"/>
          <w:color w:val="0000FF"/>
          <w:sz w:val="22"/>
          <w:szCs w:val="22"/>
          <w:lang w:val="en-US"/>
        </w:rPr>
        <w:tab/>
      </w:r>
    </w:p>
    <w:p w14:paraId="0391FB84" w14:textId="77777777" w:rsidR="00EA76BF" w:rsidRDefault="00000000">
      <w:pPr>
        <w:shd w:val="clear" w:color="auto" w:fill="FFFFFF"/>
        <w:ind w:right="-574"/>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26AAF3A" w14:textId="77777777" w:rsidR="00EA76BF" w:rsidRDefault="00EA76BF">
      <w:pPr>
        <w:shd w:val="clear" w:color="auto" w:fill="FFFFFF"/>
        <w:ind w:right="-291"/>
        <w:rPr>
          <w:rFonts w:ascii="Open Sans" w:eastAsia="Open Sans" w:hAnsi="Open Sans" w:cs="Open Sans"/>
          <w:color w:val="000000"/>
          <w:sz w:val="22"/>
          <w:szCs w:val="22"/>
        </w:rPr>
      </w:pPr>
    </w:p>
    <w:p w14:paraId="21D1075C" w14:textId="77777777" w:rsidR="00EA76BF" w:rsidRDefault="00EA76BF">
      <w:pPr>
        <w:shd w:val="clear" w:color="auto" w:fill="FFFFFF"/>
        <w:ind w:right="-291"/>
        <w:rPr>
          <w:rFonts w:ascii="Open Sans" w:eastAsia="Open Sans" w:hAnsi="Open Sans" w:cs="Open Sans"/>
          <w:color w:val="000000"/>
          <w:sz w:val="22"/>
          <w:szCs w:val="22"/>
        </w:rPr>
      </w:pPr>
    </w:p>
    <w:p w14:paraId="6B140C3E" w14:textId="77777777" w:rsidR="00EA76BF" w:rsidRDefault="00EA76BF">
      <w:pPr>
        <w:spacing w:line="276" w:lineRule="auto"/>
        <w:ind w:right="-574"/>
        <w:jc w:val="right"/>
        <w:rPr>
          <w:rFonts w:ascii="Open Sans" w:eastAsia="Open Sans" w:hAnsi="Open Sans" w:cs="Open Sans"/>
          <w:color w:val="000000"/>
          <w:sz w:val="21"/>
          <w:szCs w:val="21"/>
        </w:rPr>
      </w:pPr>
    </w:p>
    <w:sectPr w:rsidR="00EA76BF">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E141B" w14:textId="77777777" w:rsidR="007E0874" w:rsidRDefault="007E0874">
      <w:r>
        <w:separator/>
      </w:r>
    </w:p>
  </w:endnote>
  <w:endnote w:type="continuationSeparator" w:id="0">
    <w:p w14:paraId="2C150AF8" w14:textId="77777777" w:rsidR="007E0874" w:rsidRDefault="007E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58258" w14:textId="77777777" w:rsidR="00EA76B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C01554E" wp14:editId="2A3241BE">
          <wp:simplePos x="0" y="0"/>
          <wp:positionH relativeFrom="column">
            <wp:posOffset>-1068069</wp:posOffset>
          </wp:positionH>
          <wp:positionV relativeFrom="paragraph">
            <wp:posOffset>174608</wp:posOffset>
          </wp:positionV>
          <wp:extent cx="7670550" cy="451315"/>
          <wp:effectExtent l="0" t="0" r="0" b="0"/>
          <wp:wrapNone/>
          <wp:docPr id="1564144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A6577" w14:textId="77777777" w:rsidR="007E0874" w:rsidRDefault="007E0874">
      <w:r>
        <w:separator/>
      </w:r>
    </w:p>
  </w:footnote>
  <w:footnote w:type="continuationSeparator" w:id="0">
    <w:p w14:paraId="50E84458" w14:textId="77777777" w:rsidR="007E0874" w:rsidRDefault="007E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286281"/>
    <w:multiLevelType w:val="multilevel"/>
    <w:tmpl w:val="7C380C2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248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BF"/>
    <w:rsid w:val="003F0FB8"/>
    <w:rsid w:val="007D575E"/>
    <w:rsid w:val="007E0874"/>
    <w:rsid w:val="008673E5"/>
    <w:rsid w:val="009F3DEB"/>
    <w:rsid w:val="00AD7977"/>
    <w:rsid w:val="00BC2C78"/>
    <w:rsid w:val="00BF0B7A"/>
    <w:rsid w:val="00C57DD0"/>
    <w:rsid w:val="00C96EA6"/>
    <w:rsid w:val="00C977CF"/>
    <w:rsid w:val="00EA7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2EAB"/>
  <w15:docId w15:val="{D2704289-93D7-492F-81B9-68D58B9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Unidades%20compartidas\Prensa\Prensa%20Inmobiliaria\Fotocasa\NOTAS%20DE%20PRENSA\2024_NOTAS%20DE%20PRENSA\44.%20NdP%20precio%20acumulativo%20venta\ACUMULATIVO%20VENTA%20feb%202024.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G:\Unidades%20compartidas\Prensa\Prensa%20Inmobiliaria\Fotocasa\NOTAS%20DE%20PRENSA\2024_NOTAS%20DE%20PRENSA\44.%20NdP%20precio%20acumulativo%20venta\ACUMULATIVO%20VENTA%20feb%2020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[ACUMULATIVO VENTA feb 2024.xlsx]Gráfica!TablaDinámica1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44546A">
              <a:lumMod val="60000"/>
              <a:lumOff val="40000"/>
            </a:srgbClr>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rgbClr val="44546A">
              <a:lumMod val="60000"/>
              <a:lumOff val="4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44546A">
              <a:lumMod val="60000"/>
              <a:lumOff val="4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44546A">
              <a:lumMod val="60000"/>
              <a:lumOff val="40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6877077077032548E-2"/>
          <c:y val="5.6030467323224323E-2"/>
          <c:w val="0.94302372369239651"/>
          <c:h val="0.6997504337381556"/>
        </c:manualLayout>
      </c:layout>
      <c:barChart>
        <c:barDir val="col"/>
        <c:grouping val="clustered"/>
        <c:varyColors val="0"/>
        <c:ser>
          <c:idx val="0"/>
          <c:order val="0"/>
          <c:tx>
            <c:strRef>
              <c:f>Gráfica!$B$3</c:f>
              <c:strCache>
                <c:ptCount val="1"/>
                <c:pt idx="0">
                  <c:v>Total</c:v>
                </c:pt>
              </c:strCache>
            </c:strRef>
          </c:tx>
          <c:spPr>
            <a:solidFill>
              <a:srgbClr val="44546A">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Gráfica!$A$4:$A$7</c:f>
              <c:strCache>
                <c:ptCount val="4"/>
                <c:pt idx="0">
                  <c:v>  15 AÑOS               (2024 VS 2009)</c:v>
                </c:pt>
                <c:pt idx="1">
                  <c:v>  10 AÑOS              (2024 VS 2014)</c:v>
                </c:pt>
                <c:pt idx="2">
                  <c:v>  5 AÑOS                 (2024 VS 2019)</c:v>
                </c:pt>
                <c:pt idx="3">
                  <c:v>   1 AÑO                  (2024 VS 2023)</c:v>
                </c:pt>
              </c:strCache>
            </c:strRef>
          </c:cat>
          <c:val>
            <c:numRef>
              <c:f>Gráfica!$B$4:$B$7</c:f>
              <c:numCache>
                <c:formatCode>0.0%</c:formatCode>
                <c:ptCount val="4"/>
                <c:pt idx="0">
                  <c:v>-0.11497123916872076</c:v>
                </c:pt>
                <c:pt idx="1">
                  <c:v>0.29429050936500667</c:v>
                </c:pt>
                <c:pt idx="2">
                  <c:v>0.18426365128108257</c:v>
                </c:pt>
                <c:pt idx="3">
                  <c:v>7.1184051550543831E-2</c:v>
                </c:pt>
              </c:numCache>
            </c:numRef>
          </c:val>
          <c:extLst>
            <c:ext xmlns:c16="http://schemas.microsoft.com/office/drawing/2014/chart" uri="{C3380CC4-5D6E-409C-BE32-E72D297353CC}">
              <c16:uniqueId val="{00000000-105D-44A8-954F-56EF1E2AE54D}"/>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11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[ACUMULATIVO VENTA feb 2024.xlsx]Gráfica!TablaDinámica3</c:name>
    <c:fmtId val="-1"/>
  </c:pivotSource>
  <c:chart>
    <c:autoTitleDeleted val="1"/>
    <c:pivotFmts>
      <c:pivotFmt>
        <c:idx val="0"/>
        <c:spPr>
          <a:solidFill>
            <a:schemeClr val="tx2">
              <a:lumMod val="40000"/>
              <a:lumOff val="6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tx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tx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tx2">
              <a:lumMod val="60000"/>
              <a:lumOff val="4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3997437066850126E-2"/>
          <c:y val="4.7600858791728692E-2"/>
          <c:w val="0.89746549616891313"/>
          <c:h val="0.78283922596982913"/>
        </c:manualLayout>
      </c:layout>
      <c:barChart>
        <c:barDir val="col"/>
        <c:grouping val="clustered"/>
        <c:varyColors val="0"/>
        <c:ser>
          <c:idx val="0"/>
          <c:order val="0"/>
          <c:tx>
            <c:strRef>
              <c:f>Gráfica!$B$31</c:f>
              <c:strCache>
                <c:ptCount val="1"/>
                <c:pt idx="0">
                  <c:v>Total</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Gráfica!$A$32:$A$36</c:f>
              <c:strCache>
                <c:ptCount val="5"/>
                <c:pt idx="0">
                  <c:v>    Vivienda de 80 M2 en 2009</c:v>
                </c:pt>
                <c:pt idx="1">
                  <c:v>    Vivienda de 80 M2 en 2014</c:v>
                </c:pt>
                <c:pt idx="2">
                  <c:v>    Vivienda de 80 M2 en 2019</c:v>
                </c:pt>
                <c:pt idx="3">
                  <c:v>    Vivienda de 80 M2 en 2023</c:v>
                </c:pt>
                <c:pt idx="4">
                  <c:v>     Vivienda de 80 M2 de 2024</c:v>
                </c:pt>
              </c:strCache>
            </c:strRef>
          </c:cat>
          <c:val>
            <c:numRef>
              <c:f>Gráfica!$B$32:$B$36</c:f>
              <c:numCache>
                <c:formatCode>_-* #,##0\ "€"_-;\-* #,##0\ "€"_-;_-* "-"??\ "€"_-;_-@_-</c:formatCode>
                <c:ptCount val="5"/>
                <c:pt idx="0">
                  <c:v>201954.1148381661</c:v>
                </c:pt>
                <c:pt idx="1">
                  <c:v>138095.11752325951</c:v>
                </c:pt>
                <c:pt idx="2">
                  <c:v>150925.17599999998</c:v>
                </c:pt>
                <c:pt idx="3">
                  <c:v>166857.59999999998</c:v>
                </c:pt>
                <c:pt idx="4">
                  <c:v>178735.2</c:v>
                </c:pt>
              </c:numCache>
            </c:numRef>
          </c:val>
          <c:extLst>
            <c:ext xmlns:c16="http://schemas.microsoft.com/office/drawing/2014/chart" uri="{C3380CC4-5D6E-409C-BE32-E72D297353CC}">
              <c16:uniqueId val="{00000000-99E6-4020-96D5-31B5BA57D045}"/>
            </c:ext>
          </c:extLst>
        </c:ser>
        <c:dLbls>
          <c:showLegendKey val="0"/>
          <c:showVal val="0"/>
          <c:showCatName val="0"/>
          <c:showSerName val="0"/>
          <c:showPercent val="0"/>
          <c:showBubbleSize val="0"/>
        </c:dLbls>
        <c:gapWidth val="83"/>
        <c:overlap val="-23"/>
        <c:axId val="1085284831"/>
        <c:axId val="1085274751"/>
      </c:barChart>
      <c:catAx>
        <c:axId val="1085284831"/>
        <c:scaling>
          <c:orientation val="minMax"/>
        </c:scaling>
        <c:delete val="0"/>
        <c:axPos val="b"/>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85274751"/>
        <c:crosses val="autoZero"/>
        <c:auto val="1"/>
        <c:lblAlgn val="ctr"/>
        <c:lblOffset val="100"/>
        <c:noMultiLvlLbl val="0"/>
      </c:catAx>
      <c:valAx>
        <c:axId val="1085274751"/>
        <c:scaling>
          <c:orientation val="minMax"/>
        </c:scaling>
        <c:delete val="1"/>
        <c:axPos val="l"/>
        <c:numFmt formatCode="_-* #,##0\ &quot;€&quot;_-;\-* #,##0\ &quot;€&quot;_-;_-* &quot;-&quot;??\ &quot;€&quot;_-;_-@_-" sourceLinked="1"/>
        <c:majorTickMark val="none"/>
        <c:minorTickMark val="none"/>
        <c:tickLblPos val="nextTo"/>
        <c:crossAx val="10852848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bcR5I1jtFof5INs9BW+1oeqVw==">CgMxLjAyCGguZ2pkZ3hzMgloLjJzOGV5bzE4AHIhMVB2YTYwaXhiWVp6MWtKNVhwaTlEc3NzQkhXajJPanlZ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2021-02-17T13:43:00Z</dcterms:created>
  <dcterms:modified xsi:type="dcterms:W3CDTF">2024-03-25T10:44:00Z</dcterms:modified>
</cp:coreProperties>
</file>