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375A" w14:textId="5D132BB4" w:rsidR="00ED3295" w:rsidRDefault="00B738C8">
      <w:pPr>
        <w:spacing w:line="240" w:lineRule="auto"/>
        <w:rPr>
          <w:rFonts w:ascii="Calibri" w:eastAsia="Calibri" w:hAnsi="Calibri" w:cs="Calibri"/>
          <w:sz w:val="24"/>
          <w:szCs w:val="24"/>
        </w:rPr>
      </w:pPr>
      <w:r>
        <w:rPr>
          <w:noProof/>
        </w:rPr>
        <w:drawing>
          <wp:anchor distT="0" distB="0" distL="114300" distR="114300" simplePos="0" relativeHeight="251660288" behindDoc="0" locked="0" layoutInCell="1" hidden="0" allowOverlap="1" wp14:anchorId="31D03D06" wp14:editId="39840895">
            <wp:simplePos x="0" y="0"/>
            <wp:positionH relativeFrom="column">
              <wp:posOffset>4022090</wp:posOffset>
            </wp:positionH>
            <wp:positionV relativeFrom="paragraph">
              <wp:posOffset>-15240</wp:posOffset>
            </wp:positionV>
            <wp:extent cx="2465949" cy="668401"/>
            <wp:effectExtent l="0" t="0" r="0" b="0"/>
            <wp:wrapNone/>
            <wp:docPr id="1551929165" name="image2.png" descr="Interfaz de usuario gráfic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551929165" name="image2.png" descr="Interfaz de usuario gráfica&#10;&#10;Descripción generada automáticamente con confianza media"/>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sidR="00000000">
        <w:rPr>
          <w:noProof/>
        </w:rPr>
        <w:drawing>
          <wp:anchor distT="0" distB="0" distL="114300" distR="114300" simplePos="0" relativeHeight="251658240" behindDoc="0" locked="0" layoutInCell="1" hidden="0" allowOverlap="1" wp14:anchorId="6B0221AC" wp14:editId="551895F0">
            <wp:simplePos x="0" y="0"/>
            <wp:positionH relativeFrom="column">
              <wp:posOffset>-464820</wp:posOffset>
            </wp:positionH>
            <wp:positionV relativeFrom="paragraph">
              <wp:posOffset>-426720</wp:posOffset>
            </wp:positionV>
            <wp:extent cx="1722120" cy="967740"/>
            <wp:effectExtent l="0" t="0" r="0" b="3810"/>
            <wp:wrapNone/>
            <wp:docPr id="47" name="image1.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cono&#10;&#10;Descripción generada automáticamente"/>
                    <pic:cNvPicPr preferRelativeResize="0"/>
                  </pic:nvPicPr>
                  <pic:blipFill>
                    <a:blip r:embed="rId9"/>
                    <a:srcRect/>
                    <a:stretch>
                      <a:fillRect/>
                    </a:stretch>
                  </pic:blipFill>
                  <pic:spPr>
                    <a:xfrm>
                      <a:off x="0" y="0"/>
                      <a:ext cx="1722120" cy="967740"/>
                    </a:xfrm>
                    <a:prstGeom prst="rect">
                      <a:avLst/>
                    </a:prstGeom>
                    <a:ln/>
                  </pic:spPr>
                </pic:pic>
              </a:graphicData>
            </a:graphic>
            <wp14:sizeRelH relativeFrom="margin">
              <wp14:pctWidth>0</wp14:pctWidth>
            </wp14:sizeRelH>
            <wp14:sizeRelV relativeFrom="margin">
              <wp14:pctHeight>0</wp14:pctHeight>
            </wp14:sizeRelV>
          </wp:anchor>
        </w:drawing>
      </w:r>
    </w:p>
    <w:p w14:paraId="314171C1" w14:textId="1478103A" w:rsidR="00ED3295" w:rsidRDefault="00ED3295">
      <w:pPr>
        <w:ind w:right="-574"/>
        <w:rPr>
          <w:rFonts w:ascii="National" w:eastAsia="National" w:hAnsi="National" w:cs="National"/>
          <w:b/>
          <w:color w:val="1DBDC5"/>
          <w:sz w:val="34"/>
          <w:szCs w:val="34"/>
        </w:rPr>
      </w:pPr>
    </w:p>
    <w:p w14:paraId="72EB9688" w14:textId="77777777" w:rsidR="0062738E" w:rsidRDefault="0062738E">
      <w:pPr>
        <w:ind w:right="-574"/>
        <w:rPr>
          <w:rFonts w:ascii="National" w:eastAsia="National" w:hAnsi="National" w:cs="National"/>
          <w:b/>
          <w:color w:val="1DBDC5"/>
          <w:sz w:val="34"/>
          <w:szCs w:val="34"/>
        </w:rPr>
      </w:pPr>
    </w:p>
    <w:p w14:paraId="24790942" w14:textId="77777777" w:rsidR="0062738E" w:rsidRDefault="0062738E">
      <w:pPr>
        <w:ind w:right="-574"/>
        <w:rPr>
          <w:rFonts w:ascii="National" w:eastAsia="National" w:hAnsi="National" w:cs="National"/>
          <w:b/>
          <w:color w:val="1DBDC5"/>
          <w:sz w:val="34"/>
          <w:szCs w:val="34"/>
        </w:rPr>
      </w:pPr>
    </w:p>
    <w:p w14:paraId="36B5CEE8" w14:textId="73D24354" w:rsidR="00ED3295" w:rsidRDefault="00000000">
      <w:pPr>
        <w:ind w:right="-574"/>
        <w:jc w:val="center"/>
        <w:rPr>
          <w:rFonts w:ascii="National" w:eastAsia="National" w:hAnsi="National" w:cs="National"/>
          <w:color w:val="303AB2"/>
          <w:sz w:val="36"/>
          <w:szCs w:val="36"/>
        </w:rPr>
      </w:pPr>
      <w:r>
        <w:rPr>
          <w:rFonts w:ascii="National" w:eastAsia="National" w:hAnsi="National" w:cs="National"/>
          <w:b/>
          <w:color w:val="1DBDC5"/>
          <w:sz w:val="34"/>
          <w:szCs w:val="34"/>
        </w:rPr>
        <w:t>ANÁLISIS ESPECIAL DÍA DE LA MUJER</w:t>
      </w:r>
    </w:p>
    <w:p w14:paraId="77CF734B" w14:textId="77777777" w:rsidR="00ED3295" w:rsidRDefault="00000000">
      <w:pPr>
        <w:shd w:val="clear" w:color="auto" w:fill="FFFFFF"/>
        <w:spacing w:after="225"/>
        <w:ind w:left="708"/>
        <w:jc w:val="center"/>
        <w:rPr>
          <w:rFonts w:ascii="Open Sans" w:eastAsia="Open Sans" w:hAnsi="Open Sans" w:cs="Open Sans"/>
          <w:sz w:val="21"/>
          <w:szCs w:val="21"/>
        </w:rPr>
      </w:pPr>
      <w:r>
        <w:rPr>
          <w:rFonts w:ascii="National" w:eastAsia="National" w:hAnsi="National" w:cs="National"/>
          <w:b/>
          <w:color w:val="303AB2"/>
          <w:sz w:val="50"/>
          <w:szCs w:val="50"/>
        </w:rPr>
        <w:t>El 60% de quienes buscan alquilar una vivienda son mujeres</w:t>
      </w:r>
    </w:p>
    <w:p w14:paraId="6C86FC5B" w14:textId="77777777" w:rsidR="00ED3295" w:rsidRDefault="00000000">
      <w:pPr>
        <w:numPr>
          <w:ilvl w:val="0"/>
          <w:numId w:val="1"/>
        </w:numPr>
        <w:shd w:val="clear" w:color="auto" w:fill="FFFFFF"/>
        <w:spacing w:before="280" w:after="280" w:line="240" w:lineRule="auto"/>
        <w:jc w:val="both"/>
        <w:rPr>
          <w:rFonts w:ascii="Open Sans" w:eastAsia="Open Sans" w:hAnsi="Open Sans" w:cs="Open Sans"/>
          <w:b/>
          <w:sz w:val="20"/>
          <w:szCs w:val="20"/>
        </w:rPr>
      </w:pPr>
      <w:r>
        <w:rPr>
          <w:rFonts w:ascii="Open Sans" w:eastAsia="Open Sans" w:hAnsi="Open Sans" w:cs="Open Sans"/>
          <w:sz w:val="21"/>
          <w:szCs w:val="21"/>
        </w:rPr>
        <w:t>En el alquiler, la diferencia entre demandantes hombres y demandantes mujeres es de 20 puntos porcentuales, una tendencia que crece cada año</w:t>
      </w:r>
    </w:p>
    <w:p w14:paraId="118C0F7F" w14:textId="77777777" w:rsidR="00ED3295" w:rsidRDefault="00000000">
      <w:pPr>
        <w:numPr>
          <w:ilvl w:val="0"/>
          <w:numId w:val="1"/>
        </w:numPr>
        <w:shd w:val="clear" w:color="auto" w:fill="FFFFFF"/>
        <w:spacing w:before="280" w:after="280" w:line="240" w:lineRule="auto"/>
        <w:jc w:val="both"/>
        <w:rPr>
          <w:rFonts w:ascii="Open Sans" w:eastAsia="Open Sans" w:hAnsi="Open Sans" w:cs="Open Sans"/>
          <w:sz w:val="21"/>
          <w:szCs w:val="21"/>
        </w:rPr>
      </w:pPr>
      <w:r>
        <w:rPr>
          <w:rFonts w:ascii="Open Sans" w:eastAsia="Open Sans" w:hAnsi="Open Sans" w:cs="Open Sans"/>
          <w:sz w:val="21"/>
          <w:szCs w:val="21"/>
        </w:rPr>
        <w:t>Aumenta la edad de los inquilinos: pasan de tener 36 años en 2019 a 39 años en 2023</w:t>
      </w:r>
    </w:p>
    <w:p w14:paraId="453B25EC" w14:textId="77777777" w:rsidR="00ED3295" w:rsidRDefault="00000000">
      <w:pPr>
        <w:numPr>
          <w:ilvl w:val="0"/>
          <w:numId w:val="1"/>
        </w:numPr>
        <w:shd w:val="clear" w:color="auto" w:fill="FFFFFF"/>
        <w:spacing w:before="280" w:after="280" w:line="240" w:lineRule="auto"/>
        <w:jc w:val="both"/>
        <w:rPr>
          <w:rFonts w:ascii="Open Sans" w:eastAsia="Open Sans" w:hAnsi="Open Sans" w:cs="Open Sans"/>
          <w:b/>
          <w:sz w:val="20"/>
          <w:szCs w:val="20"/>
        </w:rPr>
      </w:pPr>
      <w:r>
        <w:rPr>
          <w:rFonts w:ascii="Open Sans" w:eastAsia="Open Sans" w:hAnsi="Open Sans" w:cs="Open Sans"/>
          <w:sz w:val="21"/>
          <w:szCs w:val="21"/>
        </w:rPr>
        <w:t>Existe una brecha al enfrentar el nivel socioeconómico del propietario y del inquilino, ya que el demandante de alquiler presenta recursos económicos más bajos</w:t>
      </w:r>
    </w:p>
    <w:p w14:paraId="092A9DB6" w14:textId="77777777" w:rsidR="00ED3295" w:rsidRDefault="00000000">
      <w:pPr>
        <w:shd w:val="clear" w:color="auto" w:fill="FFFFFF"/>
        <w:spacing w:after="225"/>
        <w:jc w:val="both"/>
        <w:rPr>
          <w:rFonts w:ascii="Open Sans" w:eastAsia="Open Sans" w:hAnsi="Open Sans" w:cs="Open Sans"/>
          <w:sz w:val="18"/>
          <w:szCs w:val="18"/>
        </w:rPr>
      </w:pPr>
      <w:r>
        <w:rPr>
          <w:rFonts w:ascii="Open Sans" w:eastAsia="Open Sans" w:hAnsi="Open Sans" w:cs="Open Sans"/>
          <w:b/>
          <w:color w:val="303AB2"/>
        </w:rPr>
        <w:t xml:space="preserve">Madrid, 08 de marzo de 2024 </w:t>
      </w:r>
    </w:p>
    <w:p w14:paraId="42F113D4" w14:textId="77777777" w:rsidR="00ED3295"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Con motivo del </w:t>
      </w:r>
      <w:r>
        <w:rPr>
          <w:rFonts w:ascii="Open Sans" w:eastAsia="Open Sans" w:hAnsi="Open Sans" w:cs="Open Sans"/>
          <w:b/>
          <w:sz w:val="21"/>
          <w:szCs w:val="21"/>
        </w:rPr>
        <w:t>Día Internacional de la Mujer</w:t>
      </w:r>
      <w:r>
        <w:rPr>
          <w:rFonts w:ascii="Open Sans" w:eastAsia="Open Sans" w:hAnsi="Open Sans" w:cs="Open Sans"/>
          <w:sz w:val="21"/>
          <w:szCs w:val="21"/>
        </w:rPr>
        <w:t xml:space="preserve">, el portal inmobiliario </w:t>
      </w:r>
      <w:hyperlink r:id="rId10">
        <w:r>
          <w:rPr>
            <w:rFonts w:ascii="Open Sans" w:eastAsia="Open Sans" w:hAnsi="Open Sans" w:cs="Open Sans"/>
            <w:color w:val="0000FF"/>
            <w:sz w:val="21"/>
            <w:szCs w:val="21"/>
            <w:u w:val="single"/>
          </w:rPr>
          <w:t>Fotocasa</w:t>
        </w:r>
      </w:hyperlink>
      <w:r>
        <w:rPr>
          <w:rFonts w:ascii="Open Sans" w:eastAsia="Open Sans" w:hAnsi="Open Sans" w:cs="Open Sans"/>
          <w:sz w:val="21"/>
          <w:szCs w:val="21"/>
        </w:rPr>
        <w:t xml:space="preserve"> ha querido trazar una radiografía de la participación de la mujer en el mercado de la vivienda en arrendamiento. Así, en el análisis se destaca que entre los que han alquilado una vivienda o pretendido hacerlo, hay un 60% de mujeres y un 40% de hombres. Es un reparto significativamente desequilibrado, que muestra una tendencia al alza del volumen de inquilinas, que en el 2021 eran el 58% de mujeres frente al 42% de hombres. Por lo tanto, podemos decir que los cambios macroeconómicos ocurridos en 2022 y 2023 sumados al aumento del precio de los alquileres han impulsado el número de mujeres inquilinas. Es una de las principales conclusiones que se reflejan en el informe titulado “</w:t>
      </w:r>
      <w:hyperlink r:id="rId11">
        <w:r>
          <w:rPr>
            <w:rFonts w:ascii="Open Sans" w:eastAsia="Open Sans" w:hAnsi="Open Sans" w:cs="Open Sans"/>
            <w:b/>
            <w:i/>
            <w:color w:val="1155CC"/>
            <w:sz w:val="21"/>
            <w:szCs w:val="21"/>
            <w:u w:val="single"/>
          </w:rPr>
          <w:t>Experiencia en alquiler en 2023</w:t>
        </w:r>
      </w:hyperlink>
      <w:r>
        <w:rPr>
          <w:rFonts w:ascii="Open Sans" w:eastAsia="Open Sans" w:hAnsi="Open Sans" w:cs="Open Sans"/>
          <w:sz w:val="21"/>
          <w:szCs w:val="21"/>
        </w:rPr>
        <w:t xml:space="preserve">” realizado por </w:t>
      </w:r>
      <w:hyperlink r:id="rId12">
        <w:r>
          <w:rPr>
            <w:rFonts w:ascii="Open Sans" w:eastAsia="Open Sans" w:hAnsi="Open Sans" w:cs="Open Sans"/>
            <w:color w:val="1155CC"/>
            <w:sz w:val="21"/>
            <w:szCs w:val="21"/>
            <w:u w:val="single"/>
          </w:rPr>
          <w:t xml:space="preserve">Fotocasa </w:t>
        </w:r>
        <w:proofErr w:type="spellStart"/>
        <w:r>
          <w:rPr>
            <w:rFonts w:ascii="Open Sans" w:eastAsia="Open Sans" w:hAnsi="Open Sans" w:cs="Open Sans"/>
            <w:color w:val="1155CC"/>
            <w:sz w:val="21"/>
            <w:szCs w:val="21"/>
            <w:u w:val="single"/>
          </w:rPr>
          <w:t>Research</w:t>
        </w:r>
        <w:proofErr w:type="spellEnd"/>
      </w:hyperlink>
      <w:r>
        <w:rPr>
          <w:rFonts w:ascii="Open Sans" w:eastAsia="Open Sans" w:hAnsi="Open Sans" w:cs="Open Sans"/>
          <w:sz w:val="21"/>
          <w:szCs w:val="21"/>
        </w:rPr>
        <w:t>.</w:t>
      </w:r>
    </w:p>
    <w:p w14:paraId="35927526" w14:textId="77777777" w:rsidR="00ED3295" w:rsidRDefault="00000000">
      <w:pPr>
        <w:shd w:val="clear" w:color="auto" w:fill="FFFFFF"/>
        <w:spacing w:before="280" w:after="280"/>
        <w:jc w:val="both"/>
        <w:rPr>
          <w:rFonts w:ascii="Open Sans" w:eastAsia="Open Sans" w:hAnsi="Open Sans" w:cs="Open Sans"/>
          <w:b/>
          <w:color w:val="303AB2"/>
          <w:sz w:val="21"/>
          <w:szCs w:val="21"/>
        </w:rPr>
      </w:pPr>
      <w:r>
        <w:rPr>
          <w:rFonts w:ascii="Open Sans" w:eastAsia="Open Sans" w:hAnsi="Open Sans" w:cs="Open Sans"/>
          <w:b/>
          <w:color w:val="303AB2"/>
          <w:sz w:val="21"/>
          <w:szCs w:val="21"/>
        </w:rPr>
        <w:t>Muchas más mujeres demandantes de alquiler que hombres</w:t>
      </w:r>
    </w:p>
    <w:p w14:paraId="4EA4F112" w14:textId="77777777" w:rsidR="00ED3295"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este mercado de la vivienda en renta, </w:t>
      </w:r>
      <w:r>
        <w:rPr>
          <w:rFonts w:ascii="Open Sans" w:eastAsia="Open Sans" w:hAnsi="Open Sans" w:cs="Open Sans"/>
          <w:b/>
          <w:sz w:val="21"/>
          <w:szCs w:val="21"/>
        </w:rPr>
        <w:t>el perfil mayoritario es el de la mujer en el 60% de los casos, con una diferencia de 20 puntos porcentuales frente al perfil del hombre demandante</w:t>
      </w:r>
      <w:r>
        <w:rPr>
          <w:rFonts w:ascii="Open Sans" w:eastAsia="Open Sans" w:hAnsi="Open Sans" w:cs="Open Sans"/>
          <w:sz w:val="21"/>
          <w:szCs w:val="21"/>
        </w:rPr>
        <w:t xml:space="preserve">. Las mujeres siguen protagonizando mayoritariamente el mercado del alquiler, de manera que en este grupo seis de cada diez personas son mujeres. Esta </w:t>
      </w:r>
      <w:r>
        <w:rPr>
          <w:rFonts w:ascii="Open Sans" w:eastAsia="Open Sans" w:hAnsi="Open Sans" w:cs="Open Sans"/>
          <w:b/>
          <w:sz w:val="21"/>
          <w:szCs w:val="21"/>
        </w:rPr>
        <w:t>preeminencia de mujeres inquilinas se reproduce en casi todos los tramos de edad</w:t>
      </w:r>
      <w:r>
        <w:rPr>
          <w:rFonts w:ascii="Open Sans" w:eastAsia="Open Sans" w:hAnsi="Open Sans" w:cs="Open Sans"/>
          <w:sz w:val="21"/>
          <w:szCs w:val="21"/>
        </w:rPr>
        <w:t>, especialmente en los más jóvenes. Resulta, además, abrumadora entre las personas de 18 a 24 años, donde ellas constituyen el 84 %, 21 puntos porcentuales más que el año anterior.</w:t>
      </w:r>
    </w:p>
    <w:p w14:paraId="33B35BB3" w14:textId="77777777" w:rsidR="00B738C8" w:rsidRDefault="00B738C8">
      <w:pPr>
        <w:shd w:val="clear" w:color="auto" w:fill="FFFFFF"/>
        <w:spacing w:before="280" w:after="280"/>
        <w:jc w:val="both"/>
        <w:rPr>
          <w:rFonts w:ascii="Open Sans" w:eastAsia="Open Sans" w:hAnsi="Open Sans" w:cs="Open Sans"/>
          <w:sz w:val="21"/>
          <w:szCs w:val="21"/>
        </w:rPr>
      </w:pPr>
    </w:p>
    <w:p w14:paraId="28C11735" w14:textId="77777777" w:rsidR="00ED3295" w:rsidRDefault="00000000">
      <w:pPr>
        <w:shd w:val="clear" w:color="auto" w:fill="FFFFFF"/>
        <w:spacing w:before="280" w:after="280"/>
        <w:jc w:val="both"/>
        <w:rPr>
          <w:rFonts w:ascii="Open Sans" w:eastAsia="Open Sans" w:hAnsi="Open Sans" w:cs="Open Sans"/>
          <w:color w:val="303AB2"/>
          <w:sz w:val="21"/>
          <w:szCs w:val="21"/>
        </w:rPr>
      </w:pPr>
      <w:r>
        <w:rPr>
          <w:rFonts w:ascii="Open Sans" w:eastAsia="Open Sans" w:hAnsi="Open Sans" w:cs="Open Sans"/>
          <w:color w:val="303AB2"/>
          <w:sz w:val="21"/>
          <w:szCs w:val="21"/>
        </w:rPr>
        <w:lastRenderedPageBreak/>
        <w:t>Perfil del demandante de alquiler en 2023</w:t>
      </w:r>
    </w:p>
    <w:p w14:paraId="12A413AA" w14:textId="77777777" w:rsidR="00ED3295" w:rsidRDefault="00000000">
      <w:pPr>
        <w:shd w:val="clear" w:color="auto" w:fill="FFFFFF"/>
        <w:tabs>
          <w:tab w:val="left" w:pos="3686"/>
        </w:tabs>
        <w:spacing w:before="280" w:after="280"/>
        <w:jc w:val="both"/>
        <w:rPr>
          <w:rFonts w:ascii="Open Sans" w:eastAsia="Open Sans" w:hAnsi="Open Sans" w:cs="Open Sans"/>
          <w:sz w:val="21"/>
          <w:szCs w:val="21"/>
        </w:rPr>
      </w:pPr>
      <w:r>
        <w:rPr>
          <w:rFonts w:ascii="Open Sans" w:eastAsia="Open Sans" w:hAnsi="Open Sans" w:cs="Open Sans"/>
          <w:noProof/>
          <w:sz w:val="21"/>
          <w:szCs w:val="21"/>
        </w:rPr>
        <w:drawing>
          <wp:inline distT="114300" distB="114300" distL="114300" distR="114300" wp14:anchorId="72DDD41F" wp14:editId="431FA9FD">
            <wp:extent cx="5731200" cy="3340100"/>
            <wp:effectExtent l="0" t="0" r="0" b="0"/>
            <wp:docPr id="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l="1354" r="1354"/>
                    <a:stretch>
                      <a:fillRect/>
                    </a:stretch>
                  </pic:blipFill>
                  <pic:spPr>
                    <a:xfrm>
                      <a:off x="0" y="0"/>
                      <a:ext cx="5731200" cy="3340100"/>
                    </a:xfrm>
                    <a:prstGeom prst="rect">
                      <a:avLst/>
                    </a:prstGeom>
                    <a:ln/>
                  </pic:spPr>
                </pic:pic>
              </a:graphicData>
            </a:graphic>
          </wp:inline>
        </w:drawing>
      </w:r>
    </w:p>
    <w:p w14:paraId="3B931835" w14:textId="77777777" w:rsidR="00ED3295" w:rsidRDefault="00000000">
      <w:pPr>
        <w:shd w:val="clear" w:color="auto" w:fill="FFFFFF"/>
        <w:tabs>
          <w:tab w:val="left" w:pos="3686"/>
        </w:tabs>
        <w:spacing w:before="280" w:after="280"/>
        <w:jc w:val="both"/>
        <w:rPr>
          <w:rFonts w:ascii="Open Sans" w:eastAsia="Open Sans" w:hAnsi="Open Sans" w:cs="Open Sans"/>
          <w:b/>
          <w:sz w:val="21"/>
          <w:szCs w:val="21"/>
        </w:rPr>
      </w:pPr>
      <w:r>
        <w:rPr>
          <w:rFonts w:ascii="Open Sans" w:eastAsia="Open Sans" w:hAnsi="Open Sans" w:cs="Open Sans"/>
          <w:sz w:val="21"/>
          <w:szCs w:val="21"/>
        </w:rPr>
        <w:t xml:space="preserve">Si ponemos el foco en la edad de los demandantes de alquiler de vivienda, vemos que la media de los inquilinos o de los que pretenden serlo es de 39 años. De hecho, casi el 60 % tienen entre 25 y 44 años. Otro dato destacable es que </w:t>
      </w:r>
      <w:r>
        <w:rPr>
          <w:rFonts w:ascii="Open Sans" w:eastAsia="Open Sans" w:hAnsi="Open Sans" w:cs="Open Sans"/>
          <w:b/>
          <w:sz w:val="21"/>
          <w:szCs w:val="21"/>
        </w:rPr>
        <w:t>la edad de los inquilinos ha aumentado pasando de tener 36 años en 2019 a 39 años en 2023.</w:t>
      </w:r>
    </w:p>
    <w:p w14:paraId="15146C9E" w14:textId="77777777" w:rsidR="00ED3295" w:rsidRDefault="00000000">
      <w:pPr>
        <w:shd w:val="clear" w:color="auto" w:fill="FFFFFF"/>
        <w:tabs>
          <w:tab w:val="left" w:pos="3686"/>
        </w:tabs>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Por lo que se refiere al nivel de ingresos de los inquilinos, se aprecia que el grupo que tiene unos ingresos brutos anuales de 1.000 euros o menos sigue decreciendo. </w:t>
      </w:r>
    </w:p>
    <w:p w14:paraId="4B97A830" w14:textId="77777777" w:rsidR="00ED3295"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Uno de los cambios más relevantes entre los demandantes de alquiler, es que aumentan quienes viven con sus padres en 2 puntos porcentuales en tan solo dos años (del 15% en 2021 al 17% en 2023). Una muestra de las dificultades para emanciparse que sufren cada vez más ciudadanos jóvenes. Además, también </w:t>
      </w:r>
      <w:r>
        <w:rPr>
          <w:rFonts w:ascii="Open Sans" w:eastAsia="Open Sans" w:hAnsi="Open Sans" w:cs="Open Sans"/>
          <w:b/>
          <w:sz w:val="21"/>
          <w:szCs w:val="21"/>
        </w:rPr>
        <w:t>se aprecia un incremento en el perfil socioeconómico alto (+2pp) y bajo (+9pp) de los demandantes,</w:t>
      </w:r>
      <w:r>
        <w:rPr>
          <w:rFonts w:ascii="Open Sans" w:eastAsia="Open Sans" w:hAnsi="Open Sans" w:cs="Open Sans"/>
          <w:sz w:val="21"/>
          <w:szCs w:val="21"/>
        </w:rPr>
        <w:t xml:space="preserve"> y cómo desciende el perfil medio (-10pp) en comparación con el año anterior. </w:t>
      </w:r>
    </w:p>
    <w:p w14:paraId="141C1B86" w14:textId="77777777" w:rsidR="00ED3295" w:rsidRDefault="00000000">
      <w:pPr>
        <w:shd w:val="clear" w:color="auto" w:fill="FFFFFF"/>
        <w:spacing w:before="280" w:after="280"/>
        <w:jc w:val="both"/>
        <w:rPr>
          <w:rFonts w:ascii="Open Sans" w:eastAsia="Open Sans" w:hAnsi="Open Sans" w:cs="Open Sans"/>
          <w:b/>
          <w:color w:val="303AB2"/>
          <w:sz w:val="21"/>
          <w:szCs w:val="21"/>
        </w:rPr>
      </w:pPr>
      <w:r>
        <w:rPr>
          <w:rFonts w:ascii="Open Sans" w:eastAsia="Open Sans" w:hAnsi="Open Sans" w:cs="Open Sans"/>
          <w:b/>
          <w:color w:val="303AB2"/>
          <w:sz w:val="21"/>
          <w:szCs w:val="21"/>
        </w:rPr>
        <w:t>Brecha socioeconómica entre propietarios e inquilinos</w:t>
      </w:r>
    </w:p>
    <w:p w14:paraId="15588E3E" w14:textId="77777777" w:rsidR="00ED3295"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el otro lado del mercado, el de los propietarios que ofrecen una vivienda para alquilar, el retrato varía. En este caso, por sexos, </w:t>
      </w:r>
      <w:r>
        <w:rPr>
          <w:rFonts w:ascii="Open Sans" w:eastAsia="Open Sans" w:hAnsi="Open Sans" w:cs="Open Sans"/>
          <w:b/>
          <w:sz w:val="21"/>
          <w:szCs w:val="21"/>
        </w:rPr>
        <w:t>el predominio corresponde a los hombres, con un 53% de presencia frente a un 47% de mujeres</w:t>
      </w:r>
      <w:r>
        <w:rPr>
          <w:rFonts w:ascii="Open Sans" w:eastAsia="Open Sans" w:hAnsi="Open Sans" w:cs="Open Sans"/>
          <w:sz w:val="21"/>
          <w:szCs w:val="21"/>
        </w:rPr>
        <w:t xml:space="preserve">. En cuanto a su edad, más de seis de cada diez son mayores de 45. Esto explica la gran diferencia entre edad media de inquilinos y arrendadores, que alcanza los diez años, situándose la de estos últimos en los 49. </w:t>
      </w:r>
    </w:p>
    <w:p w14:paraId="01559A99" w14:textId="77777777" w:rsidR="00ED3295" w:rsidRDefault="00000000">
      <w:pPr>
        <w:shd w:val="clear" w:color="auto" w:fill="FFFFFF"/>
        <w:spacing w:before="280" w:after="280"/>
        <w:jc w:val="both"/>
        <w:rPr>
          <w:rFonts w:ascii="Open Sans" w:eastAsia="Open Sans" w:hAnsi="Open Sans" w:cs="Open Sans"/>
          <w:b/>
          <w:color w:val="303AB2"/>
          <w:sz w:val="21"/>
          <w:szCs w:val="21"/>
        </w:rPr>
      </w:pPr>
      <w:r>
        <w:rPr>
          <w:rFonts w:ascii="Open Sans" w:eastAsia="Open Sans" w:hAnsi="Open Sans" w:cs="Open Sans"/>
          <w:sz w:val="21"/>
          <w:szCs w:val="21"/>
        </w:rPr>
        <w:lastRenderedPageBreak/>
        <w:t xml:space="preserve">Además, casi siete de cada diez arrendadores (69%) disfrutan de un estatus socioeconómico alto o medio alto. Una situación que también se ve reflejada en los ingresos brutos mensuales, de manera que vuelve a constatar </w:t>
      </w:r>
      <w:proofErr w:type="spellStart"/>
      <w:r>
        <w:rPr>
          <w:rFonts w:ascii="Open Sans" w:eastAsia="Open Sans" w:hAnsi="Open Sans" w:cs="Open Sans"/>
          <w:sz w:val="21"/>
          <w:szCs w:val="21"/>
        </w:rPr>
        <w:t>se</w:t>
      </w:r>
      <w:proofErr w:type="spellEnd"/>
      <w:r>
        <w:rPr>
          <w:rFonts w:ascii="Open Sans" w:eastAsia="Open Sans" w:hAnsi="Open Sans" w:cs="Open Sans"/>
          <w:sz w:val="21"/>
          <w:szCs w:val="21"/>
        </w:rPr>
        <w:t xml:space="preserve"> que existe una gran correlación entre ingresos y propiedad.</w:t>
      </w:r>
    </w:p>
    <w:p w14:paraId="4C188A4A" w14:textId="77777777" w:rsidR="00ED3295"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color w:val="303AB2"/>
          <w:sz w:val="21"/>
          <w:szCs w:val="21"/>
        </w:rPr>
        <w:t>Perfil del propietario de alquiler en 2023</w:t>
      </w:r>
    </w:p>
    <w:p w14:paraId="647E2740" w14:textId="77777777" w:rsidR="00ED3295"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noProof/>
          <w:sz w:val="21"/>
          <w:szCs w:val="21"/>
        </w:rPr>
        <w:drawing>
          <wp:inline distT="114300" distB="114300" distL="114300" distR="114300" wp14:anchorId="30C92B26" wp14:editId="30891B49">
            <wp:extent cx="5731200" cy="3238500"/>
            <wp:effectExtent l="0" t="0" r="0" b="0"/>
            <wp:docPr id="4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t="1487" b="1487"/>
                    <a:stretch>
                      <a:fillRect/>
                    </a:stretch>
                  </pic:blipFill>
                  <pic:spPr>
                    <a:xfrm>
                      <a:off x="0" y="0"/>
                      <a:ext cx="5731200" cy="3238500"/>
                    </a:xfrm>
                    <a:prstGeom prst="rect">
                      <a:avLst/>
                    </a:prstGeom>
                    <a:ln/>
                  </pic:spPr>
                </pic:pic>
              </a:graphicData>
            </a:graphic>
          </wp:inline>
        </w:drawing>
      </w:r>
    </w:p>
    <w:p w14:paraId="56B4BCE8" w14:textId="77777777" w:rsidR="00ED3295"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El retrato tipo de inquilinos y propietarios en el mercado del alquiler son claramente distintos. Marcados en muchos aspectos por las edades en las que ambos grupos se enmarcan. Así, mientras que casi cinco de cada diez inquilinos son menores de 34 años, en el caso de los arrendadores, más de seis de cada diez son mayores de 45. </w:t>
      </w:r>
    </w:p>
    <w:p w14:paraId="6EBFF761" w14:textId="77777777" w:rsidR="00ED3295"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Además, como hemos visto, </w:t>
      </w:r>
      <w:r>
        <w:rPr>
          <w:rFonts w:ascii="Open Sans" w:eastAsia="Open Sans" w:hAnsi="Open Sans" w:cs="Open Sans"/>
          <w:b/>
          <w:sz w:val="21"/>
          <w:szCs w:val="21"/>
        </w:rPr>
        <w:t>los hombres tienen mayor presencia entre los arrendadores y las mujeres entre las inquilinas</w:t>
      </w:r>
      <w:r>
        <w:rPr>
          <w:rFonts w:ascii="Open Sans" w:eastAsia="Open Sans" w:hAnsi="Open Sans" w:cs="Open Sans"/>
          <w:sz w:val="21"/>
          <w:szCs w:val="21"/>
        </w:rPr>
        <w:t>. En el plano económico, destaca el hecho de que el grueso de los inquilinos y arrendadores se encuadran en la clases medias y medias-altas, aunque entre las clases más bajas el número de inquilinos es considerablemente más alto.</w:t>
      </w:r>
    </w:p>
    <w:p w14:paraId="5582420B" w14:textId="77777777" w:rsidR="00ED3295" w:rsidRDefault="00000000">
      <w:pPr>
        <w:shd w:val="clear" w:color="auto" w:fill="FFFFFF"/>
        <w:spacing w:before="280" w:after="280"/>
        <w:jc w:val="both"/>
        <w:rPr>
          <w:rFonts w:ascii="Open Sans" w:eastAsia="Open Sans" w:hAnsi="Open Sans" w:cs="Open Sans"/>
          <w:b/>
          <w:color w:val="303AB2"/>
          <w:sz w:val="21"/>
          <w:szCs w:val="21"/>
        </w:rPr>
      </w:pPr>
      <w:r>
        <w:rPr>
          <w:rFonts w:ascii="Open Sans" w:eastAsia="Open Sans" w:hAnsi="Open Sans" w:cs="Open Sans"/>
          <w:sz w:val="21"/>
          <w:szCs w:val="21"/>
        </w:rPr>
        <w:t xml:space="preserve">“En el mercado del arrendamiento es donde existe una mayor brecha al comparar los perfiles de quienes demandan vivienda y quienes la ofertan, ya que el primer grupo está compuesto por mujeres mayoritariamente. Este desequilibrio indica que las mujeres, con niveles socioeconómicos más bajos demandan alquiler, al no poder acceder a la compra. También se refleja cómo la edad de estas inquilinas va aumentando año tras año”, comenta María Matos, directora de Estudios y Portavoz de </w:t>
      </w:r>
      <w:hyperlink r:id="rId15">
        <w:r>
          <w:rPr>
            <w:rFonts w:ascii="Open Sans" w:eastAsia="Open Sans" w:hAnsi="Open Sans" w:cs="Open Sans"/>
            <w:color w:val="1155CC"/>
            <w:sz w:val="21"/>
            <w:szCs w:val="21"/>
            <w:u w:val="single"/>
          </w:rPr>
          <w:t>Fotocasa</w:t>
        </w:r>
      </w:hyperlink>
      <w:r>
        <w:rPr>
          <w:rFonts w:ascii="Open Sans" w:eastAsia="Open Sans" w:hAnsi="Open Sans" w:cs="Open Sans"/>
          <w:b/>
          <w:color w:val="303AB2"/>
          <w:sz w:val="21"/>
          <w:szCs w:val="21"/>
        </w:rPr>
        <w:t>.</w:t>
      </w:r>
    </w:p>
    <w:p w14:paraId="25ED3015" w14:textId="77777777" w:rsidR="0062738E" w:rsidRDefault="0062738E">
      <w:pPr>
        <w:shd w:val="clear" w:color="auto" w:fill="FFFFFF"/>
        <w:spacing w:before="280" w:after="280"/>
        <w:jc w:val="both"/>
        <w:rPr>
          <w:rFonts w:ascii="Open Sans Light" w:eastAsia="Open Sans Light" w:hAnsi="Open Sans Light" w:cs="Open Sans Light"/>
          <w:b/>
          <w:color w:val="303AB2"/>
          <w:sz w:val="24"/>
          <w:szCs w:val="24"/>
        </w:rPr>
      </w:pPr>
    </w:p>
    <w:p w14:paraId="012C78F1" w14:textId="77777777" w:rsidR="00ED3295" w:rsidRDefault="00ED3295">
      <w:pPr>
        <w:ind w:right="98"/>
        <w:jc w:val="right"/>
        <w:rPr>
          <w:rFonts w:ascii="Open Sans Light" w:eastAsia="Open Sans Light" w:hAnsi="Open Sans Light" w:cs="Open Sans Light"/>
          <w:b/>
          <w:color w:val="303AB2"/>
          <w:sz w:val="24"/>
          <w:szCs w:val="24"/>
        </w:rPr>
      </w:pPr>
    </w:p>
    <w:p w14:paraId="222859F8" w14:textId="77777777" w:rsidR="00ED3295" w:rsidRDefault="00000000">
      <w:pPr>
        <w:ind w:right="98"/>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Sobre Fotocasa</w:t>
      </w:r>
    </w:p>
    <w:p w14:paraId="01103D37" w14:textId="77777777" w:rsidR="00ED3295" w:rsidRDefault="00000000">
      <w:pPr>
        <w:shd w:val="clear" w:color="auto" w:fill="FFFFFF"/>
        <w:spacing w:before="280" w:after="280"/>
        <w:ind w:right="98"/>
        <w:jc w:val="both"/>
        <w:rPr>
          <w:rFonts w:ascii="Open Sans" w:eastAsia="Open Sans" w:hAnsi="Open Sans" w:cs="Open Sans"/>
        </w:rPr>
      </w:pPr>
      <w:r>
        <w:rPr>
          <w:rFonts w:ascii="Open Sans" w:eastAsia="Open Sans" w:hAnsi="Open Sans" w:cs="Open Sans"/>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u w:val="single"/>
          </w:rPr>
          <w:t>índice inmobiliario Fotocasa</w:t>
        </w:r>
      </w:hyperlink>
      <w:r>
        <w:rPr>
          <w:rFonts w:ascii="Open Sans" w:eastAsia="Open Sans" w:hAnsi="Open Sans" w:cs="Open Sans"/>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u w:val="single"/>
          </w:rPr>
          <w:t>Sala de Prensa</w:t>
        </w:r>
      </w:hyperlink>
      <w:r>
        <w:rPr>
          <w:rFonts w:ascii="Open Sans" w:eastAsia="Open Sans" w:hAnsi="Open Sans" w:cs="Open Sans"/>
        </w:rPr>
        <w:t xml:space="preserve">. </w:t>
      </w:r>
    </w:p>
    <w:bookmarkStart w:id="0" w:name="_heading=h.gjdgxs" w:colFirst="0" w:colLast="0"/>
    <w:bookmarkEnd w:id="0"/>
    <w:p w14:paraId="670915D9" w14:textId="77777777" w:rsidR="00ED3295" w:rsidRDefault="00000000">
      <w:pPr>
        <w:shd w:val="clear" w:color="auto" w:fill="FFFFFF"/>
        <w:spacing w:before="280" w:after="280"/>
        <w:ind w:right="98"/>
        <w:jc w:val="both"/>
        <w:rPr>
          <w:rFonts w:ascii="Open Sans" w:eastAsia="Open Sans" w:hAnsi="Open Sans" w:cs="Open Sans"/>
        </w:rPr>
      </w:pPr>
      <w:r>
        <w:fldChar w:fldCharType="begin"/>
      </w:r>
      <w:r>
        <w:instrText>HYPERLINK "http://www.fotocasa.es/" \h</w:instrText>
      </w:r>
      <w:r>
        <w:fldChar w:fldCharType="separate"/>
      </w:r>
      <w:r>
        <w:rPr>
          <w:rFonts w:ascii="Open Sans" w:eastAsia="Open Sans" w:hAnsi="Open Sans" w:cs="Open Sans"/>
          <w:b/>
          <w:color w:val="0000FF"/>
          <w:u w:val="single"/>
        </w:rPr>
        <w:t>Fotocasa</w:t>
      </w:r>
      <w:r>
        <w:rPr>
          <w:rFonts w:ascii="Open Sans" w:eastAsia="Open Sans" w:hAnsi="Open Sans" w:cs="Open Sans"/>
          <w:b/>
          <w:color w:val="0000FF"/>
          <w:u w:val="single"/>
        </w:rPr>
        <w:fldChar w:fldCharType="end"/>
      </w:r>
      <w:r>
        <w:rPr>
          <w:rFonts w:ascii="Open Sans" w:eastAsia="Open Sans" w:hAnsi="Open Sans" w:cs="Open Sans"/>
        </w:rPr>
        <w:t> pertenece a </w:t>
      </w:r>
      <w:proofErr w:type="spellStart"/>
      <w:r>
        <w:fldChar w:fldCharType="begin"/>
      </w:r>
      <w:r>
        <w:instrText>HYPERLINK "https://www.adevinta.com/" \h</w:instrText>
      </w:r>
      <w:r>
        <w:fldChar w:fldCharType="separate"/>
      </w:r>
      <w:r>
        <w:rPr>
          <w:rFonts w:ascii="Open Sans" w:eastAsia="Open Sans" w:hAnsi="Open Sans" w:cs="Open Sans"/>
          <w:color w:val="0000FF"/>
          <w:u w:val="single"/>
        </w:rPr>
        <w:t>Adevinta</w:t>
      </w:r>
      <w:proofErr w:type="spellEnd"/>
      <w:r>
        <w:rPr>
          <w:rFonts w:ascii="Open Sans" w:eastAsia="Open Sans" w:hAnsi="Open Sans" w:cs="Open Sans"/>
          <w:color w:val="0000FF"/>
          <w:u w:val="single"/>
        </w:rPr>
        <w:fldChar w:fldCharType="end"/>
      </w:r>
      <w:r>
        <w:rPr>
          <w:rFonts w:ascii="Open Sans" w:eastAsia="Open Sans" w:hAnsi="Open Sans" w:cs="Open Sans"/>
        </w:rPr>
        <w:t xml:space="preserve">, una empresa 100% especializada en </w:t>
      </w:r>
      <w:proofErr w:type="spellStart"/>
      <w:r>
        <w:rPr>
          <w:rFonts w:ascii="Open Sans" w:eastAsia="Open Sans" w:hAnsi="Open Sans" w:cs="Open Sans"/>
        </w:rPr>
        <w:t>Marketplaces</w:t>
      </w:r>
      <w:proofErr w:type="spellEnd"/>
      <w:r>
        <w:rPr>
          <w:rFonts w:ascii="Open Sans" w:eastAsia="Open Sans" w:hAnsi="Open Sans" w:cs="Open Sans"/>
        </w:rPr>
        <w:t xml:space="preserve"> digitales y el único “pure </w:t>
      </w:r>
      <w:proofErr w:type="spellStart"/>
      <w:r>
        <w:rPr>
          <w:rFonts w:ascii="Open Sans" w:eastAsia="Open Sans" w:hAnsi="Open Sans" w:cs="Open Sans"/>
        </w:rPr>
        <w:t>player</w:t>
      </w:r>
      <w:proofErr w:type="spellEnd"/>
      <w:r>
        <w:rPr>
          <w:rFonts w:ascii="Open Sans" w:eastAsia="Open Sans" w:hAnsi="Open Sans" w:cs="Open Sans"/>
        </w:rPr>
        <w:t xml:space="preserve">” del sector a nivel mundial. </w:t>
      </w:r>
      <w:hyperlink r:id="rId18">
        <w:r>
          <w:rPr>
            <w:rFonts w:ascii="Open Sans" w:eastAsia="Open Sans" w:hAnsi="Open Sans" w:cs="Open Sans"/>
            <w:color w:val="0000FF"/>
            <w:u w:val="single"/>
          </w:rPr>
          <w:t>Más información sobre Fotocasa</w:t>
        </w:r>
      </w:hyperlink>
      <w:r>
        <w:rPr>
          <w:rFonts w:ascii="Open Sans" w:eastAsia="Open Sans" w:hAnsi="Open Sans" w:cs="Open Sans"/>
        </w:rPr>
        <w:t xml:space="preserve">. </w:t>
      </w:r>
    </w:p>
    <w:p w14:paraId="62980421" w14:textId="77777777" w:rsidR="00ED3295" w:rsidRDefault="00000000">
      <w:pPr>
        <w:ind w:right="98"/>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 xml:space="preserve">Sobre </w:t>
      </w:r>
      <w:proofErr w:type="spellStart"/>
      <w:r>
        <w:rPr>
          <w:rFonts w:ascii="Open Sans Light" w:eastAsia="Open Sans Light" w:hAnsi="Open Sans Light" w:cs="Open Sans Light"/>
          <w:b/>
          <w:color w:val="303AB2"/>
          <w:sz w:val="24"/>
          <w:szCs w:val="24"/>
        </w:rPr>
        <w:t>Adevinta</w:t>
      </w:r>
      <w:proofErr w:type="spellEnd"/>
      <w:r>
        <w:rPr>
          <w:rFonts w:ascii="Open Sans Light" w:eastAsia="Open Sans Light" w:hAnsi="Open Sans Light" w:cs="Open Sans Light"/>
          <w:b/>
          <w:color w:val="303AB2"/>
          <w:sz w:val="24"/>
          <w:szCs w:val="24"/>
        </w:rPr>
        <w:t xml:space="preserve"> </w:t>
      </w:r>
      <w:proofErr w:type="spellStart"/>
      <w:r>
        <w:rPr>
          <w:rFonts w:ascii="Open Sans Light" w:eastAsia="Open Sans Light" w:hAnsi="Open Sans Light" w:cs="Open Sans Light"/>
          <w:b/>
          <w:color w:val="303AB2"/>
          <w:sz w:val="24"/>
          <w:szCs w:val="24"/>
        </w:rPr>
        <w:t>Spain</w:t>
      </w:r>
      <w:proofErr w:type="spellEnd"/>
    </w:p>
    <w:p w14:paraId="7CE34EF6" w14:textId="77777777" w:rsidR="00ED3295" w:rsidRDefault="00000000">
      <w:pPr>
        <w:spacing w:before="143" w:after="200" w:line="240" w:lineRule="auto"/>
        <w:ind w:right="98"/>
        <w:jc w:val="both"/>
        <w:rPr>
          <w:rFonts w:ascii="Open Sans" w:eastAsia="Open Sans" w:hAnsi="Open Sans" w:cs="Open Sans"/>
          <w:sz w:val="24"/>
          <w:szCs w:val="24"/>
        </w:rPr>
      </w:pPr>
      <w:proofErr w:type="spellStart"/>
      <w:r>
        <w:rPr>
          <w:rFonts w:ascii="Open Sans" w:eastAsia="Open Sans" w:hAnsi="Open Sans" w:cs="Open Sans"/>
        </w:rPr>
        <w:t>Adevinta</w:t>
      </w:r>
      <w:proofErr w:type="spellEnd"/>
      <w:r>
        <w:rPr>
          <w:rFonts w:ascii="Open Sans" w:eastAsia="Open Sans" w:hAnsi="Open Sans" w:cs="Open Sans"/>
        </w:rPr>
        <w:t xml:space="preserve"> </w:t>
      </w:r>
      <w:proofErr w:type="spellStart"/>
      <w:r>
        <w:rPr>
          <w:rFonts w:ascii="Open Sans" w:eastAsia="Open Sans" w:hAnsi="Open Sans" w:cs="Open Sans"/>
        </w:rPr>
        <w:t>Spain</w:t>
      </w:r>
      <w:proofErr w:type="spellEnd"/>
      <w:r>
        <w:rPr>
          <w:rFonts w:ascii="Open Sans" w:eastAsia="Open Sans" w:hAnsi="Open Sans" w:cs="Open Sans"/>
        </w:rPr>
        <w:t xml:space="preserve"> es una compañía líder en </w:t>
      </w:r>
      <w:proofErr w:type="spellStart"/>
      <w:r>
        <w:rPr>
          <w:rFonts w:ascii="Open Sans" w:eastAsia="Open Sans" w:hAnsi="Open Sans" w:cs="Open Sans"/>
        </w:rPr>
        <w:t>marketplaces</w:t>
      </w:r>
      <w:proofErr w:type="spellEnd"/>
      <w:r>
        <w:rPr>
          <w:rFonts w:ascii="Open Sans" w:eastAsia="Open Sans" w:hAnsi="Open Sans" w:cs="Open Sans"/>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u w:val="single"/>
          </w:rPr>
          <w:t>Fotocasa</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20">
        <w:proofErr w:type="spellStart"/>
        <w:r>
          <w:rPr>
            <w:rFonts w:ascii="Open Sans" w:eastAsia="Open Sans" w:hAnsi="Open Sans" w:cs="Open Sans"/>
            <w:color w:val="1155CC"/>
            <w:u w:val="single"/>
          </w:rPr>
          <w:t>habitaclia</w:t>
        </w:r>
        <w:proofErr w:type="spellEnd"/>
      </w:hyperlink>
      <w:r>
        <w:rPr>
          <w:rFonts w:ascii="Open Sans" w:eastAsia="Open Sans" w:hAnsi="Open Sans" w:cs="Open Sans"/>
        </w:rPr>
        <w:t>), empleo (</w:t>
      </w:r>
      <w:hyperlink r:id="rId21">
        <w:r>
          <w:rPr>
            <w:rFonts w:ascii="Open Sans" w:eastAsia="Open Sans" w:hAnsi="Open Sans" w:cs="Open Sans"/>
            <w:color w:val="1155CC"/>
            <w:u w:val="single"/>
          </w:rPr>
          <w:t>InfoJobs</w:t>
        </w:r>
      </w:hyperlink>
      <w:r>
        <w:rPr>
          <w:rFonts w:ascii="Open Sans" w:eastAsia="Open Sans" w:hAnsi="Open Sans" w:cs="Open Sans"/>
        </w:rPr>
        <w:t>), motor (</w:t>
      </w:r>
      <w:hyperlink r:id="rId22">
        <w:r>
          <w:rPr>
            <w:rFonts w:ascii="Open Sans" w:eastAsia="Open Sans" w:hAnsi="Open Sans" w:cs="Open Sans"/>
            <w:color w:val="1155CC"/>
            <w:u w:val="single"/>
          </w:rPr>
          <w:t>coches.net</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23">
        <w:r>
          <w:rPr>
            <w:rFonts w:ascii="Open Sans" w:eastAsia="Open Sans" w:hAnsi="Open Sans" w:cs="Open Sans"/>
            <w:color w:val="1155CC"/>
            <w:u w:val="single"/>
          </w:rPr>
          <w:t>motos.net</w:t>
        </w:r>
      </w:hyperlink>
      <w:r>
        <w:rPr>
          <w:rFonts w:ascii="Open Sans" w:eastAsia="Open Sans" w:hAnsi="Open Sans" w:cs="Open Sans"/>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u w:val="single"/>
        </w:rPr>
        <w:t>Milanuncios</w:t>
      </w:r>
      <w:proofErr w:type="spellEnd"/>
      <w:r>
        <w:rPr>
          <w:rFonts w:ascii="Open Sans" w:eastAsia="Open Sans" w:hAnsi="Open Sans" w:cs="Open Sans"/>
          <w:color w:val="1155CC"/>
          <w:u w:val="single"/>
        </w:rPr>
        <w:fldChar w:fldCharType="end"/>
      </w:r>
      <w:r>
        <w:rPr>
          <w:rFonts w:ascii="Open Sans" w:eastAsia="Open Sans" w:hAnsi="Open Sans" w:cs="Open Sans"/>
        </w:rPr>
        <w:t>).</w:t>
      </w:r>
    </w:p>
    <w:p w14:paraId="37591F91" w14:textId="77777777" w:rsidR="00ED3295" w:rsidRDefault="00000000">
      <w:pPr>
        <w:spacing w:before="143" w:after="200" w:line="240" w:lineRule="auto"/>
        <w:ind w:right="98"/>
        <w:jc w:val="both"/>
        <w:rPr>
          <w:rFonts w:ascii="Open Sans" w:eastAsia="Open Sans" w:hAnsi="Open Sans" w:cs="Open Sans"/>
        </w:rPr>
      </w:pPr>
      <w:r>
        <w:rPr>
          <w:rFonts w:ascii="Open Sans" w:eastAsia="Open Sans" w:hAnsi="Open Sans" w:cs="Open Sans"/>
        </w:rPr>
        <w:t xml:space="preserve">Los negocios de </w:t>
      </w:r>
      <w:proofErr w:type="spellStart"/>
      <w:r>
        <w:rPr>
          <w:rFonts w:ascii="Open Sans" w:eastAsia="Open Sans" w:hAnsi="Open Sans" w:cs="Open Sans"/>
        </w:rPr>
        <w:t>Adevinta</w:t>
      </w:r>
      <w:proofErr w:type="spellEnd"/>
      <w:r>
        <w:rPr>
          <w:rFonts w:ascii="Open Sans" w:eastAsia="Open Sans" w:hAnsi="Open Sans" w:cs="Open Sans"/>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711CBC3D" w14:textId="015C7853" w:rsidR="00ED3295" w:rsidRDefault="00000000">
      <w:pPr>
        <w:spacing w:before="143" w:after="200" w:line="240" w:lineRule="auto"/>
        <w:ind w:right="98"/>
        <w:jc w:val="both"/>
        <w:rPr>
          <w:rFonts w:ascii="Open Sans" w:eastAsia="Open Sans" w:hAnsi="Open Sans" w:cs="Open Sans"/>
        </w:rPr>
      </w:pPr>
      <w:proofErr w:type="spellStart"/>
      <w:r>
        <w:rPr>
          <w:rFonts w:ascii="Open Sans" w:eastAsia="Open Sans" w:hAnsi="Open Sans" w:cs="Open Sans"/>
        </w:rPr>
        <w:t>Adevinta</w:t>
      </w:r>
      <w:proofErr w:type="spellEnd"/>
      <w:r>
        <w:rPr>
          <w:rFonts w:ascii="Open Sans" w:eastAsia="Open Sans" w:hAnsi="Open Sans" w:cs="Open Sans"/>
        </w:rPr>
        <w:t xml:space="preserve"> tiene presencia mundial en 1</w:t>
      </w:r>
      <w:r w:rsidR="0062738E">
        <w:rPr>
          <w:rFonts w:ascii="Open Sans" w:eastAsia="Open Sans" w:hAnsi="Open Sans" w:cs="Open Sans"/>
        </w:rPr>
        <w:t>0</w:t>
      </w:r>
      <w:r>
        <w:rPr>
          <w:rFonts w:ascii="Open Sans" w:eastAsia="Open Sans" w:hAnsi="Open Sans" w:cs="Open Sans"/>
        </w:rPr>
        <w:t xml:space="preserve"> países. El conjunto de sus plataformas locales recibe un promedio de 3.000 millones de visitas cada mes. </w:t>
      </w:r>
    </w:p>
    <w:p w14:paraId="766E63B2" w14:textId="77777777" w:rsidR="00ED3295" w:rsidRDefault="00000000">
      <w:pPr>
        <w:spacing w:after="160" w:line="240" w:lineRule="auto"/>
        <w:ind w:right="98"/>
        <w:rPr>
          <w:rFonts w:ascii="Open Sans" w:eastAsia="Open Sans" w:hAnsi="Open Sans" w:cs="Open Sans"/>
          <w:color w:val="1155CC"/>
          <w:u w:val="single"/>
        </w:rPr>
      </w:pPr>
      <w:r>
        <w:rPr>
          <w:rFonts w:ascii="Open Sans" w:eastAsia="Open Sans" w:hAnsi="Open Sans" w:cs="Open Sans"/>
        </w:rPr>
        <w:t xml:space="preserve">Más información en </w:t>
      </w:r>
      <w:hyperlink r:id="rId24">
        <w:r>
          <w:rPr>
            <w:rFonts w:ascii="Open Sans" w:eastAsia="Open Sans" w:hAnsi="Open Sans" w:cs="Open Sans"/>
            <w:color w:val="1155CC"/>
            <w:u w:val="single"/>
          </w:rPr>
          <w:t>adevinta.es</w:t>
        </w:r>
      </w:hyperlink>
    </w:p>
    <w:p w14:paraId="03F3A778" w14:textId="77777777" w:rsidR="00ED3295" w:rsidRDefault="00ED3295">
      <w:pPr>
        <w:ind w:right="98"/>
        <w:rPr>
          <w:rFonts w:ascii="Open Sans Light" w:eastAsia="Open Sans Light" w:hAnsi="Open Sans Light" w:cs="Open Sans Light"/>
          <w:b/>
          <w:color w:val="303AB2"/>
        </w:rPr>
      </w:pPr>
    </w:p>
    <w:p w14:paraId="356C4730" w14:textId="77777777" w:rsidR="00ED3295" w:rsidRDefault="00000000">
      <w:pPr>
        <w:ind w:right="98"/>
        <w:rPr>
          <w:rFonts w:ascii="Open Sans Light" w:eastAsia="Open Sans Light" w:hAnsi="Open Sans Light" w:cs="Open Sans Light"/>
          <w:b/>
          <w:color w:val="303AB2"/>
        </w:rPr>
      </w:pPr>
      <w:r>
        <w:rPr>
          <w:rFonts w:ascii="Open Sans Light" w:eastAsia="Open Sans Light" w:hAnsi="Open Sans Light" w:cs="Open Sans Light"/>
          <w:b/>
          <w:color w:val="303AB2"/>
        </w:rPr>
        <w:t>Departamento Comunicación Fotocasa</w:t>
      </w:r>
    </w:p>
    <w:p w14:paraId="15F3D6CE" w14:textId="77777777" w:rsidR="00ED3295" w:rsidRDefault="00000000">
      <w:pPr>
        <w:shd w:val="clear" w:color="auto" w:fill="FFFFFF"/>
        <w:ind w:right="98"/>
        <w:rPr>
          <w:rFonts w:ascii="Open Sans" w:eastAsia="Open Sans" w:hAnsi="Open Sans" w:cs="Open Sans"/>
          <w:b/>
        </w:rPr>
      </w:pPr>
      <w:r>
        <w:rPr>
          <w:rFonts w:ascii="Open Sans" w:eastAsia="Open Sans" w:hAnsi="Open Sans" w:cs="Open Sans"/>
          <w:b/>
        </w:rPr>
        <w:t>Anaïs López</w:t>
      </w:r>
    </w:p>
    <w:p w14:paraId="4684528F" w14:textId="77777777" w:rsidR="00ED3295" w:rsidRDefault="00000000">
      <w:pPr>
        <w:shd w:val="clear" w:color="auto" w:fill="FFFFFF"/>
        <w:ind w:right="98"/>
        <w:rPr>
          <w:rFonts w:ascii="Open Sans" w:eastAsia="Open Sans" w:hAnsi="Open Sans" w:cs="Open Sans"/>
          <w:color w:val="0000FF"/>
          <w:u w:val="single"/>
        </w:rPr>
      </w:pPr>
      <w:hyperlink r:id="rId25">
        <w:r>
          <w:rPr>
            <w:rFonts w:ascii="Open Sans" w:eastAsia="Open Sans" w:hAnsi="Open Sans" w:cs="Open Sans"/>
            <w:color w:val="0000FF"/>
            <w:u w:val="single"/>
          </w:rPr>
          <w:t>comunicacion@fotocasa.es</w:t>
        </w:r>
      </w:hyperlink>
    </w:p>
    <w:p w14:paraId="5D601ADA" w14:textId="77777777" w:rsidR="00ED3295" w:rsidRDefault="00000000">
      <w:pPr>
        <w:shd w:val="clear" w:color="auto" w:fill="FFFFFF"/>
        <w:ind w:right="98"/>
        <w:rPr>
          <w:rFonts w:ascii="Open Sans" w:eastAsia="Open Sans" w:hAnsi="Open Sans" w:cs="Open Sans"/>
        </w:rPr>
      </w:pPr>
      <w:r>
        <w:rPr>
          <w:rFonts w:ascii="Open Sans" w:eastAsia="Open Sans" w:hAnsi="Open Sans" w:cs="Open Sans"/>
        </w:rPr>
        <w:t>620 66 29 26</w:t>
      </w:r>
    </w:p>
    <w:p w14:paraId="4AF31468" w14:textId="77777777" w:rsidR="00ED3295" w:rsidRDefault="00ED3295">
      <w:pPr>
        <w:ind w:right="98"/>
        <w:rPr>
          <w:rFonts w:ascii="Open Sans Light" w:eastAsia="Open Sans Light" w:hAnsi="Open Sans Light" w:cs="Open Sans Light"/>
          <w:b/>
          <w:color w:val="303AB2"/>
        </w:rPr>
      </w:pPr>
    </w:p>
    <w:p w14:paraId="6A62B33E" w14:textId="77777777" w:rsidR="00ED3295" w:rsidRDefault="00000000">
      <w:pPr>
        <w:ind w:right="98"/>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Pr>
          <w:rFonts w:ascii="Open Sans Light" w:eastAsia="Open Sans Light" w:hAnsi="Open Sans Light" w:cs="Open Sans Light"/>
          <w:b/>
          <w:color w:val="303AB2"/>
        </w:rPr>
        <w:tab/>
      </w:r>
    </w:p>
    <w:p w14:paraId="67834D14" w14:textId="77777777" w:rsidR="00ED3295" w:rsidRDefault="00000000">
      <w:pPr>
        <w:shd w:val="clear" w:color="auto" w:fill="FFFFFF"/>
        <w:ind w:right="98"/>
        <w:rPr>
          <w:rFonts w:ascii="Open Sans" w:eastAsia="Open Sans" w:hAnsi="Open Sans" w:cs="Open Sans"/>
          <w:b/>
        </w:rPr>
      </w:pPr>
      <w:r>
        <w:rPr>
          <w:rFonts w:ascii="Open Sans" w:eastAsia="Open Sans" w:hAnsi="Open Sans" w:cs="Open Sans"/>
          <w:b/>
        </w:rPr>
        <w:t>Ramon Torné</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 xml:space="preserve">                 </w:t>
      </w:r>
    </w:p>
    <w:p w14:paraId="3330E643" w14:textId="77777777" w:rsidR="00ED3295" w:rsidRPr="0062738E" w:rsidRDefault="00000000">
      <w:pPr>
        <w:shd w:val="clear" w:color="auto" w:fill="FFFFFF"/>
        <w:ind w:right="98"/>
        <w:rPr>
          <w:rFonts w:ascii="Open Sans" w:eastAsia="Open Sans" w:hAnsi="Open Sans" w:cs="Open Sans"/>
          <w:color w:val="0000FF"/>
          <w:u w:val="single"/>
          <w:lang w:val="en-US"/>
        </w:rPr>
      </w:pPr>
      <w:hyperlink r:id="rId26">
        <w:r w:rsidRPr="0062738E">
          <w:rPr>
            <w:rFonts w:ascii="Open Sans" w:eastAsia="Open Sans" w:hAnsi="Open Sans" w:cs="Open Sans"/>
            <w:color w:val="0000FF"/>
            <w:u w:val="single"/>
            <w:lang w:val="en-US"/>
          </w:rPr>
          <w:t>rtorne@llorenteycuenca.com</w:t>
        </w:r>
      </w:hyperlink>
      <w:r w:rsidRPr="0062738E">
        <w:rPr>
          <w:rFonts w:ascii="Open Sans" w:eastAsia="Open Sans" w:hAnsi="Open Sans" w:cs="Open Sans"/>
          <w:color w:val="0000FF"/>
          <w:lang w:val="en-US"/>
        </w:rPr>
        <w:tab/>
      </w:r>
      <w:r w:rsidRPr="0062738E">
        <w:rPr>
          <w:rFonts w:ascii="Open Sans" w:eastAsia="Open Sans" w:hAnsi="Open Sans" w:cs="Open Sans"/>
          <w:color w:val="0000FF"/>
          <w:lang w:val="en-US"/>
        </w:rPr>
        <w:tab/>
      </w:r>
      <w:r w:rsidRPr="0062738E">
        <w:rPr>
          <w:rFonts w:ascii="Open Sans" w:eastAsia="Open Sans" w:hAnsi="Open Sans" w:cs="Open Sans"/>
          <w:color w:val="0000FF"/>
          <w:lang w:val="en-US"/>
        </w:rPr>
        <w:tab/>
      </w:r>
    </w:p>
    <w:p w14:paraId="75FE64B0" w14:textId="77777777" w:rsidR="00ED3295" w:rsidRPr="0062738E" w:rsidRDefault="00000000">
      <w:pPr>
        <w:shd w:val="clear" w:color="auto" w:fill="FFFFFF"/>
        <w:ind w:right="98"/>
        <w:rPr>
          <w:rFonts w:ascii="Open Sans" w:eastAsia="Open Sans" w:hAnsi="Open Sans" w:cs="Open Sans"/>
          <w:lang w:val="en-US"/>
        </w:rPr>
      </w:pPr>
      <w:r w:rsidRPr="0062738E">
        <w:rPr>
          <w:rFonts w:ascii="Open Sans" w:eastAsia="Open Sans" w:hAnsi="Open Sans" w:cs="Open Sans"/>
          <w:lang w:val="en-US"/>
        </w:rPr>
        <w:t xml:space="preserve">638 68 19 85      </w:t>
      </w:r>
      <w:r w:rsidRPr="0062738E">
        <w:rPr>
          <w:rFonts w:ascii="Open Sans" w:eastAsia="Open Sans" w:hAnsi="Open Sans" w:cs="Open Sans"/>
          <w:lang w:val="en-US"/>
        </w:rPr>
        <w:tab/>
      </w:r>
    </w:p>
    <w:p w14:paraId="3B69B7A9" w14:textId="77777777" w:rsidR="00ED3295" w:rsidRPr="0062738E" w:rsidRDefault="00000000">
      <w:pPr>
        <w:shd w:val="clear" w:color="auto" w:fill="FFFFFF"/>
        <w:ind w:right="98"/>
        <w:rPr>
          <w:rFonts w:ascii="Open Sans" w:eastAsia="Open Sans" w:hAnsi="Open Sans" w:cs="Open Sans"/>
          <w:lang w:val="en-US"/>
        </w:rPr>
      </w:pPr>
      <w:r w:rsidRPr="0062738E">
        <w:rPr>
          <w:rFonts w:ascii="Open Sans" w:eastAsia="Open Sans" w:hAnsi="Open Sans" w:cs="Open Sans"/>
          <w:lang w:val="en-US"/>
        </w:rPr>
        <w:tab/>
      </w:r>
      <w:r w:rsidRPr="0062738E">
        <w:rPr>
          <w:rFonts w:ascii="Open Sans" w:eastAsia="Open Sans" w:hAnsi="Open Sans" w:cs="Open Sans"/>
          <w:lang w:val="en-US"/>
        </w:rPr>
        <w:tab/>
      </w:r>
      <w:r w:rsidRPr="0062738E">
        <w:rPr>
          <w:rFonts w:ascii="Open Sans" w:eastAsia="Open Sans" w:hAnsi="Open Sans" w:cs="Open Sans"/>
          <w:lang w:val="en-US"/>
        </w:rPr>
        <w:tab/>
      </w:r>
      <w:r w:rsidRPr="0062738E">
        <w:rPr>
          <w:rFonts w:ascii="Open Sans" w:eastAsia="Open Sans" w:hAnsi="Open Sans" w:cs="Open Sans"/>
          <w:lang w:val="en-US"/>
        </w:rPr>
        <w:tab/>
      </w:r>
      <w:r w:rsidRPr="0062738E">
        <w:rPr>
          <w:rFonts w:ascii="Open Sans" w:eastAsia="Open Sans" w:hAnsi="Open Sans" w:cs="Open Sans"/>
          <w:lang w:val="en-US"/>
        </w:rPr>
        <w:tab/>
      </w:r>
      <w:r w:rsidRPr="0062738E">
        <w:rPr>
          <w:rFonts w:ascii="Open Sans" w:eastAsia="Open Sans" w:hAnsi="Open Sans" w:cs="Open Sans"/>
          <w:lang w:val="en-US"/>
        </w:rPr>
        <w:tab/>
      </w:r>
      <w:r w:rsidRPr="0062738E">
        <w:rPr>
          <w:rFonts w:ascii="Open Sans" w:eastAsia="Open Sans" w:hAnsi="Open Sans" w:cs="Open Sans"/>
          <w:lang w:val="en-US"/>
        </w:rPr>
        <w:tab/>
      </w:r>
    </w:p>
    <w:p w14:paraId="61B7B4D2" w14:textId="77777777" w:rsidR="00ED3295" w:rsidRPr="0062738E" w:rsidRDefault="00000000">
      <w:pPr>
        <w:shd w:val="clear" w:color="auto" w:fill="FFFFFF"/>
        <w:spacing w:line="240" w:lineRule="auto"/>
        <w:ind w:right="98"/>
        <w:rPr>
          <w:color w:val="222222"/>
          <w:lang w:val="en-US"/>
        </w:rPr>
      </w:pPr>
      <w:r w:rsidRPr="0062738E">
        <w:rPr>
          <w:color w:val="222222"/>
          <w:lang w:val="en-US"/>
        </w:rPr>
        <w:lastRenderedPageBreak/>
        <w:tab/>
      </w:r>
      <w:r w:rsidRPr="0062738E">
        <w:rPr>
          <w:color w:val="222222"/>
          <w:lang w:val="en-US"/>
        </w:rPr>
        <w:tab/>
      </w:r>
      <w:r w:rsidRPr="0062738E">
        <w:rPr>
          <w:color w:val="222222"/>
          <w:lang w:val="en-US"/>
        </w:rPr>
        <w:tab/>
      </w:r>
      <w:r w:rsidRPr="0062738E">
        <w:rPr>
          <w:color w:val="222222"/>
          <w:lang w:val="en-US"/>
        </w:rPr>
        <w:tab/>
      </w:r>
      <w:r w:rsidRPr="0062738E">
        <w:rPr>
          <w:color w:val="222222"/>
          <w:lang w:val="en-US"/>
        </w:rPr>
        <w:tab/>
      </w:r>
      <w:r w:rsidRPr="0062738E">
        <w:rPr>
          <w:color w:val="222222"/>
          <w:lang w:val="en-US"/>
        </w:rPr>
        <w:tab/>
      </w:r>
      <w:r w:rsidRPr="0062738E">
        <w:rPr>
          <w:color w:val="222222"/>
          <w:lang w:val="en-US"/>
        </w:rPr>
        <w:tab/>
        <w:t xml:space="preserve">     </w:t>
      </w:r>
    </w:p>
    <w:p w14:paraId="5FA0C1BE" w14:textId="77777777" w:rsidR="00ED3295" w:rsidRPr="0062738E" w:rsidRDefault="00000000">
      <w:pPr>
        <w:shd w:val="clear" w:color="auto" w:fill="FFFFFF"/>
        <w:spacing w:line="240" w:lineRule="auto"/>
        <w:ind w:right="98"/>
        <w:rPr>
          <w:rFonts w:ascii="Open Sans" w:eastAsia="Open Sans" w:hAnsi="Open Sans" w:cs="Open Sans"/>
          <w:b/>
          <w:lang w:val="en-US"/>
        </w:rPr>
      </w:pPr>
      <w:r w:rsidRPr="0062738E">
        <w:rPr>
          <w:rFonts w:ascii="Open Sans" w:eastAsia="Open Sans" w:hAnsi="Open Sans" w:cs="Open Sans"/>
          <w:b/>
          <w:lang w:val="en-US"/>
        </w:rPr>
        <w:t>Fanny Merino</w:t>
      </w:r>
    </w:p>
    <w:p w14:paraId="35356D9E" w14:textId="77777777" w:rsidR="00ED3295" w:rsidRPr="0062738E" w:rsidRDefault="00000000">
      <w:pPr>
        <w:shd w:val="clear" w:color="auto" w:fill="FFFFFF"/>
        <w:spacing w:line="240" w:lineRule="auto"/>
        <w:ind w:right="98"/>
        <w:rPr>
          <w:rFonts w:ascii="Open Sans" w:eastAsia="Open Sans" w:hAnsi="Open Sans" w:cs="Open Sans"/>
          <w:b/>
          <w:lang w:val="en-US"/>
        </w:rPr>
      </w:pPr>
      <w:hyperlink r:id="rId27">
        <w:r w:rsidRPr="0062738E">
          <w:rPr>
            <w:rFonts w:ascii="Open Sans" w:eastAsia="Open Sans" w:hAnsi="Open Sans" w:cs="Open Sans"/>
            <w:color w:val="0000FF"/>
            <w:u w:val="single"/>
            <w:lang w:val="en-US"/>
          </w:rPr>
          <w:t>emerino@llorenteycuenca.com</w:t>
        </w:r>
      </w:hyperlink>
      <w:r w:rsidRPr="0062738E">
        <w:rPr>
          <w:rFonts w:ascii="Open Sans" w:eastAsia="Open Sans" w:hAnsi="Open Sans" w:cs="Open Sans"/>
          <w:color w:val="0000FF"/>
          <w:lang w:val="en-US"/>
        </w:rPr>
        <w:tab/>
      </w:r>
      <w:r w:rsidRPr="0062738E">
        <w:rPr>
          <w:rFonts w:ascii="Open Sans" w:eastAsia="Open Sans" w:hAnsi="Open Sans" w:cs="Open Sans"/>
          <w:color w:val="0000FF"/>
          <w:lang w:val="en-US"/>
        </w:rPr>
        <w:tab/>
      </w:r>
    </w:p>
    <w:p w14:paraId="5DBB06D6" w14:textId="77777777" w:rsidR="00ED3295" w:rsidRDefault="00000000">
      <w:pPr>
        <w:shd w:val="clear" w:color="auto" w:fill="FFFFFF"/>
        <w:spacing w:line="240" w:lineRule="auto"/>
        <w:ind w:right="98"/>
      </w:pPr>
      <w:r>
        <w:rPr>
          <w:rFonts w:ascii="Open Sans" w:eastAsia="Open Sans" w:hAnsi="Open Sans" w:cs="Open Sans"/>
        </w:rPr>
        <w:t>663 35 69 75 </w:t>
      </w:r>
    </w:p>
    <w:sectPr w:rsidR="00ED3295">
      <w:footerReference w:type="default" r:id="rId2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D8CA" w14:textId="77777777" w:rsidR="00EC5B01" w:rsidRDefault="00EC5B01">
      <w:pPr>
        <w:spacing w:line="240" w:lineRule="auto"/>
      </w:pPr>
      <w:r>
        <w:separator/>
      </w:r>
    </w:p>
  </w:endnote>
  <w:endnote w:type="continuationSeparator" w:id="0">
    <w:p w14:paraId="4A59C670" w14:textId="77777777" w:rsidR="00EC5B01" w:rsidRDefault="00EC5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319D" w14:textId="77777777" w:rsidR="00ED3295" w:rsidRDefault="00000000">
    <w:r>
      <w:rPr>
        <w:noProof/>
      </w:rPr>
      <w:drawing>
        <wp:anchor distT="0" distB="0" distL="0" distR="0" simplePos="0" relativeHeight="251658240" behindDoc="0" locked="0" layoutInCell="1" hidden="0" allowOverlap="1" wp14:anchorId="151F8A47" wp14:editId="760884E1">
          <wp:simplePos x="0" y="0"/>
          <wp:positionH relativeFrom="column">
            <wp:posOffset>-1931033</wp:posOffset>
          </wp:positionH>
          <wp:positionV relativeFrom="paragraph">
            <wp:posOffset>177165</wp:posOffset>
          </wp:positionV>
          <wp:extent cx="8620125" cy="447675"/>
          <wp:effectExtent l="0" t="0" r="0" b="0"/>
          <wp:wrapSquare wrapText="bothSides" distT="0" distB="0" distL="0" distR="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A0A2" w14:textId="77777777" w:rsidR="00EC5B01" w:rsidRDefault="00EC5B01">
      <w:pPr>
        <w:spacing w:line="240" w:lineRule="auto"/>
      </w:pPr>
      <w:r>
        <w:separator/>
      </w:r>
    </w:p>
  </w:footnote>
  <w:footnote w:type="continuationSeparator" w:id="0">
    <w:p w14:paraId="7643B2C2" w14:textId="77777777" w:rsidR="00EC5B01" w:rsidRDefault="00EC5B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93E98"/>
    <w:multiLevelType w:val="multilevel"/>
    <w:tmpl w:val="F8C8B68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52691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95"/>
    <w:rsid w:val="0062738E"/>
    <w:rsid w:val="00B738C8"/>
    <w:rsid w:val="00EC5B01"/>
    <w:rsid w:val="00ED3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D22D"/>
  <w15:docId w15:val="{BF3C9166-386B-4924-A6E1-3F4BE49E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table" w:customStyle="1" w:styleId="a">
    <w:basedOn w:val="TableNormalb"/>
    <w:tblPr>
      <w:tblStyleRowBandSize w:val="1"/>
      <w:tblStyleColBandSize w:val="1"/>
      <w:tblCellMar>
        <w:left w:w="70" w:type="dxa"/>
        <w:right w:w="70" w:type="dxa"/>
      </w:tblCellMar>
    </w:tblPr>
  </w:style>
  <w:style w:type="table" w:customStyle="1" w:styleId="a0">
    <w:basedOn w:val="TableNormalb"/>
    <w:tblPr>
      <w:tblStyleRowBandSize w:val="1"/>
      <w:tblStyleColBandSize w:val="1"/>
      <w:tblCellMar>
        <w:left w:w="70" w:type="dxa"/>
        <w:right w:w="70" w:type="dxa"/>
      </w:tblCellMar>
    </w:tblPr>
  </w:style>
  <w:style w:type="table" w:customStyle="1" w:styleId="a1">
    <w:basedOn w:val="TableNormala"/>
    <w:tblPr>
      <w:tblStyleRowBandSize w:val="1"/>
      <w:tblStyleColBandSize w:val="1"/>
      <w:tblCellMar>
        <w:left w:w="70" w:type="dxa"/>
        <w:right w:w="70" w:type="dxa"/>
      </w:tblCellMar>
    </w:tblPr>
  </w:style>
  <w:style w:type="table" w:customStyle="1" w:styleId="a2">
    <w:basedOn w:val="TableNormala"/>
    <w:tblPr>
      <w:tblStyleRowBandSize w:val="1"/>
      <w:tblStyleColBandSize w:val="1"/>
      <w:tblCellMar>
        <w:left w:w="70" w:type="dxa"/>
        <w:right w:w="70" w:type="dxa"/>
      </w:tblCellMar>
    </w:tblPr>
  </w:style>
  <w:style w:type="table" w:customStyle="1" w:styleId="a3">
    <w:basedOn w:val="TableNormala"/>
    <w:tblPr>
      <w:tblStyleRowBandSize w:val="1"/>
      <w:tblStyleColBandSize w:val="1"/>
      <w:tblCellMar>
        <w:left w:w="70" w:type="dxa"/>
        <w:right w:w="70" w:type="dxa"/>
      </w:tblCellMar>
    </w:tblPr>
  </w:style>
  <w:style w:type="table" w:customStyle="1" w:styleId="a4">
    <w:basedOn w:val="TableNormala"/>
    <w:tblPr>
      <w:tblStyleRowBandSize w:val="1"/>
      <w:tblStyleColBandSize w:val="1"/>
      <w:tblCellMar>
        <w:left w:w="70" w:type="dxa"/>
        <w:right w:w="70" w:type="dxa"/>
      </w:tblCellMar>
    </w:tblPr>
  </w:style>
  <w:style w:type="table" w:customStyle="1" w:styleId="a5">
    <w:basedOn w:val="TableNormal8"/>
    <w:tblPr>
      <w:tblStyleRowBandSize w:val="1"/>
      <w:tblStyleColBandSize w:val="1"/>
      <w:tblCellMar>
        <w:left w:w="70" w:type="dxa"/>
        <w:right w:w="70" w:type="dxa"/>
      </w:tblCellMar>
    </w:tblPr>
  </w:style>
  <w:style w:type="table" w:customStyle="1" w:styleId="a6">
    <w:basedOn w:val="TableNormal8"/>
    <w:tblPr>
      <w:tblStyleRowBandSize w:val="1"/>
      <w:tblStyleColBandSize w:val="1"/>
      <w:tblCellMar>
        <w:left w:w="70" w:type="dxa"/>
        <w:right w:w="70" w:type="dxa"/>
      </w:tblCellMar>
    </w:tblPr>
  </w:style>
  <w:style w:type="paragraph" w:styleId="Prrafodelista">
    <w:name w:val="List Paragraph"/>
    <w:basedOn w:val="Normal"/>
    <w:uiPriority w:val="34"/>
    <w:qFormat/>
    <w:rsid w:val="003C5DCC"/>
    <w:pPr>
      <w:ind w:left="720"/>
      <w:contextualSpacing/>
    </w:pPr>
  </w:style>
  <w:style w:type="table" w:customStyle="1" w:styleId="a7">
    <w:basedOn w:val="TableNormal7"/>
    <w:tblPr>
      <w:tblStyleRowBandSize w:val="1"/>
      <w:tblStyleColBandSize w:val="1"/>
      <w:tblCellMar>
        <w:left w:w="70" w:type="dxa"/>
        <w:right w:w="70" w:type="dxa"/>
      </w:tblCellMar>
    </w:tblPr>
  </w:style>
  <w:style w:type="table" w:customStyle="1" w:styleId="a8">
    <w:basedOn w:val="TableNormal7"/>
    <w:tblPr>
      <w:tblStyleRowBandSize w:val="1"/>
      <w:tblStyleColBandSize w:val="1"/>
      <w:tblCellMar>
        <w:left w:w="70" w:type="dxa"/>
        <w:right w:w="70" w:type="dxa"/>
      </w:tblCellMar>
    </w:tblPr>
  </w:style>
  <w:style w:type="table" w:customStyle="1" w:styleId="a9">
    <w:basedOn w:val="TableNormal7"/>
    <w:tblPr>
      <w:tblStyleRowBandSize w:val="1"/>
      <w:tblStyleColBandSize w:val="1"/>
      <w:tblCellMar>
        <w:left w:w="70" w:type="dxa"/>
        <w:right w:w="70" w:type="dxa"/>
      </w:tblCellMar>
    </w:tblPr>
  </w:style>
  <w:style w:type="table" w:customStyle="1" w:styleId="aa">
    <w:basedOn w:val="TableNormal7"/>
    <w:tblPr>
      <w:tblStyleRowBandSize w:val="1"/>
      <w:tblStyleColBandSize w:val="1"/>
      <w:tblCellMar>
        <w:left w:w="70" w:type="dxa"/>
        <w:right w:w="70" w:type="dxa"/>
      </w:tblCellMar>
    </w:tblPr>
  </w:style>
  <w:style w:type="table" w:customStyle="1" w:styleId="ab">
    <w:basedOn w:val="TableNormal5"/>
    <w:tblPr>
      <w:tblStyleRowBandSize w:val="1"/>
      <w:tblStyleColBandSize w:val="1"/>
      <w:tblCellMar>
        <w:left w:w="70" w:type="dxa"/>
        <w:right w:w="70" w:type="dxa"/>
      </w:tblCellMar>
    </w:tblPr>
  </w:style>
  <w:style w:type="table" w:customStyle="1" w:styleId="ac">
    <w:basedOn w:val="TableNormal5"/>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8F5BDA"/>
    <w:rPr>
      <w:sz w:val="16"/>
      <w:szCs w:val="16"/>
    </w:rPr>
  </w:style>
  <w:style w:type="paragraph" w:styleId="Textocomentario">
    <w:name w:val="annotation text"/>
    <w:basedOn w:val="Normal"/>
    <w:link w:val="TextocomentarioCar"/>
    <w:uiPriority w:val="99"/>
    <w:unhideWhenUsed/>
    <w:rsid w:val="008F5BDA"/>
    <w:pPr>
      <w:spacing w:line="240" w:lineRule="auto"/>
    </w:pPr>
    <w:rPr>
      <w:sz w:val="20"/>
      <w:szCs w:val="20"/>
    </w:rPr>
  </w:style>
  <w:style w:type="character" w:customStyle="1" w:styleId="TextocomentarioCar">
    <w:name w:val="Texto comentario Car"/>
    <w:basedOn w:val="Fuentedeprrafopredeter"/>
    <w:link w:val="Textocomentario"/>
    <w:uiPriority w:val="99"/>
    <w:rsid w:val="008F5BDA"/>
    <w:rPr>
      <w:sz w:val="20"/>
      <w:szCs w:val="20"/>
    </w:rPr>
  </w:style>
  <w:style w:type="paragraph" w:styleId="Asuntodelcomentario">
    <w:name w:val="annotation subject"/>
    <w:basedOn w:val="Textocomentario"/>
    <w:next w:val="Textocomentario"/>
    <w:link w:val="AsuntodelcomentarioCar"/>
    <w:uiPriority w:val="99"/>
    <w:semiHidden/>
    <w:unhideWhenUsed/>
    <w:rsid w:val="008F5BDA"/>
    <w:rPr>
      <w:b/>
      <w:bCs/>
    </w:rPr>
  </w:style>
  <w:style w:type="character" w:customStyle="1" w:styleId="AsuntodelcomentarioCar">
    <w:name w:val="Asunto del comentario Car"/>
    <w:basedOn w:val="TextocomentarioCar"/>
    <w:link w:val="Asuntodelcomentario"/>
    <w:uiPriority w:val="99"/>
    <w:semiHidden/>
    <w:rsid w:val="008F5BDA"/>
    <w:rPr>
      <w:b/>
      <w:bCs/>
      <w:sz w:val="20"/>
      <w:szCs w:val="20"/>
    </w:rPr>
  </w:style>
  <w:style w:type="paragraph" w:styleId="Encabezado">
    <w:name w:val="header"/>
    <w:basedOn w:val="Normal"/>
    <w:link w:val="EncabezadoCar"/>
    <w:uiPriority w:val="99"/>
    <w:unhideWhenUsed/>
    <w:rsid w:val="008F053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F0538"/>
  </w:style>
  <w:style w:type="paragraph" w:styleId="Piedepgina">
    <w:name w:val="footer"/>
    <w:basedOn w:val="Normal"/>
    <w:link w:val="PiedepginaCar"/>
    <w:uiPriority w:val="99"/>
    <w:unhideWhenUsed/>
    <w:rsid w:val="008F053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F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research.fotocasa.es/" TargetMode="External"/><Relationship Id="rId17" Type="http://schemas.openxmlformats.org/officeDocument/2006/relationships/hyperlink" Target="http://prensa.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6360.pcdn.co/wp-content/uploads/2023/10/Experiencia-en-alquiler-2023_OK.pdf" TargetMode="External"/><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hyperlink" Target="https://www.fotocasa.es/" TargetMode="External"/><Relationship Id="rId19" Type="http://schemas.openxmlformats.org/officeDocument/2006/relationships/hyperlink" Target="https://www.fotocasa.es/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vf3vGlMFPPquU1tzcWvl6HgsiQ==">CgMxLjAyCGguZ2pkZ3hzOAByITFVZDlNdXBNR0NQc3NkU2thS3JGV083SDNrUDBzZmlZbQ==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1210</Words>
  <Characters>6655</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4</cp:revision>
  <cp:lastPrinted>2024-03-06T12:00:00Z</cp:lastPrinted>
  <dcterms:created xsi:type="dcterms:W3CDTF">2022-05-27T10:04:00Z</dcterms:created>
  <dcterms:modified xsi:type="dcterms:W3CDTF">2024-03-06T12:22:00Z</dcterms:modified>
</cp:coreProperties>
</file>