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8F51" w14:textId="77777777" w:rsidR="00E255F8" w:rsidRDefault="00000000">
      <w:pPr>
        <w:ind w:right="-574"/>
      </w:pPr>
      <w:r>
        <w:rPr>
          <w:noProof/>
        </w:rPr>
        <w:drawing>
          <wp:anchor distT="0" distB="0" distL="114300" distR="114300" simplePos="0" relativeHeight="251658240" behindDoc="0" locked="0" layoutInCell="1" hidden="0" allowOverlap="1" wp14:anchorId="0DD04540" wp14:editId="09FD6D43">
            <wp:simplePos x="0" y="0"/>
            <wp:positionH relativeFrom="column">
              <wp:posOffset>4057015</wp:posOffset>
            </wp:positionH>
            <wp:positionV relativeFrom="paragraph">
              <wp:posOffset>-321944</wp:posOffset>
            </wp:positionV>
            <wp:extent cx="2465949" cy="668401"/>
            <wp:effectExtent l="0" t="0" r="0" b="0"/>
            <wp:wrapNone/>
            <wp:docPr id="155192916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A5561FB" wp14:editId="189CAE55">
            <wp:simplePos x="0" y="0"/>
            <wp:positionH relativeFrom="column">
              <wp:posOffset>-705780</wp:posOffset>
            </wp:positionH>
            <wp:positionV relativeFrom="paragraph">
              <wp:posOffset>-62506</wp:posOffset>
            </wp:positionV>
            <wp:extent cx="1748621" cy="400050"/>
            <wp:effectExtent l="0" t="0" r="0" b="0"/>
            <wp:wrapNone/>
            <wp:docPr id="15519291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48621" cy="400050"/>
                    </a:xfrm>
                    <a:prstGeom prst="rect">
                      <a:avLst/>
                    </a:prstGeom>
                    <a:ln/>
                  </pic:spPr>
                </pic:pic>
              </a:graphicData>
            </a:graphic>
          </wp:anchor>
        </w:drawing>
      </w:r>
    </w:p>
    <w:p w14:paraId="55B90026" w14:textId="77777777" w:rsidR="00E255F8" w:rsidRDefault="00E255F8">
      <w:pPr>
        <w:ind w:right="-574"/>
        <w:jc w:val="right"/>
        <w:rPr>
          <w:rFonts w:ascii="National" w:eastAsia="National" w:hAnsi="National" w:cs="National"/>
          <w:color w:val="303AB2"/>
          <w:sz w:val="36"/>
          <w:szCs w:val="36"/>
        </w:rPr>
      </w:pPr>
    </w:p>
    <w:p w14:paraId="354796F5" w14:textId="77777777" w:rsidR="00E255F8" w:rsidRDefault="00E255F8">
      <w:pPr>
        <w:ind w:right="-574"/>
        <w:jc w:val="right"/>
        <w:rPr>
          <w:rFonts w:ascii="National" w:eastAsia="National" w:hAnsi="National" w:cs="National"/>
          <w:color w:val="303AB2"/>
          <w:sz w:val="36"/>
          <w:szCs w:val="36"/>
        </w:rPr>
      </w:pPr>
    </w:p>
    <w:p w14:paraId="16771717" w14:textId="77777777" w:rsidR="00E255F8" w:rsidRDefault="00000000">
      <w:pPr>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2023: ANÁLISIS ACUMULATIVO PRECIO DE GARAJES EN ESPAÑA</w:t>
      </w:r>
    </w:p>
    <w:p w14:paraId="71BD77E9" w14:textId="77777777" w:rsidR="00E255F8" w:rsidRDefault="00000000">
      <w:pPr>
        <w:pBdr>
          <w:top w:val="nil"/>
          <w:left w:val="nil"/>
          <w:bottom w:val="nil"/>
          <w:right w:val="nil"/>
          <w:between w:val="nil"/>
        </w:pBdr>
        <w:spacing w:line="276" w:lineRule="auto"/>
        <w:ind w:left="284" w:right="-574"/>
        <w:jc w:val="center"/>
        <w:rPr>
          <w:rFonts w:ascii="National" w:eastAsia="National" w:hAnsi="National" w:cs="National"/>
          <w:b/>
          <w:color w:val="303AB2"/>
          <w:sz w:val="56"/>
          <w:szCs w:val="56"/>
        </w:rPr>
      </w:pPr>
      <w:r>
        <w:rPr>
          <w:rFonts w:ascii="National" w:eastAsia="National" w:hAnsi="National" w:cs="National"/>
          <w:b/>
          <w:color w:val="303AB2"/>
          <w:sz w:val="56"/>
          <w:szCs w:val="56"/>
        </w:rPr>
        <w:t>El precio del alquiler de los garajes se mantiene casi estable en 2023 y sube un 0,9% en un año</w:t>
      </w:r>
    </w:p>
    <w:p w14:paraId="0CAE2C72" w14:textId="77777777" w:rsidR="00E255F8" w:rsidRDefault="00E255F8">
      <w:pPr>
        <w:pBdr>
          <w:top w:val="nil"/>
          <w:left w:val="nil"/>
          <w:bottom w:val="nil"/>
          <w:right w:val="nil"/>
          <w:between w:val="nil"/>
        </w:pBdr>
        <w:spacing w:line="276" w:lineRule="auto"/>
        <w:ind w:left="284" w:right="-574"/>
        <w:jc w:val="center"/>
        <w:rPr>
          <w:rFonts w:ascii="Open Sans" w:eastAsia="Open Sans" w:hAnsi="Open Sans" w:cs="Open Sans"/>
          <w:color w:val="000000"/>
          <w:sz w:val="22"/>
          <w:szCs w:val="22"/>
        </w:rPr>
      </w:pPr>
    </w:p>
    <w:p w14:paraId="10EBBC34" w14:textId="77777777" w:rsidR="00E255F8"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2023 se ha pagado de media por un garaje en alquiler en España 73,59 euros/mes, un 1,3% más que hace 5 años (en 2018)</w:t>
      </w:r>
    </w:p>
    <w:p w14:paraId="3E9FBF81" w14:textId="77777777" w:rsidR="00E255F8" w:rsidRDefault="00000000">
      <w:pPr>
        <w:numPr>
          <w:ilvl w:val="0"/>
          <w:numId w:val="1"/>
        </w:numPr>
        <w:pBdr>
          <w:top w:val="nil"/>
          <w:left w:val="nil"/>
          <w:bottom w:val="nil"/>
          <w:right w:val="nil"/>
          <w:between w:val="nil"/>
        </w:pBdr>
        <w:spacing w:line="276" w:lineRule="auto"/>
        <w:ind w:left="284" w:right="-574"/>
        <w:jc w:val="both"/>
        <w:rPr>
          <w:rFonts w:ascii="Open Sans Light" w:eastAsia="Open Sans Light" w:hAnsi="Open Sans Light" w:cs="Open Sans Light"/>
          <w:b/>
          <w:color w:val="303AB2"/>
        </w:rPr>
      </w:pPr>
      <w:r>
        <w:rPr>
          <w:rFonts w:ascii="Open Sans" w:eastAsia="Open Sans" w:hAnsi="Open Sans" w:cs="Open Sans"/>
          <w:color w:val="000000"/>
          <w:sz w:val="22"/>
          <w:szCs w:val="22"/>
        </w:rPr>
        <w:t>Los residentes de Baleares son los que más pagan por el alquiler de los garajes España, 93,38 euros al mes</w:t>
      </w:r>
    </w:p>
    <w:p w14:paraId="11827C93" w14:textId="77777777" w:rsidR="00E255F8"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más beneficiados por el descenso del alquiler de los garajes en 2023 han sido los residentes de la ciudad de Gijón (-7,4%) y los de los distritos de Sant Andreu (-39,4%) de Barcelona y Tetúan (15,9%) de Madrid</w:t>
      </w:r>
    </w:p>
    <w:p w14:paraId="55F1DC88" w14:textId="77777777" w:rsidR="00E255F8" w:rsidRDefault="00E255F8">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3AA63209" w14:textId="24432C17" w:rsidR="00E255F8" w:rsidRDefault="00000000">
      <w:pPr>
        <w:pBdr>
          <w:top w:val="nil"/>
          <w:left w:val="nil"/>
          <w:bottom w:val="nil"/>
          <w:right w:val="nil"/>
          <w:between w:val="nil"/>
        </w:pBd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322E7B">
        <w:rPr>
          <w:rFonts w:ascii="Open Sans Light" w:eastAsia="Open Sans Light" w:hAnsi="Open Sans Light" w:cs="Open Sans Light"/>
          <w:b/>
          <w:color w:val="303AB2"/>
        </w:rPr>
        <w:t>6 de marzo</w:t>
      </w:r>
      <w:r>
        <w:rPr>
          <w:rFonts w:ascii="Open Sans Light" w:eastAsia="Open Sans Light" w:hAnsi="Open Sans Light" w:cs="Open Sans Light"/>
          <w:b/>
          <w:color w:val="303AB2"/>
        </w:rPr>
        <w:t xml:space="preserve"> de 2024</w:t>
      </w:r>
    </w:p>
    <w:p w14:paraId="14DA5AF0" w14:textId="77777777" w:rsidR="00E255F8" w:rsidRDefault="00000000">
      <w:pPr>
        <w:pBdr>
          <w:top w:val="nil"/>
          <w:left w:val="nil"/>
          <w:bottom w:val="nil"/>
          <w:right w:val="nil"/>
          <w:between w:val="nil"/>
        </w:pBdr>
        <w:shd w:val="clear" w:color="auto" w:fill="FFFFFF"/>
        <w:spacing w:before="280" w:after="280" w:line="276" w:lineRule="auto"/>
        <w:ind w:right="-574"/>
        <w:jc w:val="both"/>
        <w:rPr>
          <w:rFonts w:ascii="Times New Roman" w:eastAsia="Times New Roman" w:hAnsi="Times New Roman" w:cs="Times New Roman"/>
          <w:color w:val="000000"/>
        </w:rPr>
      </w:pPr>
      <w:bookmarkStart w:id="0" w:name="_heading=h.gjdgxs" w:colFirst="0" w:colLast="0"/>
      <w:bookmarkEnd w:id="0"/>
      <w:r>
        <w:rPr>
          <w:rFonts w:ascii="Open Sans" w:eastAsia="Open Sans" w:hAnsi="Open Sans" w:cs="Open Sans"/>
          <w:color w:val="000000"/>
          <w:sz w:val="22"/>
          <w:szCs w:val="22"/>
        </w:rPr>
        <w:t xml:space="preserve">El precio de los garajes en alquiler en España ha subido un 0,9% en un año (respecto a 2022) y un 1,3% respecto a hace 5 años (2018), según el estudio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Variación acumulativa de los garajes en España en 2023”,</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 xml:space="preserve">basado en los precios de los garajes en alquiler del mes de diciembre de los últimos 8 años del Índice Inmobiliario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FF"/>
          <w:sz w:val="22"/>
          <w:szCs w:val="22"/>
          <w:u w:val="single"/>
        </w:rPr>
        <w:t>.</w:t>
      </w:r>
      <w:r>
        <w:rPr>
          <w:rFonts w:ascii="Times New Roman" w:eastAsia="Times New Roman" w:hAnsi="Times New Roman" w:cs="Times New Roman"/>
          <w:color w:val="000000"/>
        </w:rPr>
        <w:t xml:space="preserve"> </w:t>
      </w:r>
    </w:p>
    <w:p w14:paraId="17DF7099" w14:textId="77777777" w:rsidR="00E255F8"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sz w:val="22"/>
          <w:szCs w:val="22"/>
        </w:rPr>
      </w:pPr>
      <w:r>
        <w:rPr>
          <w:rFonts w:ascii="Open Sans" w:eastAsia="Open Sans" w:hAnsi="Open Sans" w:cs="Open Sans"/>
          <w:sz w:val="22"/>
          <w:szCs w:val="22"/>
        </w:rPr>
        <w:t xml:space="preserve">Variación acumulativa (%) del alquiler por años en España </w:t>
      </w:r>
      <w:r>
        <w:rPr>
          <w:rFonts w:ascii="Open Sans" w:eastAsia="Open Sans" w:hAnsi="Open Sans" w:cs="Open Sans"/>
          <w:noProof/>
          <w:sz w:val="22"/>
          <w:szCs w:val="22"/>
        </w:rPr>
        <w:drawing>
          <wp:inline distT="0" distB="0" distL="0" distR="0" wp14:anchorId="4DD8A5AE" wp14:editId="0B58E3E6">
            <wp:extent cx="5961888" cy="2523744"/>
            <wp:effectExtent l="0" t="0" r="0" b="0"/>
            <wp:docPr id="1551929160" name="Gráfico 15519291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EF5507" w14:textId="77777777" w:rsidR="00E255F8" w:rsidRDefault="00000000" w:rsidP="00F527D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“La media del alquiler de una plaza de garaje tan solo se ha incrementado un 0,9% este año y un 2,9% el ejercicio anterior. Esto significa que el precio del alquiler está recuperando poco a poco la caída presentada en 2021. Desde el inicio de la pandemia, el sector del automóvil ha encadenado una crisis de escasez de chips, dificultades en la logística, encarecimiento energético y la subida de tipos, han afectado a las matriculaciones de los vehículos en los últimos años. De hecho, todavía no se ha recuperado el volumen previo al 2020. Son datos muy estables, que indican que la demanda de alquiler se ha rebajado y no está ejerciendo tanta presión sobre el mercado como en años pasados. Sin embargo, 2024 apunta a un dinamismo en la demanda de vehículos lo que podría afectar al aumento del alquiler de las plazas de garaje”, explica María Matos, directora de Estudios de </w:t>
      </w:r>
      <w:hyperlink r:id="rId12">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059DD745" w14:textId="77777777" w:rsidR="00E255F8" w:rsidRDefault="00000000">
      <w:pPr>
        <w:pBdr>
          <w:top w:val="nil"/>
          <w:left w:val="nil"/>
          <w:bottom w:val="nil"/>
          <w:right w:val="nil"/>
          <w:between w:val="nil"/>
        </w:pBdr>
        <w:shd w:val="clear" w:color="auto" w:fill="FFFFFF"/>
        <w:spacing w:before="280" w:after="280" w:line="276" w:lineRule="auto"/>
        <w:ind w:right="-574"/>
        <w:jc w:val="both"/>
        <w:rPr>
          <w:rFonts w:ascii="Times New Roman" w:eastAsia="Times New Roman" w:hAnsi="Times New Roman" w:cs="Times New Roman"/>
          <w:color w:val="000000"/>
        </w:rPr>
      </w:pPr>
      <w:r>
        <w:rPr>
          <w:rFonts w:ascii="Open Sans" w:eastAsia="Open Sans" w:hAnsi="Open Sans" w:cs="Open Sans"/>
          <w:color w:val="000000"/>
          <w:sz w:val="22"/>
          <w:szCs w:val="22"/>
        </w:rPr>
        <w:t xml:space="preserve">Analizando los precios que se pagaban por un garaje en alquiler en 2018, </w:t>
      </w:r>
      <w:r>
        <w:rPr>
          <w:rFonts w:ascii="Open Sans" w:eastAsia="Open Sans" w:hAnsi="Open Sans" w:cs="Open Sans"/>
          <w:b/>
          <w:color w:val="000000"/>
          <w:sz w:val="22"/>
          <w:szCs w:val="22"/>
        </w:rPr>
        <w:t>el precio medio del alquiler de los garajes ha subido un 1,3% en España</w:t>
      </w:r>
      <w:r>
        <w:rPr>
          <w:rFonts w:ascii="Open Sans" w:eastAsia="Open Sans" w:hAnsi="Open Sans" w:cs="Open Sans"/>
          <w:color w:val="000000"/>
          <w:sz w:val="22"/>
          <w:szCs w:val="22"/>
        </w:rPr>
        <w:t xml:space="preserve">. Así, los españoles hace 5 años (2018) debían pagar por el alquiler de los garajes una media de 72,64 euros/mes, frente a los 73,59 euros/mes que se paga como media en España en 2023. </w:t>
      </w:r>
    </w:p>
    <w:p w14:paraId="135830EF" w14:textId="77777777" w:rsidR="00E255F8"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CCAA con porcentajes (%) y precio del alquiler de los garajes</w:t>
      </w:r>
    </w:p>
    <w:p w14:paraId="395A0383" w14:textId="77777777" w:rsidR="00E255F8" w:rsidRDefault="00E255F8">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
        <w:tblW w:w="8994"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2542"/>
        <w:gridCol w:w="2268"/>
        <w:gridCol w:w="2126"/>
        <w:gridCol w:w="2058"/>
      </w:tblGrid>
      <w:tr w:rsidR="00E255F8" w14:paraId="54EF6A50" w14:textId="77777777">
        <w:trPr>
          <w:trHeight w:val="857"/>
        </w:trPr>
        <w:tc>
          <w:tcPr>
            <w:tcW w:w="2542" w:type="dxa"/>
            <w:shd w:val="clear" w:color="auto" w:fill="ACB9CA"/>
            <w:vAlign w:val="center"/>
          </w:tcPr>
          <w:p w14:paraId="4D458564" w14:textId="77777777" w:rsidR="00E255F8" w:rsidRDefault="00000000">
            <w:pPr>
              <w:rPr>
                <w:rFonts w:ascii="Open Sans" w:eastAsia="Open Sans" w:hAnsi="Open Sans" w:cs="Open Sans"/>
                <w:color w:val="000000"/>
                <w:sz w:val="22"/>
                <w:szCs w:val="22"/>
              </w:rPr>
            </w:pPr>
            <w:bookmarkStart w:id="1" w:name="_heading=h.30j0zll" w:colFirst="0" w:colLast="0"/>
            <w:bookmarkEnd w:id="1"/>
            <w:r>
              <w:rPr>
                <w:rFonts w:ascii="Open Sans" w:eastAsia="Open Sans" w:hAnsi="Open Sans" w:cs="Open Sans"/>
                <w:color w:val="000000"/>
                <w:sz w:val="22"/>
                <w:szCs w:val="22"/>
              </w:rPr>
              <w:t>CCAA</w:t>
            </w:r>
          </w:p>
        </w:tc>
        <w:tc>
          <w:tcPr>
            <w:tcW w:w="2268" w:type="dxa"/>
            <w:shd w:val="clear" w:color="auto" w:fill="ACB9CA"/>
            <w:vAlign w:val="center"/>
          </w:tcPr>
          <w:p w14:paraId="7F1B2E22"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D0D0D"/>
                <w:sz w:val="22"/>
                <w:szCs w:val="22"/>
              </w:rPr>
              <w:t>Alquileres (€) de los garajes en 2023</w:t>
            </w:r>
          </w:p>
        </w:tc>
        <w:tc>
          <w:tcPr>
            <w:tcW w:w="2126" w:type="dxa"/>
            <w:shd w:val="clear" w:color="auto" w:fill="ACB9CA"/>
            <w:vAlign w:val="center"/>
          </w:tcPr>
          <w:p w14:paraId="50C5C244"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Variación (%) </w:t>
            </w:r>
          </w:p>
          <w:p w14:paraId="4DBA848B"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(2023 vs 2018)  </w:t>
            </w:r>
          </w:p>
        </w:tc>
        <w:tc>
          <w:tcPr>
            <w:tcW w:w="2058" w:type="dxa"/>
            <w:shd w:val="clear" w:color="auto" w:fill="ACB9CA"/>
            <w:vAlign w:val="center"/>
          </w:tcPr>
          <w:p w14:paraId="077B9A2C"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Variación (%) </w:t>
            </w:r>
          </w:p>
          <w:p w14:paraId="2BD63D03"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 (2023 vs 2022)  </w:t>
            </w:r>
          </w:p>
        </w:tc>
      </w:tr>
      <w:tr w:rsidR="00E255F8" w14:paraId="760D3BC5" w14:textId="77777777">
        <w:trPr>
          <w:trHeight w:val="247"/>
        </w:trPr>
        <w:tc>
          <w:tcPr>
            <w:tcW w:w="2542" w:type="dxa"/>
            <w:shd w:val="clear" w:color="auto" w:fill="auto"/>
            <w:vAlign w:val="bottom"/>
          </w:tcPr>
          <w:p w14:paraId="7FCE712D" w14:textId="77777777" w:rsidR="00E255F8" w:rsidRDefault="00000000">
            <w:pPr>
              <w:rPr>
                <w:rFonts w:ascii="Open Sans" w:eastAsia="Open Sans" w:hAnsi="Open Sans" w:cs="Open Sans"/>
                <w:sz w:val="22"/>
                <w:szCs w:val="22"/>
              </w:rPr>
            </w:pPr>
            <w:r>
              <w:rPr>
                <w:rFonts w:ascii="Open Sans" w:eastAsia="Open Sans" w:hAnsi="Open Sans" w:cs="Open Sans"/>
                <w:sz w:val="22"/>
                <w:szCs w:val="22"/>
              </w:rPr>
              <w:t>Baleares</w:t>
            </w:r>
          </w:p>
        </w:tc>
        <w:tc>
          <w:tcPr>
            <w:tcW w:w="2268" w:type="dxa"/>
            <w:shd w:val="clear" w:color="auto" w:fill="auto"/>
            <w:vAlign w:val="bottom"/>
          </w:tcPr>
          <w:p w14:paraId="2DD8BDB1" w14:textId="77777777" w:rsidR="00E255F8" w:rsidRDefault="00000000">
            <w:pPr>
              <w:jc w:val="center"/>
              <w:rPr>
                <w:rFonts w:ascii="Open Sans" w:eastAsia="Open Sans" w:hAnsi="Open Sans" w:cs="Open Sans"/>
                <w:sz w:val="22"/>
                <w:szCs w:val="22"/>
              </w:rPr>
            </w:pPr>
            <w:r>
              <w:rPr>
                <w:rFonts w:ascii="Open Sans" w:eastAsia="Open Sans" w:hAnsi="Open Sans" w:cs="Open Sans"/>
                <w:sz w:val="22"/>
                <w:szCs w:val="22"/>
              </w:rPr>
              <w:t>93,38 €</w:t>
            </w:r>
          </w:p>
        </w:tc>
        <w:tc>
          <w:tcPr>
            <w:tcW w:w="2126" w:type="dxa"/>
            <w:vAlign w:val="bottom"/>
          </w:tcPr>
          <w:p w14:paraId="6EF1E9F8"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31,4%</w:t>
            </w:r>
          </w:p>
        </w:tc>
        <w:tc>
          <w:tcPr>
            <w:tcW w:w="2058" w:type="dxa"/>
            <w:vAlign w:val="bottom"/>
          </w:tcPr>
          <w:p w14:paraId="51A9B18C"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8,9%</w:t>
            </w:r>
          </w:p>
        </w:tc>
      </w:tr>
      <w:tr w:rsidR="00E255F8" w14:paraId="06CF9976" w14:textId="77777777">
        <w:trPr>
          <w:trHeight w:val="247"/>
        </w:trPr>
        <w:tc>
          <w:tcPr>
            <w:tcW w:w="2542" w:type="dxa"/>
            <w:shd w:val="clear" w:color="auto" w:fill="auto"/>
            <w:vAlign w:val="bottom"/>
          </w:tcPr>
          <w:p w14:paraId="74BAF4B1" w14:textId="77777777" w:rsidR="00E255F8" w:rsidRDefault="00000000">
            <w:pPr>
              <w:rPr>
                <w:rFonts w:ascii="Open Sans" w:eastAsia="Open Sans" w:hAnsi="Open Sans" w:cs="Open Sans"/>
                <w:sz w:val="22"/>
                <w:szCs w:val="22"/>
              </w:rPr>
            </w:pPr>
            <w:r>
              <w:rPr>
                <w:rFonts w:ascii="Open Sans" w:eastAsia="Open Sans" w:hAnsi="Open Sans" w:cs="Open Sans"/>
                <w:sz w:val="22"/>
                <w:szCs w:val="22"/>
              </w:rPr>
              <w:t>La Rioja</w:t>
            </w:r>
          </w:p>
        </w:tc>
        <w:tc>
          <w:tcPr>
            <w:tcW w:w="2268" w:type="dxa"/>
            <w:shd w:val="clear" w:color="auto" w:fill="auto"/>
            <w:vAlign w:val="bottom"/>
          </w:tcPr>
          <w:p w14:paraId="434A1B84" w14:textId="77777777" w:rsidR="00E255F8" w:rsidRDefault="00000000">
            <w:pPr>
              <w:jc w:val="center"/>
              <w:rPr>
                <w:rFonts w:ascii="Open Sans" w:eastAsia="Open Sans" w:hAnsi="Open Sans" w:cs="Open Sans"/>
                <w:sz w:val="22"/>
                <w:szCs w:val="22"/>
              </w:rPr>
            </w:pPr>
            <w:r>
              <w:rPr>
                <w:rFonts w:ascii="Open Sans" w:eastAsia="Open Sans" w:hAnsi="Open Sans" w:cs="Open Sans"/>
                <w:sz w:val="22"/>
                <w:szCs w:val="22"/>
              </w:rPr>
              <w:t>61,04 €</w:t>
            </w:r>
          </w:p>
        </w:tc>
        <w:tc>
          <w:tcPr>
            <w:tcW w:w="2126" w:type="dxa"/>
            <w:vAlign w:val="bottom"/>
          </w:tcPr>
          <w:p w14:paraId="0D0E827B" w14:textId="77777777" w:rsidR="00E255F8"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12,1%</w:t>
            </w:r>
          </w:p>
        </w:tc>
        <w:tc>
          <w:tcPr>
            <w:tcW w:w="2058" w:type="dxa"/>
            <w:vAlign w:val="bottom"/>
          </w:tcPr>
          <w:p w14:paraId="00B04EE7"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7,8%</w:t>
            </w:r>
          </w:p>
        </w:tc>
      </w:tr>
      <w:tr w:rsidR="00E255F8" w14:paraId="6D46C8FA" w14:textId="77777777">
        <w:trPr>
          <w:trHeight w:val="247"/>
        </w:trPr>
        <w:tc>
          <w:tcPr>
            <w:tcW w:w="2542" w:type="dxa"/>
            <w:shd w:val="clear" w:color="auto" w:fill="auto"/>
            <w:vAlign w:val="bottom"/>
          </w:tcPr>
          <w:p w14:paraId="653EF76B" w14:textId="77777777" w:rsidR="00E255F8" w:rsidRDefault="00000000">
            <w:pPr>
              <w:rPr>
                <w:rFonts w:ascii="Open Sans" w:eastAsia="Open Sans" w:hAnsi="Open Sans" w:cs="Open Sans"/>
                <w:sz w:val="22"/>
                <w:szCs w:val="22"/>
              </w:rPr>
            </w:pPr>
            <w:r>
              <w:rPr>
                <w:rFonts w:ascii="Open Sans" w:eastAsia="Open Sans" w:hAnsi="Open Sans" w:cs="Open Sans"/>
                <w:sz w:val="22"/>
                <w:szCs w:val="22"/>
              </w:rPr>
              <w:t>Aragón</w:t>
            </w:r>
          </w:p>
        </w:tc>
        <w:tc>
          <w:tcPr>
            <w:tcW w:w="2268" w:type="dxa"/>
            <w:shd w:val="clear" w:color="auto" w:fill="auto"/>
            <w:vAlign w:val="bottom"/>
          </w:tcPr>
          <w:p w14:paraId="3BA6A803" w14:textId="77777777" w:rsidR="00E255F8" w:rsidRDefault="00000000">
            <w:pPr>
              <w:jc w:val="center"/>
              <w:rPr>
                <w:rFonts w:ascii="Open Sans" w:eastAsia="Open Sans" w:hAnsi="Open Sans" w:cs="Open Sans"/>
                <w:sz w:val="22"/>
                <w:szCs w:val="22"/>
              </w:rPr>
            </w:pPr>
            <w:r>
              <w:rPr>
                <w:rFonts w:ascii="Open Sans" w:eastAsia="Open Sans" w:hAnsi="Open Sans" w:cs="Open Sans"/>
                <w:sz w:val="22"/>
                <w:szCs w:val="22"/>
              </w:rPr>
              <w:t>64,14 €</w:t>
            </w:r>
          </w:p>
        </w:tc>
        <w:tc>
          <w:tcPr>
            <w:tcW w:w="2126" w:type="dxa"/>
            <w:vAlign w:val="bottom"/>
          </w:tcPr>
          <w:p w14:paraId="03885F0C" w14:textId="77777777" w:rsidR="00E255F8"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7,7%</w:t>
            </w:r>
          </w:p>
        </w:tc>
        <w:tc>
          <w:tcPr>
            <w:tcW w:w="2058" w:type="dxa"/>
            <w:vAlign w:val="bottom"/>
          </w:tcPr>
          <w:p w14:paraId="21B30EAD" w14:textId="77777777" w:rsidR="00E255F8" w:rsidRDefault="00000000">
            <w:pPr>
              <w:jc w:val="center"/>
              <w:rPr>
                <w:rFonts w:ascii="Open Sans" w:eastAsia="Open Sans" w:hAnsi="Open Sans" w:cs="Open Sans"/>
                <w:b/>
                <w:color w:val="9C0006"/>
                <w:sz w:val="22"/>
                <w:szCs w:val="22"/>
              </w:rPr>
            </w:pPr>
            <w:r>
              <w:rPr>
                <w:rFonts w:ascii="Open Sans" w:eastAsia="Open Sans" w:hAnsi="Open Sans" w:cs="Open Sans"/>
                <w:b/>
                <w:color w:val="000000"/>
                <w:sz w:val="22"/>
                <w:szCs w:val="22"/>
              </w:rPr>
              <w:t>7,0%</w:t>
            </w:r>
          </w:p>
        </w:tc>
      </w:tr>
      <w:tr w:rsidR="00E255F8" w14:paraId="63E517C0" w14:textId="77777777">
        <w:trPr>
          <w:trHeight w:val="247"/>
        </w:trPr>
        <w:tc>
          <w:tcPr>
            <w:tcW w:w="2542" w:type="dxa"/>
            <w:shd w:val="clear" w:color="auto" w:fill="auto"/>
            <w:vAlign w:val="bottom"/>
          </w:tcPr>
          <w:p w14:paraId="4F991F9F" w14:textId="77777777" w:rsidR="00E255F8" w:rsidRDefault="00000000">
            <w:pPr>
              <w:rPr>
                <w:rFonts w:ascii="Open Sans" w:eastAsia="Open Sans" w:hAnsi="Open Sans" w:cs="Open Sans"/>
                <w:sz w:val="22"/>
                <w:szCs w:val="22"/>
              </w:rPr>
            </w:pPr>
            <w:r>
              <w:rPr>
                <w:rFonts w:ascii="Open Sans" w:eastAsia="Open Sans" w:hAnsi="Open Sans" w:cs="Open Sans"/>
                <w:sz w:val="22"/>
                <w:szCs w:val="22"/>
              </w:rPr>
              <w:t>Región de Murcia</w:t>
            </w:r>
          </w:p>
        </w:tc>
        <w:tc>
          <w:tcPr>
            <w:tcW w:w="2268" w:type="dxa"/>
            <w:shd w:val="clear" w:color="auto" w:fill="auto"/>
            <w:vAlign w:val="bottom"/>
          </w:tcPr>
          <w:p w14:paraId="405EF9E4" w14:textId="77777777" w:rsidR="00E255F8" w:rsidRDefault="00000000">
            <w:pPr>
              <w:jc w:val="center"/>
              <w:rPr>
                <w:rFonts w:ascii="Open Sans" w:eastAsia="Open Sans" w:hAnsi="Open Sans" w:cs="Open Sans"/>
                <w:sz w:val="22"/>
                <w:szCs w:val="22"/>
              </w:rPr>
            </w:pPr>
            <w:r>
              <w:rPr>
                <w:rFonts w:ascii="Open Sans" w:eastAsia="Open Sans" w:hAnsi="Open Sans" w:cs="Open Sans"/>
                <w:sz w:val="22"/>
                <w:szCs w:val="22"/>
              </w:rPr>
              <w:t>62,88 €</w:t>
            </w:r>
          </w:p>
        </w:tc>
        <w:tc>
          <w:tcPr>
            <w:tcW w:w="2126" w:type="dxa"/>
            <w:vAlign w:val="bottom"/>
          </w:tcPr>
          <w:p w14:paraId="16A58595" w14:textId="77777777" w:rsidR="00E255F8"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6,0%</w:t>
            </w:r>
          </w:p>
        </w:tc>
        <w:tc>
          <w:tcPr>
            <w:tcW w:w="2058" w:type="dxa"/>
            <w:vAlign w:val="bottom"/>
          </w:tcPr>
          <w:p w14:paraId="6702723A"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4,9%</w:t>
            </w:r>
          </w:p>
        </w:tc>
      </w:tr>
      <w:tr w:rsidR="00E255F8" w14:paraId="1D4B5436" w14:textId="77777777">
        <w:trPr>
          <w:trHeight w:val="247"/>
        </w:trPr>
        <w:tc>
          <w:tcPr>
            <w:tcW w:w="2542" w:type="dxa"/>
            <w:shd w:val="clear" w:color="auto" w:fill="auto"/>
            <w:vAlign w:val="bottom"/>
          </w:tcPr>
          <w:p w14:paraId="66CD042E" w14:textId="77777777" w:rsidR="00E255F8" w:rsidRDefault="00000000">
            <w:pPr>
              <w:rPr>
                <w:rFonts w:ascii="Open Sans" w:eastAsia="Open Sans" w:hAnsi="Open Sans" w:cs="Open Sans"/>
                <w:sz w:val="22"/>
                <w:szCs w:val="22"/>
              </w:rPr>
            </w:pPr>
            <w:r>
              <w:rPr>
                <w:rFonts w:ascii="Open Sans" w:eastAsia="Open Sans" w:hAnsi="Open Sans" w:cs="Open Sans"/>
                <w:sz w:val="22"/>
                <w:szCs w:val="22"/>
              </w:rPr>
              <w:t>Comunitat Valenciana</w:t>
            </w:r>
          </w:p>
        </w:tc>
        <w:tc>
          <w:tcPr>
            <w:tcW w:w="2268" w:type="dxa"/>
            <w:shd w:val="clear" w:color="auto" w:fill="auto"/>
            <w:vAlign w:val="bottom"/>
          </w:tcPr>
          <w:p w14:paraId="622633F9" w14:textId="77777777" w:rsidR="00E255F8" w:rsidRDefault="00000000">
            <w:pPr>
              <w:jc w:val="center"/>
              <w:rPr>
                <w:rFonts w:ascii="Open Sans" w:eastAsia="Open Sans" w:hAnsi="Open Sans" w:cs="Open Sans"/>
                <w:sz w:val="22"/>
                <w:szCs w:val="22"/>
              </w:rPr>
            </w:pPr>
            <w:r>
              <w:rPr>
                <w:rFonts w:ascii="Open Sans" w:eastAsia="Open Sans" w:hAnsi="Open Sans" w:cs="Open Sans"/>
                <w:sz w:val="22"/>
                <w:szCs w:val="22"/>
              </w:rPr>
              <w:t>67,10 €</w:t>
            </w:r>
          </w:p>
        </w:tc>
        <w:tc>
          <w:tcPr>
            <w:tcW w:w="2126" w:type="dxa"/>
            <w:vAlign w:val="bottom"/>
          </w:tcPr>
          <w:p w14:paraId="6EA4BA6F" w14:textId="77777777" w:rsidR="00E255F8"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14,2%</w:t>
            </w:r>
          </w:p>
        </w:tc>
        <w:tc>
          <w:tcPr>
            <w:tcW w:w="2058" w:type="dxa"/>
            <w:vAlign w:val="bottom"/>
          </w:tcPr>
          <w:p w14:paraId="40913281"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4,3%</w:t>
            </w:r>
          </w:p>
        </w:tc>
      </w:tr>
      <w:tr w:rsidR="00E255F8" w14:paraId="45E7FF26" w14:textId="77777777">
        <w:trPr>
          <w:trHeight w:val="247"/>
        </w:trPr>
        <w:tc>
          <w:tcPr>
            <w:tcW w:w="2542" w:type="dxa"/>
            <w:shd w:val="clear" w:color="auto" w:fill="auto"/>
            <w:vAlign w:val="bottom"/>
          </w:tcPr>
          <w:p w14:paraId="6DEA4AD2" w14:textId="77777777" w:rsidR="00E255F8" w:rsidRDefault="00000000">
            <w:pPr>
              <w:rPr>
                <w:rFonts w:ascii="Open Sans" w:eastAsia="Open Sans" w:hAnsi="Open Sans" w:cs="Open Sans"/>
                <w:sz w:val="22"/>
                <w:szCs w:val="22"/>
              </w:rPr>
            </w:pPr>
            <w:r>
              <w:rPr>
                <w:rFonts w:ascii="Open Sans" w:eastAsia="Open Sans" w:hAnsi="Open Sans" w:cs="Open Sans"/>
                <w:sz w:val="22"/>
                <w:szCs w:val="22"/>
              </w:rPr>
              <w:t>Cantabria</w:t>
            </w:r>
          </w:p>
        </w:tc>
        <w:tc>
          <w:tcPr>
            <w:tcW w:w="2268" w:type="dxa"/>
            <w:shd w:val="clear" w:color="auto" w:fill="auto"/>
            <w:vAlign w:val="bottom"/>
          </w:tcPr>
          <w:p w14:paraId="504544C3" w14:textId="77777777" w:rsidR="00E255F8" w:rsidRDefault="00000000">
            <w:pPr>
              <w:jc w:val="center"/>
              <w:rPr>
                <w:rFonts w:ascii="Open Sans" w:eastAsia="Open Sans" w:hAnsi="Open Sans" w:cs="Open Sans"/>
                <w:sz w:val="22"/>
                <w:szCs w:val="22"/>
              </w:rPr>
            </w:pPr>
            <w:r>
              <w:rPr>
                <w:rFonts w:ascii="Open Sans" w:eastAsia="Open Sans" w:hAnsi="Open Sans" w:cs="Open Sans"/>
                <w:sz w:val="22"/>
                <w:szCs w:val="22"/>
              </w:rPr>
              <w:t>92,44 €</w:t>
            </w:r>
          </w:p>
        </w:tc>
        <w:tc>
          <w:tcPr>
            <w:tcW w:w="2126" w:type="dxa"/>
            <w:shd w:val="clear" w:color="auto" w:fill="auto"/>
            <w:vAlign w:val="bottom"/>
          </w:tcPr>
          <w:p w14:paraId="0C6BCB07" w14:textId="77777777" w:rsidR="00E255F8"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20,8%</w:t>
            </w:r>
          </w:p>
        </w:tc>
        <w:tc>
          <w:tcPr>
            <w:tcW w:w="2058" w:type="dxa"/>
            <w:shd w:val="clear" w:color="auto" w:fill="auto"/>
            <w:vAlign w:val="bottom"/>
          </w:tcPr>
          <w:p w14:paraId="1E588B62"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3,7%</w:t>
            </w:r>
          </w:p>
        </w:tc>
      </w:tr>
      <w:tr w:rsidR="00E255F8" w14:paraId="45EAC31C" w14:textId="77777777">
        <w:trPr>
          <w:trHeight w:val="247"/>
        </w:trPr>
        <w:tc>
          <w:tcPr>
            <w:tcW w:w="2542" w:type="dxa"/>
            <w:shd w:val="clear" w:color="auto" w:fill="auto"/>
            <w:vAlign w:val="bottom"/>
          </w:tcPr>
          <w:p w14:paraId="703438C2" w14:textId="77777777" w:rsidR="00E255F8" w:rsidRDefault="00000000">
            <w:pPr>
              <w:rPr>
                <w:rFonts w:ascii="Open Sans" w:eastAsia="Open Sans" w:hAnsi="Open Sans" w:cs="Open Sans"/>
                <w:sz w:val="22"/>
                <w:szCs w:val="22"/>
              </w:rPr>
            </w:pPr>
            <w:r>
              <w:rPr>
                <w:rFonts w:ascii="Open Sans" w:eastAsia="Open Sans" w:hAnsi="Open Sans" w:cs="Open Sans"/>
                <w:sz w:val="22"/>
                <w:szCs w:val="22"/>
              </w:rPr>
              <w:t>Canarias</w:t>
            </w:r>
          </w:p>
        </w:tc>
        <w:tc>
          <w:tcPr>
            <w:tcW w:w="2268" w:type="dxa"/>
            <w:shd w:val="clear" w:color="auto" w:fill="auto"/>
            <w:vAlign w:val="bottom"/>
          </w:tcPr>
          <w:p w14:paraId="1E725028" w14:textId="77777777" w:rsidR="00E255F8" w:rsidRDefault="00000000">
            <w:pPr>
              <w:jc w:val="center"/>
              <w:rPr>
                <w:rFonts w:ascii="Open Sans" w:eastAsia="Open Sans" w:hAnsi="Open Sans" w:cs="Open Sans"/>
                <w:sz w:val="22"/>
                <w:szCs w:val="22"/>
              </w:rPr>
            </w:pPr>
            <w:r>
              <w:rPr>
                <w:rFonts w:ascii="Open Sans" w:eastAsia="Open Sans" w:hAnsi="Open Sans" w:cs="Open Sans"/>
                <w:sz w:val="22"/>
                <w:szCs w:val="22"/>
              </w:rPr>
              <w:t>73,51 €</w:t>
            </w:r>
          </w:p>
        </w:tc>
        <w:tc>
          <w:tcPr>
            <w:tcW w:w="2126" w:type="dxa"/>
            <w:vAlign w:val="bottom"/>
          </w:tcPr>
          <w:p w14:paraId="2279D4BE" w14:textId="77777777" w:rsidR="00E255F8"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13,9%</w:t>
            </w:r>
          </w:p>
        </w:tc>
        <w:tc>
          <w:tcPr>
            <w:tcW w:w="2058" w:type="dxa"/>
            <w:vAlign w:val="bottom"/>
          </w:tcPr>
          <w:p w14:paraId="36E33811"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3,6%</w:t>
            </w:r>
          </w:p>
        </w:tc>
      </w:tr>
      <w:tr w:rsidR="00E255F8" w14:paraId="611A9458" w14:textId="77777777">
        <w:trPr>
          <w:trHeight w:val="247"/>
        </w:trPr>
        <w:tc>
          <w:tcPr>
            <w:tcW w:w="2542" w:type="dxa"/>
            <w:shd w:val="clear" w:color="auto" w:fill="auto"/>
            <w:vAlign w:val="bottom"/>
          </w:tcPr>
          <w:p w14:paraId="5A4BE854" w14:textId="77777777" w:rsidR="00E255F8" w:rsidRDefault="00000000">
            <w:pPr>
              <w:rPr>
                <w:rFonts w:ascii="Open Sans" w:eastAsia="Open Sans" w:hAnsi="Open Sans" w:cs="Open Sans"/>
                <w:sz w:val="22"/>
                <w:szCs w:val="22"/>
              </w:rPr>
            </w:pPr>
            <w:r>
              <w:rPr>
                <w:rFonts w:ascii="Open Sans" w:eastAsia="Open Sans" w:hAnsi="Open Sans" w:cs="Open Sans"/>
                <w:sz w:val="22"/>
                <w:szCs w:val="22"/>
              </w:rPr>
              <w:t>Navarra</w:t>
            </w:r>
          </w:p>
        </w:tc>
        <w:tc>
          <w:tcPr>
            <w:tcW w:w="2268" w:type="dxa"/>
            <w:shd w:val="clear" w:color="auto" w:fill="auto"/>
            <w:vAlign w:val="bottom"/>
          </w:tcPr>
          <w:p w14:paraId="2D1CD295" w14:textId="77777777" w:rsidR="00E255F8" w:rsidRDefault="00000000">
            <w:pPr>
              <w:jc w:val="center"/>
              <w:rPr>
                <w:rFonts w:ascii="Open Sans" w:eastAsia="Open Sans" w:hAnsi="Open Sans" w:cs="Open Sans"/>
                <w:sz w:val="22"/>
                <w:szCs w:val="22"/>
              </w:rPr>
            </w:pPr>
            <w:r>
              <w:rPr>
                <w:rFonts w:ascii="Open Sans" w:eastAsia="Open Sans" w:hAnsi="Open Sans" w:cs="Open Sans"/>
                <w:sz w:val="22"/>
                <w:szCs w:val="22"/>
              </w:rPr>
              <w:t>60,31 €</w:t>
            </w:r>
          </w:p>
        </w:tc>
        <w:tc>
          <w:tcPr>
            <w:tcW w:w="2126" w:type="dxa"/>
            <w:vAlign w:val="bottom"/>
          </w:tcPr>
          <w:p w14:paraId="45C75F77" w14:textId="77777777" w:rsidR="00E255F8"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12,0%</w:t>
            </w:r>
          </w:p>
        </w:tc>
        <w:tc>
          <w:tcPr>
            <w:tcW w:w="2058" w:type="dxa"/>
            <w:vAlign w:val="bottom"/>
          </w:tcPr>
          <w:p w14:paraId="0CA6410F" w14:textId="77777777" w:rsidR="00E255F8" w:rsidRDefault="00000000">
            <w:pPr>
              <w:jc w:val="center"/>
              <w:rPr>
                <w:rFonts w:ascii="Open Sans" w:eastAsia="Open Sans" w:hAnsi="Open Sans" w:cs="Open Sans"/>
                <w:b/>
                <w:color w:val="9C0006"/>
                <w:sz w:val="22"/>
                <w:szCs w:val="22"/>
              </w:rPr>
            </w:pPr>
            <w:r>
              <w:rPr>
                <w:rFonts w:ascii="Open Sans" w:eastAsia="Open Sans" w:hAnsi="Open Sans" w:cs="Open Sans"/>
                <w:b/>
                <w:color w:val="000000"/>
                <w:sz w:val="22"/>
                <w:szCs w:val="22"/>
              </w:rPr>
              <w:t>2,8%</w:t>
            </w:r>
          </w:p>
        </w:tc>
      </w:tr>
      <w:tr w:rsidR="00E255F8" w14:paraId="744CAB0B" w14:textId="77777777">
        <w:trPr>
          <w:trHeight w:val="247"/>
        </w:trPr>
        <w:tc>
          <w:tcPr>
            <w:tcW w:w="2542" w:type="dxa"/>
            <w:shd w:val="clear" w:color="auto" w:fill="auto"/>
            <w:vAlign w:val="bottom"/>
          </w:tcPr>
          <w:p w14:paraId="53B9E123" w14:textId="77777777" w:rsidR="00E255F8" w:rsidRDefault="00000000">
            <w:pPr>
              <w:rPr>
                <w:rFonts w:ascii="Open Sans" w:eastAsia="Open Sans" w:hAnsi="Open Sans" w:cs="Open Sans"/>
                <w:sz w:val="22"/>
                <w:szCs w:val="22"/>
              </w:rPr>
            </w:pPr>
            <w:r>
              <w:rPr>
                <w:rFonts w:ascii="Open Sans" w:eastAsia="Open Sans" w:hAnsi="Open Sans" w:cs="Open Sans"/>
                <w:sz w:val="22"/>
                <w:szCs w:val="22"/>
              </w:rPr>
              <w:t>País Vasco</w:t>
            </w:r>
          </w:p>
        </w:tc>
        <w:tc>
          <w:tcPr>
            <w:tcW w:w="2268" w:type="dxa"/>
            <w:shd w:val="clear" w:color="auto" w:fill="auto"/>
            <w:vAlign w:val="bottom"/>
          </w:tcPr>
          <w:p w14:paraId="1CFEEE82" w14:textId="77777777" w:rsidR="00E255F8" w:rsidRDefault="00000000">
            <w:pPr>
              <w:jc w:val="center"/>
              <w:rPr>
                <w:rFonts w:ascii="Open Sans" w:eastAsia="Open Sans" w:hAnsi="Open Sans" w:cs="Open Sans"/>
                <w:sz w:val="22"/>
                <w:szCs w:val="22"/>
              </w:rPr>
            </w:pPr>
            <w:r>
              <w:rPr>
                <w:rFonts w:ascii="Open Sans" w:eastAsia="Open Sans" w:hAnsi="Open Sans" w:cs="Open Sans"/>
                <w:sz w:val="22"/>
                <w:szCs w:val="22"/>
              </w:rPr>
              <w:t>87,70 €</w:t>
            </w:r>
          </w:p>
        </w:tc>
        <w:tc>
          <w:tcPr>
            <w:tcW w:w="2126" w:type="dxa"/>
            <w:vAlign w:val="bottom"/>
          </w:tcPr>
          <w:p w14:paraId="7B10AF30" w14:textId="77777777" w:rsidR="00E255F8"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23,4%</w:t>
            </w:r>
          </w:p>
        </w:tc>
        <w:tc>
          <w:tcPr>
            <w:tcW w:w="2058" w:type="dxa"/>
            <w:vAlign w:val="bottom"/>
          </w:tcPr>
          <w:p w14:paraId="4A1DCCF5" w14:textId="77777777" w:rsidR="00E255F8" w:rsidRDefault="00000000">
            <w:pPr>
              <w:jc w:val="center"/>
              <w:rPr>
                <w:rFonts w:ascii="Open Sans" w:eastAsia="Open Sans" w:hAnsi="Open Sans" w:cs="Open Sans"/>
                <w:b/>
                <w:color w:val="9C0006"/>
                <w:sz w:val="22"/>
                <w:szCs w:val="22"/>
              </w:rPr>
            </w:pPr>
            <w:r>
              <w:rPr>
                <w:rFonts w:ascii="Open Sans" w:eastAsia="Open Sans" w:hAnsi="Open Sans" w:cs="Open Sans"/>
                <w:b/>
                <w:color w:val="000000"/>
                <w:sz w:val="22"/>
                <w:szCs w:val="22"/>
              </w:rPr>
              <w:t>2,0%</w:t>
            </w:r>
          </w:p>
        </w:tc>
      </w:tr>
      <w:tr w:rsidR="00E255F8" w14:paraId="6718F39F" w14:textId="77777777">
        <w:trPr>
          <w:trHeight w:val="247"/>
        </w:trPr>
        <w:tc>
          <w:tcPr>
            <w:tcW w:w="2542" w:type="dxa"/>
            <w:shd w:val="clear" w:color="auto" w:fill="auto"/>
            <w:vAlign w:val="bottom"/>
          </w:tcPr>
          <w:p w14:paraId="3C4AAF3F" w14:textId="77777777" w:rsidR="00E255F8" w:rsidRDefault="00000000">
            <w:pPr>
              <w:rPr>
                <w:rFonts w:ascii="Open Sans" w:eastAsia="Open Sans" w:hAnsi="Open Sans" w:cs="Open Sans"/>
                <w:sz w:val="22"/>
                <w:szCs w:val="22"/>
              </w:rPr>
            </w:pPr>
            <w:r>
              <w:rPr>
                <w:rFonts w:ascii="Open Sans" w:eastAsia="Open Sans" w:hAnsi="Open Sans" w:cs="Open Sans"/>
                <w:sz w:val="22"/>
                <w:szCs w:val="22"/>
              </w:rPr>
              <w:t>Madrid</w:t>
            </w:r>
          </w:p>
        </w:tc>
        <w:tc>
          <w:tcPr>
            <w:tcW w:w="2268" w:type="dxa"/>
            <w:shd w:val="clear" w:color="auto" w:fill="auto"/>
            <w:vAlign w:val="bottom"/>
          </w:tcPr>
          <w:p w14:paraId="1831CD3F" w14:textId="77777777" w:rsidR="00E255F8" w:rsidRDefault="00000000">
            <w:pPr>
              <w:jc w:val="center"/>
              <w:rPr>
                <w:rFonts w:ascii="Open Sans" w:eastAsia="Open Sans" w:hAnsi="Open Sans" w:cs="Open Sans"/>
                <w:sz w:val="22"/>
                <w:szCs w:val="22"/>
              </w:rPr>
            </w:pPr>
            <w:r>
              <w:rPr>
                <w:rFonts w:ascii="Open Sans" w:eastAsia="Open Sans" w:hAnsi="Open Sans" w:cs="Open Sans"/>
                <w:sz w:val="22"/>
                <w:szCs w:val="22"/>
              </w:rPr>
              <w:t>78,58 €</w:t>
            </w:r>
          </w:p>
        </w:tc>
        <w:tc>
          <w:tcPr>
            <w:tcW w:w="2126" w:type="dxa"/>
            <w:vAlign w:val="bottom"/>
          </w:tcPr>
          <w:p w14:paraId="499B96B2" w14:textId="77777777" w:rsidR="00E255F8"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6,6%</w:t>
            </w:r>
          </w:p>
        </w:tc>
        <w:tc>
          <w:tcPr>
            <w:tcW w:w="2058" w:type="dxa"/>
            <w:vAlign w:val="bottom"/>
          </w:tcPr>
          <w:p w14:paraId="70F0F5F7" w14:textId="77777777" w:rsidR="00E255F8" w:rsidRDefault="00000000">
            <w:pPr>
              <w:jc w:val="center"/>
              <w:rPr>
                <w:rFonts w:ascii="Open Sans" w:eastAsia="Open Sans" w:hAnsi="Open Sans" w:cs="Open Sans"/>
                <w:b/>
                <w:color w:val="9C0006"/>
                <w:sz w:val="22"/>
                <w:szCs w:val="22"/>
              </w:rPr>
            </w:pPr>
            <w:r>
              <w:rPr>
                <w:rFonts w:ascii="Open Sans" w:eastAsia="Open Sans" w:hAnsi="Open Sans" w:cs="Open Sans"/>
                <w:b/>
                <w:color w:val="000000"/>
                <w:sz w:val="22"/>
                <w:szCs w:val="22"/>
              </w:rPr>
              <w:t>1,9%</w:t>
            </w:r>
          </w:p>
        </w:tc>
      </w:tr>
      <w:tr w:rsidR="00E255F8" w14:paraId="6450AAE0" w14:textId="77777777">
        <w:trPr>
          <w:trHeight w:val="247"/>
        </w:trPr>
        <w:tc>
          <w:tcPr>
            <w:tcW w:w="2542" w:type="dxa"/>
            <w:shd w:val="clear" w:color="auto" w:fill="auto"/>
            <w:vAlign w:val="bottom"/>
          </w:tcPr>
          <w:p w14:paraId="4347145F" w14:textId="77777777" w:rsidR="00E255F8" w:rsidRDefault="00000000">
            <w:pPr>
              <w:rPr>
                <w:rFonts w:ascii="Open Sans" w:eastAsia="Open Sans" w:hAnsi="Open Sans" w:cs="Open Sans"/>
                <w:sz w:val="22"/>
                <w:szCs w:val="22"/>
              </w:rPr>
            </w:pPr>
            <w:r>
              <w:rPr>
                <w:rFonts w:ascii="Open Sans" w:eastAsia="Open Sans" w:hAnsi="Open Sans" w:cs="Open Sans"/>
                <w:sz w:val="22"/>
                <w:szCs w:val="22"/>
              </w:rPr>
              <w:t>Galicia</w:t>
            </w:r>
          </w:p>
        </w:tc>
        <w:tc>
          <w:tcPr>
            <w:tcW w:w="2268" w:type="dxa"/>
            <w:shd w:val="clear" w:color="auto" w:fill="auto"/>
            <w:vAlign w:val="bottom"/>
          </w:tcPr>
          <w:p w14:paraId="18E552C9" w14:textId="77777777" w:rsidR="00E255F8" w:rsidRDefault="00000000">
            <w:pPr>
              <w:jc w:val="center"/>
              <w:rPr>
                <w:rFonts w:ascii="Open Sans" w:eastAsia="Open Sans" w:hAnsi="Open Sans" w:cs="Open Sans"/>
                <w:sz w:val="22"/>
                <w:szCs w:val="22"/>
              </w:rPr>
            </w:pPr>
            <w:r>
              <w:rPr>
                <w:rFonts w:ascii="Open Sans" w:eastAsia="Open Sans" w:hAnsi="Open Sans" w:cs="Open Sans"/>
                <w:sz w:val="22"/>
                <w:szCs w:val="22"/>
              </w:rPr>
              <w:t>59,05 €</w:t>
            </w:r>
          </w:p>
        </w:tc>
        <w:tc>
          <w:tcPr>
            <w:tcW w:w="2126" w:type="dxa"/>
            <w:vAlign w:val="bottom"/>
          </w:tcPr>
          <w:p w14:paraId="30A5AD6E" w14:textId="77777777" w:rsidR="00E255F8"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7,9%</w:t>
            </w:r>
          </w:p>
        </w:tc>
        <w:tc>
          <w:tcPr>
            <w:tcW w:w="2058" w:type="dxa"/>
            <w:vAlign w:val="bottom"/>
          </w:tcPr>
          <w:p w14:paraId="5EFB2894"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1,8%</w:t>
            </w:r>
          </w:p>
        </w:tc>
      </w:tr>
      <w:tr w:rsidR="00E255F8" w14:paraId="4D27DD72" w14:textId="77777777">
        <w:trPr>
          <w:trHeight w:val="247"/>
        </w:trPr>
        <w:tc>
          <w:tcPr>
            <w:tcW w:w="2542" w:type="dxa"/>
            <w:shd w:val="clear" w:color="auto" w:fill="auto"/>
            <w:vAlign w:val="bottom"/>
          </w:tcPr>
          <w:p w14:paraId="05B84FE9" w14:textId="77777777" w:rsidR="00E255F8" w:rsidRDefault="00000000">
            <w:pPr>
              <w:rPr>
                <w:rFonts w:ascii="Open Sans" w:eastAsia="Open Sans" w:hAnsi="Open Sans" w:cs="Open Sans"/>
                <w:sz w:val="22"/>
                <w:szCs w:val="22"/>
              </w:rPr>
            </w:pPr>
            <w:r>
              <w:rPr>
                <w:rFonts w:ascii="Open Sans" w:eastAsia="Open Sans" w:hAnsi="Open Sans" w:cs="Open Sans"/>
                <w:sz w:val="22"/>
                <w:szCs w:val="22"/>
              </w:rPr>
              <w:t>Castilla y León</w:t>
            </w:r>
          </w:p>
        </w:tc>
        <w:tc>
          <w:tcPr>
            <w:tcW w:w="2268" w:type="dxa"/>
            <w:shd w:val="clear" w:color="auto" w:fill="auto"/>
            <w:vAlign w:val="bottom"/>
          </w:tcPr>
          <w:p w14:paraId="0ADE4CC7" w14:textId="77777777" w:rsidR="00E255F8" w:rsidRDefault="00000000">
            <w:pPr>
              <w:jc w:val="center"/>
              <w:rPr>
                <w:rFonts w:ascii="Open Sans" w:eastAsia="Open Sans" w:hAnsi="Open Sans" w:cs="Open Sans"/>
                <w:sz w:val="22"/>
                <w:szCs w:val="22"/>
              </w:rPr>
            </w:pPr>
            <w:r>
              <w:rPr>
                <w:rFonts w:ascii="Open Sans" w:eastAsia="Open Sans" w:hAnsi="Open Sans" w:cs="Open Sans"/>
                <w:sz w:val="22"/>
                <w:szCs w:val="22"/>
              </w:rPr>
              <w:t>58,02 €</w:t>
            </w:r>
          </w:p>
        </w:tc>
        <w:tc>
          <w:tcPr>
            <w:tcW w:w="2126" w:type="dxa"/>
            <w:vAlign w:val="bottom"/>
          </w:tcPr>
          <w:p w14:paraId="0D342B70" w14:textId="77777777" w:rsidR="00E255F8"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7,5%</w:t>
            </w:r>
          </w:p>
        </w:tc>
        <w:tc>
          <w:tcPr>
            <w:tcW w:w="2058" w:type="dxa"/>
            <w:vAlign w:val="bottom"/>
          </w:tcPr>
          <w:p w14:paraId="2573238F" w14:textId="77777777" w:rsidR="00E255F8" w:rsidRDefault="00000000">
            <w:pPr>
              <w:jc w:val="center"/>
              <w:rPr>
                <w:rFonts w:ascii="Open Sans" w:eastAsia="Open Sans" w:hAnsi="Open Sans" w:cs="Open Sans"/>
                <w:b/>
                <w:color w:val="9C0006"/>
                <w:sz w:val="22"/>
                <w:szCs w:val="22"/>
              </w:rPr>
            </w:pPr>
            <w:r>
              <w:rPr>
                <w:rFonts w:ascii="Open Sans" w:eastAsia="Open Sans" w:hAnsi="Open Sans" w:cs="Open Sans"/>
                <w:b/>
                <w:color w:val="000000"/>
                <w:sz w:val="22"/>
                <w:szCs w:val="22"/>
              </w:rPr>
              <w:t>1,5%</w:t>
            </w:r>
          </w:p>
        </w:tc>
      </w:tr>
      <w:tr w:rsidR="00E255F8" w14:paraId="4808E0A5" w14:textId="77777777">
        <w:trPr>
          <w:trHeight w:val="247"/>
        </w:trPr>
        <w:tc>
          <w:tcPr>
            <w:tcW w:w="2542" w:type="dxa"/>
            <w:shd w:val="clear" w:color="auto" w:fill="auto"/>
            <w:vAlign w:val="bottom"/>
          </w:tcPr>
          <w:p w14:paraId="0D67369C" w14:textId="77777777" w:rsidR="00E255F8" w:rsidRDefault="00000000">
            <w:pPr>
              <w:rPr>
                <w:rFonts w:ascii="Open Sans" w:eastAsia="Open Sans" w:hAnsi="Open Sans" w:cs="Open Sans"/>
                <w:sz w:val="22"/>
                <w:szCs w:val="22"/>
              </w:rPr>
            </w:pPr>
            <w:r>
              <w:rPr>
                <w:rFonts w:ascii="Open Sans" w:eastAsia="Open Sans" w:hAnsi="Open Sans" w:cs="Open Sans"/>
                <w:sz w:val="22"/>
                <w:szCs w:val="22"/>
              </w:rPr>
              <w:t>Castilla-La Mancha</w:t>
            </w:r>
          </w:p>
        </w:tc>
        <w:tc>
          <w:tcPr>
            <w:tcW w:w="2268" w:type="dxa"/>
            <w:shd w:val="clear" w:color="auto" w:fill="auto"/>
            <w:vAlign w:val="bottom"/>
          </w:tcPr>
          <w:p w14:paraId="4BA6AA21" w14:textId="77777777" w:rsidR="00E255F8" w:rsidRDefault="00000000">
            <w:pPr>
              <w:jc w:val="center"/>
              <w:rPr>
                <w:rFonts w:ascii="Open Sans" w:eastAsia="Open Sans" w:hAnsi="Open Sans" w:cs="Open Sans"/>
                <w:sz w:val="22"/>
                <w:szCs w:val="22"/>
              </w:rPr>
            </w:pPr>
            <w:r>
              <w:rPr>
                <w:rFonts w:ascii="Open Sans" w:eastAsia="Open Sans" w:hAnsi="Open Sans" w:cs="Open Sans"/>
                <w:sz w:val="22"/>
                <w:szCs w:val="22"/>
              </w:rPr>
              <w:t>57,16 €</w:t>
            </w:r>
          </w:p>
        </w:tc>
        <w:tc>
          <w:tcPr>
            <w:tcW w:w="2126" w:type="dxa"/>
            <w:vAlign w:val="bottom"/>
          </w:tcPr>
          <w:p w14:paraId="53D99B50" w14:textId="77777777" w:rsidR="00E255F8"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8,4%</w:t>
            </w:r>
          </w:p>
        </w:tc>
        <w:tc>
          <w:tcPr>
            <w:tcW w:w="2058" w:type="dxa"/>
            <w:vAlign w:val="bottom"/>
          </w:tcPr>
          <w:p w14:paraId="5E283868" w14:textId="77777777" w:rsidR="00E255F8" w:rsidRDefault="00000000">
            <w:pPr>
              <w:jc w:val="center"/>
              <w:rPr>
                <w:rFonts w:ascii="Open Sans" w:eastAsia="Open Sans" w:hAnsi="Open Sans" w:cs="Open Sans"/>
                <w:b/>
                <w:color w:val="9C0006"/>
                <w:sz w:val="22"/>
                <w:szCs w:val="22"/>
              </w:rPr>
            </w:pPr>
            <w:r>
              <w:rPr>
                <w:rFonts w:ascii="Open Sans" w:eastAsia="Open Sans" w:hAnsi="Open Sans" w:cs="Open Sans"/>
                <w:b/>
                <w:color w:val="000000"/>
                <w:sz w:val="22"/>
                <w:szCs w:val="22"/>
              </w:rPr>
              <w:t>1,2%</w:t>
            </w:r>
          </w:p>
        </w:tc>
      </w:tr>
      <w:tr w:rsidR="00E255F8" w14:paraId="0292D1F6" w14:textId="77777777">
        <w:trPr>
          <w:trHeight w:val="247"/>
        </w:trPr>
        <w:tc>
          <w:tcPr>
            <w:tcW w:w="2542" w:type="dxa"/>
            <w:shd w:val="clear" w:color="auto" w:fill="FFC000"/>
            <w:vAlign w:val="bottom"/>
          </w:tcPr>
          <w:p w14:paraId="179F053E" w14:textId="77777777" w:rsidR="00E255F8" w:rsidRDefault="00000000">
            <w:pPr>
              <w:rPr>
                <w:rFonts w:ascii="Open Sans" w:eastAsia="Open Sans" w:hAnsi="Open Sans" w:cs="Open Sans"/>
                <w:sz w:val="22"/>
                <w:szCs w:val="22"/>
              </w:rPr>
            </w:pPr>
            <w:r>
              <w:rPr>
                <w:rFonts w:ascii="Open Sans" w:eastAsia="Open Sans" w:hAnsi="Open Sans" w:cs="Open Sans"/>
                <w:sz w:val="22"/>
                <w:szCs w:val="22"/>
              </w:rPr>
              <w:t>España</w:t>
            </w:r>
          </w:p>
        </w:tc>
        <w:tc>
          <w:tcPr>
            <w:tcW w:w="2268" w:type="dxa"/>
            <w:shd w:val="clear" w:color="auto" w:fill="FFC000"/>
            <w:vAlign w:val="bottom"/>
          </w:tcPr>
          <w:p w14:paraId="4A98D332" w14:textId="77777777" w:rsidR="00E255F8" w:rsidRDefault="00000000">
            <w:pPr>
              <w:jc w:val="center"/>
              <w:rPr>
                <w:rFonts w:ascii="Open Sans" w:eastAsia="Open Sans" w:hAnsi="Open Sans" w:cs="Open Sans"/>
                <w:sz w:val="22"/>
                <w:szCs w:val="22"/>
              </w:rPr>
            </w:pPr>
            <w:r>
              <w:rPr>
                <w:rFonts w:ascii="Open Sans" w:eastAsia="Open Sans" w:hAnsi="Open Sans" w:cs="Open Sans"/>
                <w:sz w:val="22"/>
                <w:szCs w:val="22"/>
              </w:rPr>
              <w:t>73,59 €</w:t>
            </w:r>
          </w:p>
        </w:tc>
        <w:tc>
          <w:tcPr>
            <w:tcW w:w="2126" w:type="dxa"/>
            <w:shd w:val="clear" w:color="auto" w:fill="FFC000"/>
            <w:vAlign w:val="bottom"/>
          </w:tcPr>
          <w:p w14:paraId="63EAFD6D" w14:textId="77777777" w:rsidR="00E255F8"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1,3%</w:t>
            </w:r>
          </w:p>
        </w:tc>
        <w:tc>
          <w:tcPr>
            <w:tcW w:w="2058" w:type="dxa"/>
            <w:shd w:val="clear" w:color="auto" w:fill="FFC000"/>
            <w:vAlign w:val="bottom"/>
          </w:tcPr>
          <w:p w14:paraId="49093DC0" w14:textId="77777777" w:rsidR="00E255F8" w:rsidRDefault="00000000">
            <w:pPr>
              <w:jc w:val="center"/>
              <w:rPr>
                <w:rFonts w:ascii="Open Sans" w:eastAsia="Open Sans" w:hAnsi="Open Sans" w:cs="Open Sans"/>
                <w:b/>
                <w:color w:val="9C0006"/>
                <w:sz w:val="22"/>
                <w:szCs w:val="22"/>
              </w:rPr>
            </w:pPr>
            <w:r>
              <w:rPr>
                <w:rFonts w:ascii="Open Sans" w:eastAsia="Open Sans" w:hAnsi="Open Sans" w:cs="Open Sans"/>
                <w:b/>
                <w:color w:val="000000"/>
                <w:sz w:val="22"/>
                <w:szCs w:val="22"/>
              </w:rPr>
              <w:t>0,9%</w:t>
            </w:r>
          </w:p>
        </w:tc>
      </w:tr>
      <w:tr w:rsidR="00E255F8" w14:paraId="50903489" w14:textId="77777777">
        <w:trPr>
          <w:trHeight w:val="247"/>
        </w:trPr>
        <w:tc>
          <w:tcPr>
            <w:tcW w:w="2542" w:type="dxa"/>
            <w:shd w:val="clear" w:color="auto" w:fill="auto"/>
            <w:vAlign w:val="bottom"/>
          </w:tcPr>
          <w:p w14:paraId="558D6A5C" w14:textId="77777777" w:rsidR="00E255F8" w:rsidRDefault="00000000">
            <w:pPr>
              <w:rPr>
                <w:rFonts w:ascii="Open Sans" w:eastAsia="Open Sans" w:hAnsi="Open Sans" w:cs="Open Sans"/>
                <w:sz w:val="22"/>
                <w:szCs w:val="22"/>
              </w:rPr>
            </w:pPr>
            <w:r>
              <w:rPr>
                <w:rFonts w:ascii="Open Sans" w:eastAsia="Open Sans" w:hAnsi="Open Sans" w:cs="Open Sans"/>
                <w:sz w:val="22"/>
                <w:szCs w:val="22"/>
              </w:rPr>
              <w:t>Extremadura</w:t>
            </w:r>
          </w:p>
        </w:tc>
        <w:tc>
          <w:tcPr>
            <w:tcW w:w="2268" w:type="dxa"/>
            <w:shd w:val="clear" w:color="auto" w:fill="auto"/>
            <w:vAlign w:val="bottom"/>
          </w:tcPr>
          <w:p w14:paraId="2D363AC5" w14:textId="77777777" w:rsidR="00E255F8" w:rsidRDefault="00000000">
            <w:pPr>
              <w:jc w:val="center"/>
              <w:rPr>
                <w:rFonts w:ascii="Open Sans" w:eastAsia="Open Sans" w:hAnsi="Open Sans" w:cs="Open Sans"/>
                <w:sz w:val="22"/>
                <w:szCs w:val="22"/>
              </w:rPr>
            </w:pPr>
            <w:r>
              <w:rPr>
                <w:rFonts w:ascii="Open Sans" w:eastAsia="Open Sans" w:hAnsi="Open Sans" w:cs="Open Sans"/>
                <w:sz w:val="22"/>
                <w:szCs w:val="22"/>
              </w:rPr>
              <w:t>59,54 €</w:t>
            </w:r>
          </w:p>
        </w:tc>
        <w:tc>
          <w:tcPr>
            <w:tcW w:w="2126" w:type="dxa"/>
            <w:vAlign w:val="bottom"/>
          </w:tcPr>
          <w:p w14:paraId="14795EE7" w14:textId="77777777" w:rsidR="00E255F8"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5,0%</w:t>
            </w:r>
          </w:p>
        </w:tc>
        <w:tc>
          <w:tcPr>
            <w:tcW w:w="2058" w:type="dxa"/>
            <w:vAlign w:val="bottom"/>
          </w:tcPr>
          <w:p w14:paraId="0F3A7466"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0,8%</w:t>
            </w:r>
          </w:p>
        </w:tc>
      </w:tr>
      <w:tr w:rsidR="00E255F8" w14:paraId="71C89ACC" w14:textId="77777777">
        <w:trPr>
          <w:trHeight w:val="247"/>
        </w:trPr>
        <w:tc>
          <w:tcPr>
            <w:tcW w:w="2542" w:type="dxa"/>
            <w:shd w:val="clear" w:color="auto" w:fill="auto"/>
            <w:vAlign w:val="bottom"/>
          </w:tcPr>
          <w:p w14:paraId="473C508C" w14:textId="77777777" w:rsidR="00E255F8" w:rsidRDefault="00000000">
            <w:pPr>
              <w:rPr>
                <w:rFonts w:ascii="Open Sans" w:eastAsia="Open Sans" w:hAnsi="Open Sans" w:cs="Open Sans"/>
                <w:sz w:val="22"/>
                <w:szCs w:val="22"/>
              </w:rPr>
            </w:pPr>
            <w:r>
              <w:rPr>
                <w:rFonts w:ascii="Open Sans" w:eastAsia="Open Sans" w:hAnsi="Open Sans" w:cs="Open Sans"/>
                <w:sz w:val="22"/>
                <w:szCs w:val="22"/>
              </w:rPr>
              <w:t>Cataluña</w:t>
            </w:r>
          </w:p>
        </w:tc>
        <w:tc>
          <w:tcPr>
            <w:tcW w:w="2268" w:type="dxa"/>
            <w:shd w:val="clear" w:color="auto" w:fill="auto"/>
            <w:vAlign w:val="bottom"/>
          </w:tcPr>
          <w:p w14:paraId="6FEAF076" w14:textId="77777777" w:rsidR="00E255F8" w:rsidRDefault="00000000">
            <w:pPr>
              <w:jc w:val="center"/>
              <w:rPr>
                <w:rFonts w:ascii="Open Sans" w:eastAsia="Open Sans" w:hAnsi="Open Sans" w:cs="Open Sans"/>
                <w:sz w:val="22"/>
                <w:szCs w:val="22"/>
              </w:rPr>
            </w:pPr>
            <w:r>
              <w:rPr>
                <w:rFonts w:ascii="Open Sans" w:eastAsia="Open Sans" w:hAnsi="Open Sans" w:cs="Open Sans"/>
                <w:sz w:val="22"/>
                <w:szCs w:val="22"/>
              </w:rPr>
              <w:t>79,54 €</w:t>
            </w:r>
          </w:p>
        </w:tc>
        <w:tc>
          <w:tcPr>
            <w:tcW w:w="2126" w:type="dxa"/>
            <w:vAlign w:val="bottom"/>
          </w:tcPr>
          <w:p w14:paraId="2317C466" w14:textId="77777777" w:rsidR="00E255F8" w:rsidRDefault="00000000">
            <w:pPr>
              <w:jc w:val="center"/>
              <w:rPr>
                <w:rFonts w:ascii="Open Sans" w:eastAsia="Open Sans" w:hAnsi="Open Sans" w:cs="Open Sans"/>
                <w:color w:val="FF0000"/>
                <w:sz w:val="22"/>
                <w:szCs w:val="22"/>
              </w:rPr>
            </w:pPr>
            <w:r>
              <w:rPr>
                <w:rFonts w:ascii="Open Sans" w:eastAsia="Open Sans" w:hAnsi="Open Sans" w:cs="Open Sans"/>
                <w:color w:val="9C0006"/>
                <w:sz w:val="22"/>
                <w:szCs w:val="22"/>
              </w:rPr>
              <w:t>-12,6%</w:t>
            </w:r>
          </w:p>
        </w:tc>
        <w:tc>
          <w:tcPr>
            <w:tcW w:w="2058" w:type="dxa"/>
            <w:vAlign w:val="bottom"/>
          </w:tcPr>
          <w:p w14:paraId="61D63553"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0,3%</w:t>
            </w:r>
          </w:p>
        </w:tc>
      </w:tr>
      <w:tr w:rsidR="00E255F8" w14:paraId="20509FB1" w14:textId="77777777">
        <w:trPr>
          <w:trHeight w:val="247"/>
        </w:trPr>
        <w:tc>
          <w:tcPr>
            <w:tcW w:w="2542" w:type="dxa"/>
            <w:shd w:val="clear" w:color="auto" w:fill="auto"/>
            <w:vAlign w:val="bottom"/>
          </w:tcPr>
          <w:p w14:paraId="37E788A9" w14:textId="77777777" w:rsidR="00E255F8" w:rsidRDefault="00000000">
            <w:pPr>
              <w:rPr>
                <w:rFonts w:ascii="Open Sans" w:eastAsia="Open Sans" w:hAnsi="Open Sans" w:cs="Open Sans"/>
                <w:sz w:val="22"/>
                <w:szCs w:val="22"/>
              </w:rPr>
            </w:pPr>
            <w:r>
              <w:rPr>
                <w:rFonts w:ascii="Open Sans" w:eastAsia="Open Sans" w:hAnsi="Open Sans" w:cs="Open Sans"/>
                <w:sz w:val="22"/>
                <w:szCs w:val="22"/>
              </w:rPr>
              <w:t>Andalucía</w:t>
            </w:r>
          </w:p>
        </w:tc>
        <w:tc>
          <w:tcPr>
            <w:tcW w:w="2268" w:type="dxa"/>
            <w:shd w:val="clear" w:color="auto" w:fill="auto"/>
            <w:vAlign w:val="bottom"/>
          </w:tcPr>
          <w:p w14:paraId="48727B4F" w14:textId="77777777" w:rsidR="00E255F8" w:rsidRDefault="00000000">
            <w:pPr>
              <w:jc w:val="center"/>
              <w:rPr>
                <w:rFonts w:ascii="Open Sans" w:eastAsia="Open Sans" w:hAnsi="Open Sans" w:cs="Open Sans"/>
                <w:sz w:val="22"/>
                <w:szCs w:val="22"/>
              </w:rPr>
            </w:pPr>
            <w:r>
              <w:rPr>
                <w:rFonts w:ascii="Open Sans" w:eastAsia="Open Sans" w:hAnsi="Open Sans" w:cs="Open Sans"/>
                <w:sz w:val="22"/>
                <w:szCs w:val="22"/>
              </w:rPr>
              <w:t>70,67 €</w:t>
            </w:r>
          </w:p>
        </w:tc>
        <w:tc>
          <w:tcPr>
            <w:tcW w:w="2126" w:type="dxa"/>
            <w:vAlign w:val="bottom"/>
          </w:tcPr>
          <w:p w14:paraId="6AF15D37" w14:textId="77777777" w:rsidR="00E255F8"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13,8%</w:t>
            </w:r>
          </w:p>
        </w:tc>
        <w:tc>
          <w:tcPr>
            <w:tcW w:w="2058" w:type="dxa"/>
            <w:vAlign w:val="bottom"/>
          </w:tcPr>
          <w:p w14:paraId="4891E6D0" w14:textId="77777777" w:rsidR="00E255F8" w:rsidRDefault="00000000">
            <w:pPr>
              <w:jc w:val="center"/>
              <w:rPr>
                <w:rFonts w:ascii="Open Sans" w:eastAsia="Open Sans" w:hAnsi="Open Sans" w:cs="Open Sans"/>
                <w:b/>
                <w:color w:val="9C0006"/>
                <w:sz w:val="22"/>
                <w:szCs w:val="22"/>
              </w:rPr>
            </w:pPr>
            <w:r>
              <w:rPr>
                <w:rFonts w:ascii="Open Sans" w:eastAsia="Open Sans" w:hAnsi="Open Sans" w:cs="Open Sans"/>
                <w:b/>
                <w:color w:val="9C0006"/>
                <w:sz w:val="22"/>
                <w:szCs w:val="22"/>
              </w:rPr>
              <w:t>-0,03%</w:t>
            </w:r>
          </w:p>
        </w:tc>
      </w:tr>
      <w:tr w:rsidR="00E255F8" w14:paraId="2CB8EC05" w14:textId="77777777">
        <w:trPr>
          <w:trHeight w:val="247"/>
        </w:trPr>
        <w:tc>
          <w:tcPr>
            <w:tcW w:w="2542" w:type="dxa"/>
            <w:shd w:val="clear" w:color="auto" w:fill="auto"/>
            <w:vAlign w:val="bottom"/>
          </w:tcPr>
          <w:p w14:paraId="500B12E1" w14:textId="77777777" w:rsidR="00E255F8" w:rsidRDefault="00000000">
            <w:pPr>
              <w:rPr>
                <w:rFonts w:ascii="Open Sans" w:eastAsia="Open Sans" w:hAnsi="Open Sans" w:cs="Open Sans"/>
                <w:sz w:val="22"/>
                <w:szCs w:val="22"/>
              </w:rPr>
            </w:pPr>
            <w:r>
              <w:rPr>
                <w:rFonts w:ascii="Open Sans" w:eastAsia="Open Sans" w:hAnsi="Open Sans" w:cs="Open Sans"/>
                <w:sz w:val="22"/>
                <w:szCs w:val="22"/>
              </w:rPr>
              <w:t>Asturias</w:t>
            </w:r>
          </w:p>
        </w:tc>
        <w:tc>
          <w:tcPr>
            <w:tcW w:w="2268" w:type="dxa"/>
            <w:shd w:val="clear" w:color="auto" w:fill="auto"/>
            <w:vAlign w:val="bottom"/>
          </w:tcPr>
          <w:p w14:paraId="53E029D0" w14:textId="77777777" w:rsidR="00E255F8" w:rsidRDefault="00000000">
            <w:pPr>
              <w:jc w:val="center"/>
              <w:rPr>
                <w:rFonts w:ascii="Open Sans" w:eastAsia="Open Sans" w:hAnsi="Open Sans" w:cs="Open Sans"/>
                <w:sz w:val="22"/>
                <w:szCs w:val="22"/>
              </w:rPr>
            </w:pPr>
            <w:r>
              <w:rPr>
                <w:rFonts w:ascii="Open Sans" w:eastAsia="Open Sans" w:hAnsi="Open Sans" w:cs="Open Sans"/>
                <w:sz w:val="22"/>
                <w:szCs w:val="22"/>
              </w:rPr>
              <w:t>65,24 €</w:t>
            </w:r>
          </w:p>
        </w:tc>
        <w:tc>
          <w:tcPr>
            <w:tcW w:w="2126" w:type="dxa"/>
            <w:vAlign w:val="bottom"/>
          </w:tcPr>
          <w:p w14:paraId="59B0F5DD" w14:textId="77777777" w:rsidR="00E255F8" w:rsidRDefault="00000000">
            <w:pPr>
              <w:jc w:val="center"/>
              <w:rPr>
                <w:rFonts w:ascii="Open Sans" w:eastAsia="Open Sans" w:hAnsi="Open Sans" w:cs="Open Sans"/>
                <w:sz w:val="22"/>
                <w:szCs w:val="22"/>
              </w:rPr>
            </w:pPr>
            <w:r>
              <w:rPr>
                <w:rFonts w:ascii="Open Sans" w:eastAsia="Open Sans" w:hAnsi="Open Sans" w:cs="Open Sans"/>
                <w:color w:val="000000"/>
                <w:sz w:val="22"/>
                <w:szCs w:val="22"/>
              </w:rPr>
              <w:t>9,0%</w:t>
            </w:r>
          </w:p>
        </w:tc>
        <w:tc>
          <w:tcPr>
            <w:tcW w:w="2058" w:type="dxa"/>
            <w:vAlign w:val="bottom"/>
          </w:tcPr>
          <w:p w14:paraId="74D50F4D" w14:textId="77777777" w:rsidR="00E255F8" w:rsidRDefault="00000000">
            <w:pPr>
              <w:jc w:val="center"/>
              <w:rPr>
                <w:rFonts w:ascii="Open Sans" w:eastAsia="Open Sans" w:hAnsi="Open Sans" w:cs="Open Sans"/>
                <w:b/>
                <w:sz w:val="22"/>
                <w:szCs w:val="22"/>
              </w:rPr>
            </w:pPr>
            <w:r>
              <w:rPr>
                <w:rFonts w:ascii="Open Sans" w:eastAsia="Open Sans" w:hAnsi="Open Sans" w:cs="Open Sans"/>
                <w:b/>
                <w:color w:val="9C0006"/>
                <w:sz w:val="22"/>
                <w:szCs w:val="22"/>
              </w:rPr>
              <w:t>-9,2%</w:t>
            </w:r>
          </w:p>
        </w:tc>
      </w:tr>
    </w:tbl>
    <w:p w14:paraId="4D4336C9" w14:textId="77777777" w:rsidR="00E255F8"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lastRenderedPageBreak/>
        <w:t>Los asturianos son los más beneficiados con la caída de los precios del último año</w:t>
      </w:r>
    </w:p>
    <w:p w14:paraId="269994FD" w14:textId="77777777" w:rsidR="00E255F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cuanto a las comunidades autónomas que han visto caer el precio de los garajes en alquiler en el último año (respecto a 2022), Asturias es la que más descenso presenta con un -9,2%, seguida de Andalucía con un -0,03%, según el estudio de </w:t>
      </w:r>
      <w:hyperlink r:id="rId13">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r>
        <w:rPr>
          <w:rFonts w:ascii="Open Sans" w:eastAsia="Open Sans" w:hAnsi="Open Sans" w:cs="Open Sans"/>
          <w:color w:val="FF0000"/>
          <w:sz w:val="22"/>
          <w:szCs w:val="22"/>
        </w:rPr>
        <w:t xml:space="preserve"> </w:t>
      </w:r>
    </w:p>
    <w:p w14:paraId="6CF56AD3" w14:textId="77777777" w:rsidR="00E255F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Las 15 comunidades en las que el precio de los garajes se ha incrementado son:</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Baleares con 8,9%, La Rioja con 7,8%, Aragón con 7,0%, Región de Murcia con 4,9%, Comunitat Valenciana con 4,3%, Cantabria con 3,7%, Canarias con 3,6%, Navarra con 2,8%, País Vasco con 2,0%, Madrid con 1,9%, Galicia con 1,8%, Castilla y León con 1,5%, Castilla-La Mancha con 1,2%, Extremadura con 0,8% y Cataluña con 0,3%.</w:t>
      </w:r>
    </w:p>
    <w:p w14:paraId="1E101458" w14:textId="77777777" w:rsidR="00E255F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orden de las comunidades autónomas con los precios del alquiler mensual más alto es Baleares con 93,38 euros/mes, Cantabria con 92,44 euros/mes, País Vasco con 87,70 euros/mes, Cataluña con 79,54 euros/mes, Madrid con 78,58 euros/mes, Canarias con 73,51 euros/mes, Andalucía con 70,67 euros/mes, Comunitat Valenciana con 67,10 euros/mes, Asturias con 65,24 euros/mes, Aragón con 64,14 euros/mes, Región de Murcia con 62,88 euros/mes, La Rioja con 61,04 euros/mes, Navarra con 60,31 euros/mes, Extremadura con 59,54 euros/mes, Galicia con 59,05 euros/mes, Castilla y León con 58,02 euros/mes y Castilla-La Mancha con 57,16 euros/mes.</w:t>
      </w:r>
    </w:p>
    <w:p w14:paraId="69E938D3" w14:textId="77777777" w:rsidR="00E255F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National" w:eastAsia="National" w:hAnsi="National" w:cs="National"/>
          <w:b/>
          <w:color w:val="303AB2"/>
          <w:sz w:val="30"/>
          <w:szCs w:val="30"/>
        </w:rPr>
        <w:t>Por ciudades</w:t>
      </w:r>
    </w:p>
    <w:p w14:paraId="3335F415" w14:textId="77777777" w:rsidR="00E255F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2023, en el 77% de las ciudades el precio del alquiler de los garajes sube. Las diez ciudades de España que experimentan las subidas anuales más elevadas son:</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Tarragona capital</w:t>
      </w:r>
      <w:r>
        <w:rPr>
          <w:rFonts w:ascii="Open Sans" w:eastAsia="Open Sans" w:hAnsi="Open Sans" w:cs="Open Sans"/>
          <w:color w:val="000000"/>
          <w:sz w:val="22"/>
          <w:szCs w:val="22"/>
        </w:rPr>
        <w:tab/>
        <w:t>con 10,1%, Palma de Mallorca con 9,4%, Santiago de Compostela con 8,7%, Sabadell con 8,5%, Cornellà de Llobregat con 8,2%, Vitoria - Gasteiz con 8,1%, Las Palmas de Gran Canaria con 7,4%, Donostia - San Sebastián con 7,1%, Logroño con 6,9% y Zaragoza capital con 6,5%.</w:t>
      </w:r>
    </w:p>
    <w:p w14:paraId="37E1A604" w14:textId="77777777" w:rsidR="00E255F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 las once ciudades con descenso en el precio de los garajes en alquiler son:</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Gijón con -7,4%, Sevilla capital con -5,2%, Burgos capital con -5,1%, Sant Cugat del Vallès con -2,8%, Mataró con -2,3%, Bilbao con -1,9%, Castellón de la Plana / Castelló de la Plana con -1,9%, Salamanca capital con -1,6%, Alcalá de Henares con -1,3%, Getafe con -0,2% y Vigo con -0,1%.</w:t>
      </w:r>
    </w:p>
    <w:p w14:paraId="02978D5F" w14:textId="77777777" w:rsidR="008417A3" w:rsidRDefault="008417A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1304FE28" w14:textId="77777777" w:rsidR="008417A3" w:rsidRDefault="008417A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66AABFDE" w14:textId="77777777" w:rsidR="00E255F8"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Ciudades con precios de los garajes en alquiler y porcentaje interanual (%)</w:t>
      </w:r>
    </w:p>
    <w:p w14:paraId="3F8F8E60" w14:textId="77777777" w:rsidR="00E255F8" w:rsidRDefault="00E255F8">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0"/>
        <w:tblW w:w="8929"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1550"/>
        <w:gridCol w:w="2976"/>
        <w:gridCol w:w="2204"/>
        <w:gridCol w:w="2199"/>
      </w:tblGrid>
      <w:tr w:rsidR="00E255F8" w14:paraId="7603A14A" w14:textId="77777777">
        <w:trPr>
          <w:trHeight w:val="761"/>
        </w:trPr>
        <w:tc>
          <w:tcPr>
            <w:tcW w:w="1550" w:type="dxa"/>
            <w:shd w:val="clear" w:color="auto" w:fill="ACB9CA"/>
            <w:vAlign w:val="center"/>
          </w:tcPr>
          <w:p w14:paraId="0155D3D8" w14:textId="77777777" w:rsidR="00E255F8" w:rsidRDefault="00000000">
            <w:pPr>
              <w:rPr>
                <w:rFonts w:ascii="Open Sans" w:eastAsia="Open Sans" w:hAnsi="Open Sans" w:cs="Open Sans"/>
                <w:b/>
                <w:color w:val="000000"/>
                <w:sz w:val="22"/>
                <w:szCs w:val="22"/>
              </w:rPr>
            </w:pPr>
            <w:r>
              <w:rPr>
                <w:rFonts w:ascii="Open Sans" w:eastAsia="Open Sans" w:hAnsi="Open Sans" w:cs="Open Sans"/>
                <w:color w:val="000000"/>
                <w:sz w:val="22"/>
                <w:szCs w:val="22"/>
              </w:rPr>
              <w:t>Provincia</w:t>
            </w:r>
          </w:p>
        </w:tc>
        <w:tc>
          <w:tcPr>
            <w:tcW w:w="2976" w:type="dxa"/>
            <w:shd w:val="clear" w:color="auto" w:fill="ACB9CA"/>
            <w:vAlign w:val="center"/>
          </w:tcPr>
          <w:p w14:paraId="54ACA636"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Municipio</w:t>
            </w:r>
          </w:p>
        </w:tc>
        <w:tc>
          <w:tcPr>
            <w:tcW w:w="2204" w:type="dxa"/>
            <w:shd w:val="clear" w:color="auto" w:fill="ACB9CA"/>
            <w:vAlign w:val="center"/>
          </w:tcPr>
          <w:p w14:paraId="7E714DEA" w14:textId="77777777" w:rsidR="00E255F8" w:rsidRDefault="00000000">
            <w:pPr>
              <w:jc w:val="center"/>
              <w:rPr>
                <w:rFonts w:ascii="Open Sans" w:eastAsia="Open Sans" w:hAnsi="Open Sans" w:cs="Open Sans"/>
                <w:color w:val="0D0D0D"/>
                <w:sz w:val="22"/>
                <w:szCs w:val="22"/>
              </w:rPr>
            </w:pPr>
            <w:r>
              <w:rPr>
                <w:rFonts w:ascii="Open Sans" w:eastAsia="Open Sans" w:hAnsi="Open Sans" w:cs="Open Sans"/>
                <w:color w:val="0D0D0D"/>
                <w:sz w:val="22"/>
                <w:szCs w:val="22"/>
              </w:rPr>
              <w:t>Alquileres (€) de los garajes en 2023</w:t>
            </w:r>
          </w:p>
        </w:tc>
        <w:tc>
          <w:tcPr>
            <w:tcW w:w="2199" w:type="dxa"/>
            <w:shd w:val="clear" w:color="auto" w:fill="ACB9CA"/>
            <w:vAlign w:val="center"/>
          </w:tcPr>
          <w:p w14:paraId="5BC70FAE"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Variación (%) </w:t>
            </w:r>
          </w:p>
          <w:p w14:paraId="7EB161D8"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 (2023 vs 2022)  </w:t>
            </w:r>
          </w:p>
        </w:tc>
      </w:tr>
      <w:tr w:rsidR="00E255F8" w14:paraId="0676BBE8" w14:textId="77777777">
        <w:trPr>
          <w:trHeight w:val="222"/>
        </w:trPr>
        <w:tc>
          <w:tcPr>
            <w:tcW w:w="1550" w:type="dxa"/>
            <w:shd w:val="clear" w:color="auto" w:fill="auto"/>
            <w:vAlign w:val="bottom"/>
          </w:tcPr>
          <w:p w14:paraId="044F7D9C"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Tarragona</w:t>
            </w:r>
          </w:p>
        </w:tc>
        <w:tc>
          <w:tcPr>
            <w:tcW w:w="2976" w:type="dxa"/>
            <w:vAlign w:val="bottom"/>
          </w:tcPr>
          <w:p w14:paraId="78928889"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Tarragona capital</w:t>
            </w:r>
          </w:p>
        </w:tc>
        <w:tc>
          <w:tcPr>
            <w:tcW w:w="2204" w:type="dxa"/>
            <w:vAlign w:val="bottom"/>
          </w:tcPr>
          <w:p w14:paraId="288CD8D2"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80,88 €</w:t>
            </w:r>
          </w:p>
        </w:tc>
        <w:tc>
          <w:tcPr>
            <w:tcW w:w="2199" w:type="dxa"/>
            <w:shd w:val="clear" w:color="auto" w:fill="auto"/>
            <w:vAlign w:val="bottom"/>
          </w:tcPr>
          <w:p w14:paraId="3E66BD3E"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10,1%</w:t>
            </w:r>
          </w:p>
        </w:tc>
      </w:tr>
      <w:tr w:rsidR="00E255F8" w14:paraId="654B7AE6" w14:textId="77777777">
        <w:trPr>
          <w:trHeight w:val="222"/>
        </w:trPr>
        <w:tc>
          <w:tcPr>
            <w:tcW w:w="1550" w:type="dxa"/>
            <w:shd w:val="clear" w:color="auto" w:fill="auto"/>
            <w:vAlign w:val="bottom"/>
          </w:tcPr>
          <w:p w14:paraId="14137898"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Illes Balears</w:t>
            </w:r>
          </w:p>
        </w:tc>
        <w:tc>
          <w:tcPr>
            <w:tcW w:w="2976" w:type="dxa"/>
            <w:vAlign w:val="bottom"/>
          </w:tcPr>
          <w:p w14:paraId="4A06135E"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Palma de Mallorca</w:t>
            </w:r>
          </w:p>
        </w:tc>
        <w:tc>
          <w:tcPr>
            <w:tcW w:w="2204" w:type="dxa"/>
            <w:vAlign w:val="bottom"/>
          </w:tcPr>
          <w:p w14:paraId="6621E72C"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99,88 €</w:t>
            </w:r>
          </w:p>
        </w:tc>
        <w:tc>
          <w:tcPr>
            <w:tcW w:w="2199" w:type="dxa"/>
            <w:shd w:val="clear" w:color="auto" w:fill="auto"/>
            <w:vAlign w:val="bottom"/>
          </w:tcPr>
          <w:p w14:paraId="3DAE5DA6"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9,4%</w:t>
            </w:r>
          </w:p>
        </w:tc>
      </w:tr>
      <w:tr w:rsidR="00E255F8" w14:paraId="04C8CA8E" w14:textId="77777777">
        <w:trPr>
          <w:trHeight w:val="222"/>
        </w:trPr>
        <w:tc>
          <w:tcPr>
            <w:tcW w:w="1550" w:type="dxa"/>
            <w:shd w:val="clear" w:color="auto" w:fill="auto"/>
            <w:vAlign w:val="bottom"/>
          </w:tcPr>
          <w:p w14:paraId="1BB6C257"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 Coruña</w:t>
            </w:r>
          </w:p>
        </w:tc>
        <w:tc>
          <w:tcPr>
            <w:tcW w:w="2976" w:type="dxa"/>
            <w:vAlign w:val="bottom"/>
          </w:tcPr>
          <w:p w14:paraId="4D4A55F4"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Santiago de Compostela</w:t>
            </w:r>
          </w:p>
        </w:tc>
        <w:tc>
          <w:tcPr>
            <w:tcW w:w="2204" w:type="dxa"/>
            <w:vAlign w:val="bottom"/>
          </w:tcPr>
          <w:p w14:paraId="37D03D05"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60,87 €</w:t>
            </w:r>
          </w:p>
        </w:tc>
        <w:tc>
          <w:tcPr>
            <w:tcW w:w="2199" w:type="dxa"/>
            <w:shd w:val="clear" w:color="auto" w:fill="auto"/>
            <w:vAlign w:val="bottom"/>
          </w:tcPr>
          <w:p w14:paraId="4AC1B851"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8,7%</w:t>
            </w:r>
          </w:p>
        </w:tc>
      </w:tr>
      <w:tr w:rsidR="00E255F8" w14:paraId="0EFFF557" w14:textId="77777777">
        <w:trPr>
          <w:trHeight w:val="222"/>
        </w:trPr>
        <w:tc>
          <w:tcPr>
            <w:tcW w:w="1550" w:type="dxa"/>
            <w:shd w:val="clear" w:color="auto" w:fill="auto"/>
            <w:vAlign w:val="bottom"/>
          </w:tcPr>
          <w:p w14:paraId="260F55DF"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2976" w:type="dxa"/>
            <w:vAlign w:val="bottom"/>
          </w:tcPr>
          <w:p w14:paraId="355E0CE7"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Sabadell</w:t>
            </w:r>
          </w:p>
        </w:tc>
        <w:tc>
          <w:tcPr>
            <w:tcW w:w="2204" w:type="dxa"/>
            <w:vAlign w:val="bottom"/>
          </w:tcPr>
          <w:p w14:paraId="7421B8EE"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70,85 €</w:t>
            </w:r>
          </w:p>
        </w:tc>
        <w:tc>
          <w:tcPr>
            <w:tcW w:w="2199" w:type="dxa"/>
            <w:shd w:val="clear" w:color="auto" w:fill="auto"/>
            <w:vAlign w:val="bottom"/>
          </w:tcPr>
          <w:p w14:paraId="4CC07972"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8,5%</w:t>
            </w:r>
          </w:p>
        </w:tc>
      </w:tr>
      <w:tr w:rsidR="00E255F8" w14:paraId="4C2397D9" w14:textId="77777777">
        <w:trPr>
          <w:trHeight w:val="222"/>
        </w:trPr>
        <w:tc>
          <w:tcPr>
            <w:tcW w:w="1550" w:type="dxa"/>
            <w:shd w:val="clear" w:color="auto" w:fill="auto"/>
            <w:vAlign w:val="bottom"/>
          </w:tcPr>
          <w:p w14:paraId="0C73C5CD"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2976" w:type="dxa"/>
            <w:vAlign w:val="bottom"/>
          </w:tcPr>
          <w:p w14:paraId="50780FFB"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Cornellà de Llobregat</w:t>
            </w:r>
          </w:p>
        </w:tc>
        <w:tc>
          <w:tcPr>
            <w:tcW w:w="2204" w:type="dxa"/>
            <w:vAlign w:val="bottom"/>
          </w:tcPr>
          <w:p w14:paraId="2909E71A"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76,84 €</w:t>
            </w:r>
          </w:p>
        </w:tc>
        <w:tc>
          <w:tcPr>
            <w:tcW w:w="2199" w:type="dxa"/>
            <w:shd w:val="clear" w:color="auto" w:fill="auto"/>
            <w:vAlign w:val="bottom"/>
          </w:tcPr>
          <w:p w14:paraId="7BF39EE4"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8,2%</w:t>
            </w:r>
          </w:p>
        </w:tc>
      </w:tr>
      <w:tr w:rsidR="00E255F8" w14:paraId="5DD97081" w14:textId="77777777">
        <w:trPr>
          <w:trHeight w:val="222"/>
        </w:trPr>
        <w:tc>
          <w:tcPr>
            <w:tcW w:w="1550" w:type="dxa"/>
            <w:shd w:val="clear" w:color="auto" w:fill="auto"/>
            <w:vAlign w:val="bottom"/>
          </w:tcPr>
          <w:p w14:paraId="0C8545F6"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Araba - Álava</w:t>
            </w:r>
          </w:p>
        </w:tc>
        <w:tc>
          <w:tcPr>
            <w:tcW w:w="2976" w:type="dxa"/>
            <w:vAlign w:val="bottom"/>
          </w:tcPr>
          <w:p w14:paraId="6FD9B7F2"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Vitoria - Gasteiz</w:t>
            </w:r>
          </w:p>
        </w:tc>
        <w:tc>
          <w:tcPr>
            <w:tcW w:w="2204" w:type="dxa"/>
            <w:vAlign w:val="bottom"/>
          </w:tcPr>
          <w:p w14:paraId="0E72A6FE"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62,37 €</w:t>
            </w:r>
          </w:p>
        </w:tc>
        <w:tc>
          <w:tcPr>
            <w:tcW w:w="2199" w:type="dxa"/>
            <w:shd w:val="clear" w:color="auto" w:fill="auto"/>
            <w:vAlign w:val="bottom"/>
          </w:tcPr>
          <w:p w14:paraId="5F7D1D49"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8,1%</w:t>
            </w:r>
          </w:p>
        </w:tc>
      </w:tr>
      <w:tr w:rsidR="00E255F8" w14:paraId="3D3E2FB7" w14:textId="77777777">
        <w:trPr>
          <w:trHeight w:val="222"/>
        </w:trPr>
        <w:tc>
          <w:tcPr>
            <w:tcW w:w="1550" w:type="dxa"/>
            <w:shd w:val="clear" w:color="auto" w:fill="auto"/>
            <w:vAlign w:val="bottom"/>
          </w:tcPr>
          <w:p w14:paraId="79BDEFC8"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Las Palmas</w:t>
            </w:r>
          </w:p>
        </w:tc>
        <w:tc>
          <w:tcPr>
            <w:tcW w:w="2976" w:type="dxa"/>
            <w:vAlign w:val="bottom"/>
          </w:tcPr>
          <w:p w14:paraId="06A4D394"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Las Palmas de Gran Canaria</w:t>
            </w:r>
          </w:p>
        </w:tc>
        <w:tc>
          <w:tcPr>
            <w:tcW w:w="2204" w:type="dxa"/>
            <w:vAlign w:val="bottom"/>
          </w:tcPr>
          <w:p w14:paraId="7C559B6B"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84,93 €</w:t>
            </w:r>
          </w:p>
        </w:tc>
        <w:tc>
          <w:tcPr>
            <w:tcW w:w="2199" w:type="dxa"/>
            <w:shd w:val="clear" w:color="auto" w:fill="auto"/>
            <w:vAlign w:val="bottom"/>
          </w:tcPr>
          <w:p w14:paraId="7B386316"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7,4%</w:t>
            </w:r>
          </w:p>
        </w:tc>
      </w:tr>
      <w:tr w:rsidR="00E255F8" w14:paraId="2619D460" w14:textId="77777777">
        <w:trPr>
          <w:trHeight w:val="222"/>
        </w:trPr>
        <w:tc>
          <w:tcPr>
            <w:tcW w:w="1550" w:type="dxa"/>
            <w:shd w:val="clear" w:color="auto" w:fill="auto"/>
            <w:vAlign w:val="bottom"/>
          </w:tcPr>
          <w:p w14:paraId="15B9488A"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Gipuzkoa</w:t>
            </w:r>
          </w:p>
        </w:tc>
        <w:tc>
          <w:tcPr>
            <w:tcW w:w="2976" w:type="dxa"/>
            <w:vAlign w:val="bottom"/>
          </w:tcPr>
          <w:p w14:paraId="00208D6F"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Donostia - San Sebastián</w:t>
            </w:r>
          </w:p>
        </w:tc>
        <w:tc>
          <w:tcPr>
            <w:tcW w:w="2204" w:type="dxa"/>
            <w:vAlign w:val="bottom"/>
          </w:tcPr>
          <w:p w14:paraId="7BDE90BF"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116,50 €</w:t>
            </w:r>
          </w:p>
        </w:tc>
        <w:tc>
          <w:tcPr>
            <w:tcW w:w="2199" w:type="dxa"/>
            <w:shd w:val="clear" w:color="auto" w:fill="auto"/>
            <w:vAlign w:val="bottom"/>
          </w:tcPr>
          <w:p w14:paraId="2463DCC9"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7,1%</w:t>
            </w:r>
          </w:p>
        </w:tc>
      </w:tr>
      <w:tr w:rsidR="00E255F8" w14:paraId="590CE555" w14:textId="77777777">
        <w:trPr>
          <w:trHeight w:val="222"/>
        </w:trPr>
        <w:tc>
          <w:tcPr>
            <w:tcW w:w="1550" w:type="dxa"/>
            <w:shd w:val="clear" w:color="auto" w:fill="auto"/>
            <w:vAlign w:val="bottom"/>
          </w:tcPr>
          <w:p w14:paraId="47F53A0C"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La Rioja</w:t>
            </w:r>
          </w:p>
        </w:tc>
        <w:tc>
          <w:tcPr>
            <w:tcW w:w="2976" w:type="dxa"/>
            <w:vAlign w:val="bottom"/>
          </w:tcPr>
          <w:p w14:paraId="25C0A9AA"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Logroño</w:t>
            </w:r>
          </w:p>
        </w:tc>
        <w:tc>
          <w:tcPr>
            <w:tcW w:w="2204" w:type="dxa"/>
            <w:vAlign w:val="bottom"/>
          </w:tcPr>
          <w:p w14:paraId="6B39A749"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63,33 €</w:t>
            </w:r>
          </w:p>
        </w:tc>
        <w:tc>
          <w:tcPr>
            <w:tcW w:w="2199" w:type="dxa"/>
            <w:shd w:val="clear" w:color="auto" w:fill="auto"/>
            <w:vAlign w:val="bottom"/>
          </w:tcPr>
          <w:p w14:paraId="1DD39521"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6,9%</w:t>
            </w:r>
          </w:p>
        </w:tc>
      </w:tr>
      <w:tr w:rsidR="00E255F8" w14:paraId="5064C2A0" w14:textId="77777777">
        <w:trPr>
          <w:trHeight w:val="222"/>
        </w:trPr>
        <w:tc>
          <w:tcPr>
            <w:tcW w:w="1550" w:type="dxa"/>
            <w:shd w:val="clear" w:color="auto" w:fill="auto"/>
            <w:vAlign w:val="bottom"/>
          </w:tcPr>
          <w:p w14:paraId="5EC6DF9E"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Zaragoza</w:t>
            </w:r>
          </w:p>
        </w:tc>
        <w:tc>
          <w:tcPr>
            <w:tcW w:w="2976" w:type="dxa"/>
            <w:vAlign w:val="bottom"/>
          </w:tcPr>
          <w:p w14:paraId="0E7DA644"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Zaragoza capital</w:t>
            </w:r>
          </w:p>
        </w:tc>
        <w:tc>
          <w:tcPr>
            <w:tcW w:w="2204" w:type="dxa"/>
            <w:vAlign w:val="bottom"/>
          </w:tcPr>
          <w:p w14:paraId="05602778"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69,77 €</w:t>
            </w:r>
          </w:p>
        </w:tc>
        <w:tc>
          <w:tcPr>
            <w:tcW w:w="2199" w:type="dxa"/>
            <w:shd w:val="clear" w:color="auto" w:fill="auto"/>
            <w:vAlign w:val="bottom"/>
          </w:tcPr>
          <w:p w14:paraId="54D6D2E0"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6,5%</w:t>
            </w:r>
          </w:p>
        </w:tc>
      </w:tr>
      <w:tr w:rsidR="00E255F8" w14:paraId="018EE52E" w14:textId="77777777">
        <w:trPr>
          <w:trHeight w:val="222"/>
        </w:trPr>
        <w:tc>
          <w:tcPr>
            <w:tcW w:w="1550" w:type="dxa"/>
            <w:shd w:val="clear" w:color="auto" w:fill="auto"/>
            <w:vAlign w:val="bottom"/>
          </w:tcPr>
          <w:p w14:paraId="448B5981"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Cantabria</w:t>
            </w:r>
          </w:p>
        </w:tc>
        <w:tc>
          <w:tcPr>
            <w:tcW w:w="2976" w:type="dxa"/>
            <w:vAlign w:val="bottom"/>
          </w:tcPr>
          <w:p w14:paraId="30F57A7D"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Santander</w:t>
            </w:r>
          </w:p>
        </w:tc>
        <w:tc>
          <w:tcPr>
            <w:tcW w:w="2204" w:type="dxa"/>
            <w:vAlign w:val="bottom"/>
          </w:tcPr>
          <w:p w14:paraId="5468D1F8"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105,60 €</w:t>
            </w:r>
          </w:p>
        </w:tc>
        <w:tc>
          <w:tcPr>
            <w:tcW w:w="2199" w:type="dxa"/>
            <w:shd w:val="clear" w:color="auto" w:fill="auto"/>
            <w:vAlign w:val="bottom"/>
          </w:tcPr>
          <w:p w14:paraId="544BF8A6"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6,2%</w:t>
            </w:r>
          </w:p>
        </w:tc>
      </w:tr>
      <w:tr w:rsidR="00E255F8" w14:paraId="289C38A3" w14:textId="77777777">
        <w:trPr>
          <w:trHeight w:val="222"/>
        </w:trPr>
        <w:tc>
          <w:tcPr>
            <w:tcW w:w="1550" w:type="dxa"/>
            <w:shd w:val="clear" w:color="auto" w:fill="auto"/>
            <w:vAlign w:val="bottom"/>
          </w:tcPr>
          <w:p w14:paraId="61FAC643"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2976" w:type="dxa"/>
            <w:vAlign w:val="bottom"/>
          </w:tcPr>
          <w:p w14:paraId="6C94ED27"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Manresa</w:t>
            </w:r>
          </w:p>
        </w:tc>
        <w:tc>
          <w:tcPr>
            <w:tcW w:w="2204" w:type="dxa"/>
            <w:vAlign w:val="bottom"/>
          </w:tcPr>
          <w:p w14:paraId="285ADD4B"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62,39 €</w:t>
            </w:r>
          </w:p>
        </w:tc>
        <w:tc>
          <w:tcPr>
            <w:tcW w:w="2199" w:type="dxa"/>
            <w:shd w:val="clear" w:color="auto" w:fill="auto"/>
            <w:vAlign w:val="bottom"/>
          </w:tcPr>
          <w:p w14:paraId="40E83DEB"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6,1%</w:t>
            </w:r>
          </w:p>
        </w:tc>
      </w:tr>
      <w:tr w:rsidR="00E255F8" w14:paraId="0710E3E9" w14:textId="77777777">
        <w:trPr>
          <w:trHeight w:val="222"/>
        </w:trPr>
        <w:tc>
          <w:tcPr>
            <w:tcW w:w="1550" w:type="dxa"/>
            <w:shd w:val="clear" w:color="auto" w:fill="auto"/>
            <w:vAlign w:val="bottom"/>
          </w:tcPr>
          <w:p w14:paraId="0C359E02"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Cáceres</w:t>
            </w:r>
          </w:p>
        </w:tc>
        <w:tc>
          <w:tcPr>
            <w:tcW w:w="2976" w:type="dxa"/>
            <w:vAlign w:val="bottom"/>
          </w:tcPr>
          <w:p w14:paraId="7FFB6F91"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Cáceres capital</w:t>
            </w:r>
          </w:p>
        </w:tc>
        <w:tc>
          <w:tcPr>
            <w:tcW w:w="2204" w:type="dxa"/>
            <w:vAlign w:val="bottom"/>
          </w:tcPr>
          <w:p w14:paraId="6BF3FA65"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57,16 €</w:t>
            </w:r>
          </w:p>
        </w:tc>
        <w:tc>
          <w:tcPr>
            <w:tcW w:w="2199" w:type="dxa"/>
            <w:shd w:val="clear" w:color="auto" w:fill="auto"/>
            <w:vAlign w:val="bottom"/>
          </w:tcPr>
          <w:p w14:paraId="09D9E41D"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5,9%</w:t>
            </w:r>
          </w:p>
        </w:tc>
      </w:tr>
      <w:tr w:rsidR="00E255F8" w14:paraId="064D22EC" w14:textId="77777777">
        <w:trPr>
          <w:trHeight w:val="222"/>
        </w:trPr>
        <w:tc>
          <w:tcPr>
            <w:tcW w:w="1550" w:type="dxa"/>
            <w:shd w:val="clear" w:color="auto" w:fill="auto"/>
            <w:vAlign w:val="bottom"/>
          </w:tcPr>
          <w:p w14:paraId="2E041E0A"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Valencia</w:t>
            </w:r>
          </w:p>
        </w:tc>
        <w:tc>
          <w:tcPr>
            <w:tcW w:w="2976" w:type="dxa"/>
            <w:vAlign w:val="bottom"/>
          </w:tcPr>
          <w:p w14:paraId="6F01288B"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Valencia capital</w:t>
            </w:r>
          </w:p>
        </w:tc>
        <w:tc>
          <w:tcPr>
            <w:tcW w:w="2204" w:type="dxa"/>
            <w:vAlign w:val="bottom"/>
          </w:tcPr>
          <w:p w14:paraId="1A7D3E35"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80,45 €</w:t>
            </w:r>
          </w:p>
        </w:tc>
        <w:tc>
          <w:tcPr>
            <w:tcW w:w="2199" w:type="dxa"/>
            <w:shd w:val="clear" w:color="auto" w:fill="auto"/>
            <w:vAlign w:val="bottom"/>
          </w:tcPr>
          <w:p w14:paraId="51C82556"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5,9%</w:t>
            </w:r>
          </w:p>
        </w:tc>
      </w:tr>
      <w:tr w:rsidR="00E255F8" w14:paraId="64681962" w14:textId="77777777">
        <w:trPr>
          <w:trHeight w:val="222"/>
        </w:trPr>
        <w:tc>
          <w:tcPr>
            <w:tcW w:w="1550" w:type="dxa"/>
            <w:shd w:val="clear" w:color="auto" w:fill="auto"/>
            <w:vAlign w:val="bottom"/>
          </w:tcPr>
          <w:p w14:paraId="58416092"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2976" w:type="dxa"/>
            <w:vAlign w:val="bottom"/>
          </w:tcPr>
          <w:p w14:paraId="5F229AA7"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Terrassa</w:t>
            </w:r>
          </w:p>
        </w:tc>
        <w:tc>
          <w:tcPr>
            <w:tcW w:w="2204" w:type="dxa"/>
            <w:vAlign w:val="bottom"/>
          </w:tcPr>
          <w:p w14:paraId="4D93DBCC"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67,72 €</w:t>
            </w:r>
          </w:p>
        </w:tc>
        <w:tc>
          <w:tcPr>
            <w:tcW w:w="2199" w:type="dxa"/>
            <w:shd w:val="clear" w:color="auto" w:fill="auto"/>
            <w:vAlign w:val="bottom"/>
          </w:tcPr>
          <w:p w14:paraId="3C6406DD"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4,6%</w:t>
            </w:r>
          </w:p>
        </w:tc>
      </w:tr>
      <w:tr w:rsidR="00E255F8" w14:paraId="439E5289" w14:textId="77777777">
        <w:trPr>
          <w:trHeight w:val="222"/>
        </w:trPr>
        <w:tc>
          <w:tcPr>
            <w:tcW w:w="1550" w:type="dxa"/>
            <w:shd w:val="clear" w:color="auto" w:fill="auto"/>
            <w:vAlign w:val="bottom"/>
          </w:tcPr>
          <w:p w14:paraId="08A2C149"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Lleida</w:t>
            </w:r>
          </w:p>
        </w:tc>
        <w:tc>
          <w:tcPr>
            <w:tcW w:w="2976" w:type="dxa"/>
            <w:vAlign w:val="bottom"/>
          </w:tcPr>
          <w:p w14:paraId="66DDCA96"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Lleida capital</w:t>
            </w:r>
          </w:p>
        </w:tc>
        <w:tc>
          <w:tcPr>
            <w:tcW w:w="2204" w:type="dxa"/>
            <w:vAlign w:val="bottom"/>
          </w:tcPr>
          <w:p w14:paraId="65B1B7C1"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62,21 €</w:t>
            </w:r>
          </w:p>
        </w:tc>
        <w:tc>
          <w:tcPr>
            <w:tcW w:w="2199" w:type="dxa"/>
            <w:shd w:val="clear" w:color="auto" w:fill="auto"/>
            <w:vAlign w:val="bottom"/>
          </w:tcPr>
          <w:p w14:paraId="6DE34A17"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4,5%</w:t>
            </w:r>
          </w:p>
        </w:tc>
      </w:tr>
      <w:tr w:rsidR="00E255F8" w14:paraId="627232EA" w14:textId="77777777">
        <w:trPr>
          <w:trHeight w:val="222"/>
        </w:trPr>
        <w:tc>
          <w:tcPr>
            <w:tcW w:w="1550" w:type="dxa"/>
            <w:shd w:val="clear" w:color="auto" w:fill="auto"/>
            <w:vAlign w:val="bottom"/>
          </w:tcPr>
          <w:p w14:paraId="2BD1271D"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Girona</w:t>
            </w:r>
          </w:p>
        </w:tc>
        <w:tc>
          <w:tcPr>
            <w:tcW w:w="2976" w:type="dxa"/>
            <w:vAlign w:val="bottom"/>
          </w:tcPr>
          <w:p w14:paraId="11D6591B"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Girona capital</w:t>
            </w:r>
          </w:p>
        </w:tc>
        <w:tc>
          <w:tcPr>
            <w:tcW w:w="2204" w:type="dxa"/>
            <w:vAlign w:val="bottom"/>
          </w:tcPr>
          <w:p w14:paraId="672524EB"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82,64 €</w:t>
            </w:r>
          </w:p>
        </w:tc>
        <w:tc>
          <w:tcPr>
            <w:tcW w:w="2199" w:type="dxa"/>
            <w:shd w:val="clear" w:color="auto" w:fill="auto"/>
            <w:vAlign w:val="bottom"/>
          </w:tcPr>
          <w:p w14:paraId="1706297C"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3,9%</w:t>
            </w:r>
          </w:p>
        </w:tc>
      </w:tr>
      <w:tr w:rsidR="00E255F8" w14:paraId="2E555353" w14:textId="77777777">
        <w:trPr>
          <w:trHeight w:val="222"/>
        </w:trPr>
        <w:tc>
          <w:tcPr>
            <w:tcW w:w="1550" w:type="dxa"/>
            <w:shd w:val="clear" w:color="auto" w:fill="auto"/>
            <w:vAlign w:val="bottom"/>
          </w:tcPr>
          <w:p w14:paraId="5218360A"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Ourense</w:t>
            </w:r>
          </w:p>
        </w:tc>
        <w:tc>
          <w:tcPr>
            <w:tcW w:w="2976" w:type="dxa"/>
            <w:vAlign w:val="bottom"/>
          </w:tcPr>
          <w:p w14:paraId="05DE0137"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Ourense capital</w:t>
            </w:r>
          </w:p>
        </w:tc>
        <w:tc>
          <w:tcPr>
            <w:tcW w:w="2204" w:type="dxa"/>
            <w:vAlign w:val="bottom"/>
          </w:tcPr>
          <w:p w14:paraId="30E15DD1"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55,74 €</w:t>
            </w:r>
          </w:p>
        </w:tc>
        <w:tc>
          <w:tcPr>
            <w:tcW w:w="2199" w:type="dxa"/>
            <w:shd w:val="clear" w:color="auto" w:fill="auto"/>
            <w:vAlign w:val="bottom"/>
          </w:tcPr>
          <w:p w14:paraId="50D8F5AA"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3,5%</w:t>
            </w:r>
          </w:p>
        </w:tc>
      </w:tr>
      <w:tr w:rsidR="00E255F8" w14:paraId="76B2111B" w14:textId="77777777">
        <w:trPr>
          <w:trHeight w:val="222"/>
        </w:trPr>
        <w:tc>
          <w:tcPr>
            <w:tcW w:w="1550" w:type="dxa"/>
            <w:shd w:val="clear" w:color="auto" w:fill="auto"/>
            <w:vAlign w:val="bottom"/>
          </w:tcPr>
          <w:p w14:paraId="1A6A6574"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Murcia</w:t>
            </w:r>
          </w:p>
        </w:tc>
        <w:tc>
          <w:tcPr>
            <w:tcW w:w="2976" w:type="dxa"/>
            <w:vAlign w:val="bottom"/>
          </w:tcPr>
          <w:p w14:paraId="7EC2E5DC"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Murcia capital</w:t>
            </w:r>
          </w:p>
        </w:tc>
        <w:tc>
          <w:tcPr>
            <w:tcW w:w="2204" w:type="dxa"/>
            <w:vAlign w:val="bottom"/>
          </w:tcPr>
          <w:p w14:paraId="15F91725"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66,12 €</w:t>
            </w:r>
          </w:p>
        </w:tc>
        <w:tc>
          <w:tcPr>
            <w:tcW w:w="2199" w:type="dxa"/>
            <w:shd w:val="clear" w:color="auto" w:fill="auto"/>
            <w:vAlign w:val="bottom"/>
          </w:tcPr>
          <w:p w14:paraId="0FF9A16A"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3,2%</w:t>
            </w:r>
          </w:p>
        </w:tc>
      </w:tr>
      <w:tr w:rsidR="00E255F8" w14:paraId="5AC05FD8" w14:textId="77777777">
        <w:trPr>
          <w:trHeight w:val="222"/>
        </w:trPr>
        <w:tc>
          <w:tcPr>
            <w:tcW w:w="1550" w:type="dxa"/>
            <w:shd w:val="clear" w:color="auto" w:fill="auto"/>
            <w:vAlign w:val="bottom"/>
          </w:tcPr>
          <w:p w14:paraId="28474274"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2976" w:type="dxa"/>
            <w:vAlign w:val="bottom"/>
          </w:tcPr>
          <w:p w14:paraId="50CD298A"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L'Hospitalet de Llobregat</w:t>
            </w:r>
          </w:p>
        </w:tc>
        <w:tc>
          <w:tcPr>
            <w:tcW w:w="2204" w:type="dxa"/>
            <w:vAlign w:val="bottom"/>
          </w:tcPr>
          <w:p w14:paraId="69BF8552"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81,18 €</w:t>
            </w:r>
          </w:p>
        </w:tc>
        <w:tc>
          <w:tcPr>
            <w:tcW w:w="2199" w:type="dxa"/>
            <w:shd w:val="clear" w:color="auto" w:fill="auto"/>
            <w:vAlign w:val="bottom"/>
          </w:tcPr>
          <w:p w14:paraId="736A9418"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2,9%</w:t>
            </w:r>
          </w:p>
        </w:tc>
      </w:tr>
      <w:tr w:rsidR="00E255F8" w14:paraId="4EED2B94" w14:textId="77777777">
        <w:trPr>
          <w:trHeight w:val="222"/>
        </w:trPr>
        <w:tc>
          <w:tcPr>
            <w:tcW w:w="1550" w:type="dxa"/>
            <w:shd w:val="clear" w:color="auto" w:fill="auto"/>
            <w:vAlign w:val="bottom"/>
          </w:tcPr>
          <w:p w14:paraId="2129B684"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Valladolid</w:t>
            </w:r>
          </w:p>
        </w:tc>
        <w:tc>
          <w:tcPr>
            <w:tcW w:w="2976" w:type="dxa"/>
            <w:vAlign w:val="bottom"/>
          </w:tcPr>
          <w:p w14:paraId="584B9FA6"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Valladolid capital</w:t>
            </w:r>
          </w:p>
        </w:tc>
        <w:tc>
          <w:tcPr>
            <w:tcW w:w="2204" w:type="dxa"/>
            <w:vAlign w:val="bottom"/>
          </w:tcPr>
          <w:p w14:paraId="683877E6"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62,58 €</w:t>
            </w:r>
          </w:p>
        </w:tc>
        <w:tc>
          <w:tcPr>
            <w:tcW w:w="2199" w:type="dxa"/>
            <w:shd w:val="clear" w:color="auto" w:fill="auto"/>
            <w:vAlign w:val="bottom"/>
          </w:tcPr>
          <w:p w14:paraId="595C8F2A"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2,7%</w:t>
            </w:r>
          </w:p>
        </w:tc>
      </w:tr>
      <w:tr w:rsidR="00E255F8" w14:paraId="3CADFDB7" w14:textId="77777777">
        <w:trPr>
          <w:trHeight w:val="222"/>
        </w:trPr>
        <w:tc>
          <w:tcPr>
            <w:tcW w:w="1550" w:type="dxa"/>
            <w:shd w:val="clear" w:color="auto" w:fill="auto"/>
            <w:vAlign w:val="bottom"/>
          </w:tcPr>
          <w:p w14:paraId="7BADA720"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Badajoz</w:t>
            </w:r>
          </w:p>
        </w:tc>
        <w:tc>
          <w:tcPr>
            <w:tcW w:w="2976" w:type="dxa"/>
            <w:vAlign w:val="bottom"/>
          </w:tcPr>
          <w:p w14:paraId="4FF17913"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Badajoz capital</w:t>
            </w:r>
          </w:p>
        </w:tc>
        <w:tc>
          <w:tcPr>
            <w:tcW w:w="2204" w:type="dxa"/>
            <w:vAlign w:val="bottom"/>
          </w:tcPr>
          <w:p w14:paraId="7DBEB0E1"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61,30 €</w:t>
            </w:r>
          </w:p>
        </w:tc>
        <w:tc>
          <w:tcPr>
            <w:tcW w:w="2199" w:type="dxa"/>
            <w:shd w:val="clear" w:color="auto" w:fill="auto"/>
            <w:vAlign w:val="bottom"/>
          </w:tcPr>
          <w:p w14:paraId="1794A5EC"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2,7%</w:t>
            </w:r>
          </w:p>
        </w:tc>
      </w:tr>
      <w:tr w:rsidR="00E255F8" w14:paraId="01166481" w14:textId="77777777">
        <w:trPr>
          <w:trHeight w:val="222"/>
        </w:trPr>
        <w:tc>
          <w:tcPr>
            <w:tcW w:w="1550" w:type="dxa"/>
            <w:shd w:val="clear" w:color="auto" w:fill="auto"/>
            <w:vAlign w:val="bottom"/>
          </w:tcPr>
          <w:p w14:paraId="79EB2B0C"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2976" w:type="dxa"/>
            <w:vAlign w:val="bottom"/>
          </w:tcPr>
          <w:p w14:paraId="4DDF55D5"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Madrid capital</w:t>
            </w:r>
          </w:p>
        </w:tc>
        <w:tc>
          <w:tcPr>
            <w:tcW w:w="2204" w:type="dxa"/>
            <w:vAlign w:val="bottom"/>
          </w:tcPr>
          <w:p w14:paraId="0BECAA91"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91,57 €</w:t>
            </w:r>
          </w:p>
        </w:tc>
        <w:tc>
          <w:tcPr>
            <w:tcW w:w="2199" w:type="dxa"/>
            <w:shd w:val="clear" w:color="auto" w:fill="auto"/>
            <w:vAlign w:val="bottom"/>
          </w:tcPr>
          <w:p w14:paraId="11583C85"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2,7%</w:t>
            </w:r>
          </w:p>
        </w:tc>
      </w:tr>
      <w:tr w:rsidR="00E255F8" w14:paraId="59478ECF" w14:textId="77777777">
        <w:trPr>
          <w:trHeight w:val="222"/>
        </w:trPr>
        <w:tc>
          <w:tcPr>
            <w:tcW w:w="1550" w:type="dxa"/>
            <w:shd w:val="clear" w:color="auto" w:fill="auto"/>
            <w:vAlign w:val="bottom"/>
          </w:tcPr>
          <w:p w14:paraId="531A6674"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Albacete</w:t>
            </w:r>
          </w:p>
        </w:tc>
        <w:tc>
          <w:tcPr>
            <w:tcW w:w="2976" w:type="dxa"/>
            <w:vAlign w:val="bottom"/>
          </w:tcPr>
          <w:p w14:paraId="36D955D2"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Albacete capital</w:t>
            </w:r>
          </w:p>
        </w:tc>
        <w:tc>
          <w:tcPr>
            <w:tcW w:w="2204" w:type="dxa"/>
            <w:vAlign w:val="bottom"/>
          </w:tcPr>
          <w:p w14:paraId="4ABE2AE3"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66,49 €</w:t>
            </w:r>
          </w:p>
        </w:tc>
        <w:tc>
          <w:tcPr>
            <w:tcW w:w="2199" w:type="dxa"/>
            <w:shd w:val="clear" w:color="auto" w:fill="auto"/>
            <w:vAlign w:val="bottom"/>
          </w:tcPr>
          <w:p w14:paraId="7C8018E2"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2,6%</w:t>
            </w:r>
          </w:p>
        </w:tc>
      </w:tr>
      <w:tr w:rsidR="00E255F8" w14:paraId="4CB617F1" w14:textId="77777777">
        <w:trPr>
          <w:trHeight w:val="222"/>
        </w:trPr>
        <w:tc>
          <w:tcPr>
            <w:tcW w:w="1550" w:type="dxa"/>
            <w:shd w:val="clear" w:color="auto" w:fill="auto"/>
            <w:vAlign w:val="bottom"/>
          </w:tcPr>
          <w:p w14:paraId="293E8D04"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2976" w:type="dxa"/>
            <w:vAlign w:val="bottom"/>
          </w:tcPr>
          <w:p w14:paraId="5FB4A8EB"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Oviedo</w:t>
            </w:r>
          </w:p>
        </w:tc>
        <w:tc>
          <w:tcPr>
            <w:tcW w:w="2204" w:type="dxa"/>
            <w:vAlign w:val="bottom"/>
          </w:tcPr>
          <w:p w14:paraId="30C130BD"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60,10 €</w:t>
            </w:r>
          </w:p>
        </w:tc>
        <w:tc>
          <w:tcPr>
            <w:tcW w:w="2199" w:type="dxa"/>
            <w:shd w:val="clear" w:color="auto" w:fill="auto"/>
            <w:vAlign w:val="bottom"/>
          </w:tcPr>
          <w:p w14:paraId="7E7795AD"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2,4%</w:t>
            </w:r>
          </w:p>
        </w:tc>
      </w:tr>
      <w:tr w:rsidR="00E255F8" w14:paraId="4B23162B" w14:textId="77777777">
        <w:trPr>
          <w:trHeight w:val="222"/>
        </w:trPr>
        <w:tc>
          <w:tcPr>
            <w:tcW w:w="1550" w:type="dxa"/>
            <w:shd w:val="clear" w:color="auto" w:fill="auto"/>
            <w:vAlign w:val="bottom"/>
          </w:tcPr>
          <w:p w14:paraId="00C14967"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Tarragona</w:t>
            </w:r>
          </w:p>
        </w:tc>
        <w:tc>
          <w:tcPr>
            <w:tcW w:w="2976" w:type="dxa"/>
            <w:vAlign w:val="bottom"/>
          </w:tcPr>
          <w:p w14:paraId="1229A786"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Reus</w:t>
            </w:r>
          </w:p>
        </w:tc>
        <w:tc>
          <w:tcPr>
            <w:tcW w:w="2204" w:type="dxa"/>
            <w:vAlign w:val="bottom"/>
          </w:tcPr>
          <w:p w14:paraId="630C6E82"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65,33 €</w:t>
            </w:r>
          </w:p>
        </w:tc>
        <w:tc>
          <w:tcPr>
            <w:tcW w:w="2199" w:type="dxa"/>
            <w:shd w:val="clear" w:color="auto" w:fill="auto"/>
            <w:vAlign w:val="bottom"/>
          </w:tcPr>
          <w:p w14:paraId="6EF86AB8"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2,2%</w:t>
            </w:r>
          </w:p>
        </w:tc>
      </w:tr>
      <w:tr w:rsidR="00E255F8" w14:paraId="55B2DB73" w14:textId="77777777">
        <w:trPr>
          <w:trHeight w:val="222"/>
        </w:trPr>
        <w:tc>
          <w:tcPr>
            <w:tcW w:w="1550" w:type="dxa"/>
            <w:shd w:val="clear" w:color="auto" w:fill="auto"/>
            <w:vAlign w:val="bottom"/>
          </w:tcPr>
          <w:p w14:paraId="1C165D3E"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2976" w:type="dxa"/>
            <w:vAlign w:val="bottom"/>
          </w:tcPr>
          <w:p w14:paraId="2103E366"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Alcorcón</w:t>
            </w:r>
          </w:p>
        </w:tc>
        <w:tc>
          <w:tcPr>
            <w:tcW w:w="2204" w:type="dxa"/>
            <w:vAlign w:val="bottom"/>
          </w:tcPr>
          <w:p w14:paraId="2D378BA9"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49,79 €</w:t>
            </w:r>
          </w:p>
        </w:tc>
        <w:tc>
          <w:tcPr>
            <w:tcW w:w="2199" w:type="dxa"/>
            <w:shd w:val="clear" w:color="auto" w:fill="auto"/>
            <w:vAlign w:val="bottom"/>
          </w:tcPr>
          <w:p w14:paraId="46F5906F"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2,1%</w:t>
            </w:r>
          </w:p>
        </w:tc>
      </w:tr>
      <w:tr w:rsidR="00E255F8" w14:paraId="21DB20CE" w14:textId="77777777">
        <w:trPr>
          <w:trHeight w:val="222"/>
        </w:trPr>
        <w:tc>
          <w:tcPr>
            <w:tcW w:w="1550" w:type="dxa"/>
            <w:shd w:val="clear" w:color="auto" w:fill="auto"/>
            <w:vAlign w:val="bottom"/>
          </w:tcPr>
          <w:p w14:paraId="49999E8C"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2976" w:type="dxa"/>
            <w:vAlign w:val="bottom"/>
          </w:tcPr>
          <w:p w14:paraId="25643D8C"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Esplugues de Llobregat</w:t>
            </w:r>
          </w:p>
        </w:tc>
        <w:tc>
          <w:tcPr>
            <w:tcW w:w="2204" w:type="dxa"/>
            <w:vAlign w:val="bottom"/>
          </w:tcPr>
          <w:p w14:paraId="1199F1CA"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74,00 €</w:t>
            </w:r>
          </w:p>
        </w:tc>
        <w:tc>
          <w:tcPr>
            <w:tcW w:w="2199" w:type="dxa"/>
            <w:shd w:val="clear" w:color="auto" w:fill="auto"/>
            <w:vAlign w:val="bottom"/>
          </w:tcPr>
          <w:p w14:paraId="59DD8243"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1,9%</w:t>
            </w:r>
          </w:p>
        </w:tc>
      </w:tr>
      <w:tr w:rsidR="00E255F8" w14:paraId="369FD351" w14:textId="77777777">
        <w:trPr>
          <w:trHeight w:val="222"/>
        </w:trPr>
        <w:tc>
          <w:tcPr>
            <w:tcW w:w="1550" w:type="dxa"/>
            <w:shd w:val="clear" w:color="auto" w:fill="auto"/>
            <w:vAlign w:val="bottom"/>
          </w:tcPr>
          <w:p w14:paraId="6E8637DB"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2976" w:type="dxa"/>
            <w:vAlign w:val="bottom"/>
          </w:tcPr>
          <w:p w14:paraId="2E19AF2A"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Vic</w:t>
            </w:r>
          </w:p>
        </w:tc>
        <w:tc>
          <w:tcPr>
            <w:tcW w:w="2204" w:type="dxa"/>
            <w:vAlign w:val="bottom"/>
          </w:tcPr>
          <w:p w14:paraId="2A61B999"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54,96 €</w:t>
            </w:r>
          </w:p>
        </w:tc>
        <w:tc>
          <w:tcPr>
            <w:tcW w:w="2199" w:type="dxa"/>
            <w:shd w:val="clear" w:color="auto" w:fill="auto"/>
            <w:vAlign w:val="bottom"/>
          </w:tcPr>
          <w:p w14:paraId="0219E62C"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1,9%</w:t>
            </w:r>
          </w:p>
        </w:tc>
      </w:tr>
      <w:tr w:rsidR="00E255F8" w14:paraId="5B048F0A" w14:textId="77777777">
        <w:trPr>
          <w:trHeight w:val="222"/>
        </w:trPr>
        <w:tc>
          <w:tcPr>
            <w:tcW w:w="1550" w:type="dxa"/>
            <w:shd w:val="clear" w:color="auto" w:fill="auto"/>
            <w:vAlign w:val="bottom"/>
          </w:tcPr>
          <w:p w14:paraId="2C7AA026"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Granada</w:t>
            </w:r>
          </w:p>
        </w:tc>
        <w:tc>
          <w:tcPr>
            <w:tcW w:w="2976" w:type="dxa"/>
            <w:vAlign w:val="bottom"/>
          </w:tcPr>
          <w:p w14:paraId="775E947D"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Granada capital</w:t>
            </w:r>
          </w:p>
        </w:tc>
        <w:tc>
          <w:tcPr>
            <w:tcW w:w="2204" w:type="dxa"/>
            <w:vAlign w:val="bottom"/>
          </w:tcPr>
          <w:p w14:paraId="02737294"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71,98 €</w:t>
            </w:r>
          </w:p>
        </w:tc>
        <w:tc>
          <w:tcPr>
            <w:tcW w:w="2199" w:type="dxa"/>
            <w:shd w:val="clear" w:color="auto" w:fill="auto"/>
            <w:vAlign w:val="bottom"/>
          </w:tcPr>
          <w:p w14:paraId="21FF5249"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1,4%</w:t>
            </w:r>
          </w:p>
        </w:tc>
      </w:tr>
      <w:tr w:rsidR="00E255F8" w14:paraId="0E9A961B" w14:textId="77777777">
        <w:trPr>
          <w:trHeight w:val="222"/>
        </w:trPr>
        <w:tc>
          <w:tcPr>
            <w:tcW w:w="1550" w:type="dxa"/>
            <w:shd w:val="clear" w:color="auto" w:fill="auto"/>
            <w:vAlign w:val="bottom"/>
          </w:tcPr>
          <w:p w14:paraId="58F05F47"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Alicante</w:t>
            </w:r>
          </w:p>
        </w:tc>
        <w:tc>
          <w:tcPr>
            <w:tcW w:w="2976" w:type="dxa"/>
            <w:vAlign w:val="bottom"/>
          </w:tcPr>
          <w:p w14:paraId="18840F2C"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Alicante / Alacant</w:t>
            </w:r>
          </w:p>
        </w:tc>
        <w:tc>
          <w:tcPr>
            <w:tcW w:w="2204" w:type="dxa"/>
            <w:vAlign w:val="bottom"/>
          </w:tcPr>
          <w:p w14:paraId="1D46BF70"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74,23 €</w:t>
            </w:r>
          </w:p>
        </w:tc>
        <w:tc>
          <w:tcPr>
            <w:tcW w:w="2199" w:type="dxa"/>
            <w:shd w:val="clear" w:color="auto" w:fill="auto"/>
            <w:vAlign w:val="bottom"/>
          </w:tcPr>
          <w:p w14:paraId="3E2AE4DC"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1,0%</w:t>
            </w:r>
          </w:p>
        </w:tc>
      </w:tr>
      <w:tr w:rsidR="00E255F8" w14:paraId="0652DEF6" w14:textId="77777777">
        <w:trPr>
          <w:trHeight w:val="222"/>
        </w:trPr>
        <w:tc>
          <w:tcPr>
            <w:tcW w:w="1550" w:type="dxa"/>
            <w:shd w:val="clear" w:color="auto" w:fill="auto"/>
            <w:vAlign w:val="bottom"/>
          </w:tcPr>
          <w:p w14:paraId="5B7D368A"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2976" w:type="dxa"/>
            <w:vAlign w:val="bottom"/>
          </w:tcPr>
          <w:p w14:paraId="6DA236D4"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 capital</w:t>
            </w:r>
          </w:p>
        </w:tc>
        <w:tc>
          <w:tcPr>
            <w:tcW w:w="2204" w:type="dxa"/>
            <w:vAlign w:val="bottom"/>
          </w:tcPr>
          <w:p w14:paraId="031E5609"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94,62 €</w:t>
            </w:r>
          </w:p>
        </w:tc>
        <w:tc>
          <w:tcPr>
            <w:tcW w:w="2199" w:type="dxa"/>
            <w:shd w:val="clear" w:color="auto" w:fill="auto"/>
            <w:vAlign w:val="bottom"/>
          </w:tcPr>
          <w:p w14:paraId="3DD743DA"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1,0%</w:t>
            </w:r>
          </w:p>
        </w:tc>
      </w:tr>
      <w:tr w:rsidR="00E255F8" w14:paraId="633CBCF8" w14:textId="77777777">
        <w:trPr>
          <w:trHeight w:val="222"/>
        </w:trPr>
        <w:tc>
          <w:tcPr>
            <w:tcW w:w="1550" w:type="dxa"/>
            <w:shd w:val="clear" w:color="auto" w:fill="auto"/>
            <w:vAlign w:val="bottom"/>
          </w:tcPr>
          <w:p w14:paraId="344048E7"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Navarra</w:t>
            </w:r>
          </w:p>
        </w:tc>
        <w:tc>
          <w:tcPr>
            <w:tcW w:w="2976" w:type="dxa"/>
            <w:vAlign w:val="bottom"/>
          </w:tcPr>
          <w:p w14:paraId="21398EFA"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Pamplona / Iruña</w:t>
            </w:r>
          </w:p>
        </w:tc>
        <w:tc>
          <w:tcPr>
            <w:tcW w:w="2204" w:type="dxa"/>
            <w:vAlign w:val="bottom"/>
          </w:tcPr>
          <w:p w14:paraId="382EC41E"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63,60 €</w:t>
            </w:r>
          </w:p>
        </w:tc>
        <w:tc>
          <w:tcPr>
            <w:tcW w:w="2199" w:type="dxa"/>
            <w:shd w:val="clear" w:color="auto" w:fill="auto"/>
            <w:vAlign w:val="bottom"/>
          </w:tcPr>
          <w:p w14:paraId="75268EAF" w14:textId="77777777" w:rsidR="00E255F8" w:rsidRDefault="00000000">
            <w:pPr>
              <w:jc w:val="center"/>
              <w:rPr>
                <w:rFonts w:ascii="Open Sans" w:eastAsia="Open Sans" w:hAnsi="Open Sans" w:cs="Open Sans"/>
                <w:b/>
                <w:color w:val="9C0006"/>
                <w:sz w:val="22"/>
                <w:szCs w:val="22"/>
              </w:rPr>
            </w:pPr>
            <w:r>
              <w:rPr>
                <w:rFonts w:ascii="Open Sans" w:eastAsia="Open Sans" w:hAnsi="Open Sans" w:cs="Open Sans"/>
                <w:b/>
                <w:color w:val="000000"/>
                <w:sz w:val="22"/>
                <w:szCs w:val="22"/>
              </w:rPr>
              <w:t>0,9%</w:t>
            </w:r>
          </w:p>
        </w:tc>
      </w:tr>
      <w:tr w:rsidR="00E255F8" w14:paraId="293FBA97" w14:textId="77777777">
        <w:trPr>
          <w:trHeight w:val="222"/>
        </w:trPr>
        <w:tc>
          <w:tcPr>
            <w:tcW w:w="1550" w:type="dxa"/>
            <w:shd w:val="clear" w:color="auto" w:fill="auto"/>
            <w:vAlign w:val="bottom"/>
          </w:tcPr>
          <w:p w14:paraId="2C2A576D"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 Coruña</w:t>
            </w:r>
          </w:p>
        </w:tc>
        <w:tc>
          <w:tcPr>
            <w:tcW w:w="2976" w:type="dxa"/>
            <w:vAlign w:val="bottom"/>
          </w:tcPr>
          <w:p w14:paraId="6F68C890"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 Coruña capital</w:t>
            </w:r>
          </w:p>
        </w:tc>
        <w:tc>
          <w:tcPr>
            <w:tcW w:w="2204" w:type="dxa"/>
            <w:vAlign w:val="bottom"/>
          </w:tcPr>
          <w:p w14:paraId="21E31F98"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74,65 €</w:t>
            </w:r>
          </w:p>
        </w:tc>
        <w:tc>
          <w:tcPr>
            <w:tcW w:w="2199" w:type="dxa"/>
            <w:shd w:val="clear" w:color="auto" w:fill="auto"/>
            <w:vAlign w:val="bottom"/>
          </w:tcPr>
          <w:p w14:paraId="213FD79F"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0,8%</w:t>
            </w:r>
          </w:p>
        </w:tc>
      </w:tr>
      <w:tr w:rsidR="00E255F8" w14:paraId="74B5C3F0" w14:textId="77777777">
        <w:trPr>
          <w:trHeight w:val="222"/>
        </w:trPr>
        <w:tc>
          <w:tcPr>
            <w:tcW w:w="1550" w:type="dxa"/>
            <w:shd w:val="clear" w:color="auto" w:fill="auto"/>
            <w:vAlign w:val="bottom"/>
          </w:tcPr>
          <w:p w14:paraId="0CE605CE"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2976" w:type="dxa"/>
            <w:vAlign w:val="bottom"/>
          </w:tcPr>
          <w:p w14:paraId="6F79663B"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Badalona</w:t>
            </w:r>
          </w:p>
        </w:tc>
        <w:tc>
          <w:tcPr>
            <w:tcW w:w="2204" w:type="dxa"/>
            <w:vAlign w:val="bottom"/>
          </w:tcPr>
          <w:p w14:paraId="1F53E0B1"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82,56 €</w:t>
            </w:r>
          </w:p>
        </w:tc>
        <w:tc>
          <w:tcPr>
            <w:tcW w:w="2199" w:type="dxa"/>
            <w:shd w:val="clear" w:color="auto" w:fill="auto"/>
            <w:vAlign w:val="bottom"/>
          </w:tcPr>
          <w:p w14:paraId="6FDFB87F"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0,4%</w:t>
            </w:r>
          </w:p>
        </w:tc>
      </w:tr>
      <w:tr w:rsidR="00E255F8" w14:paraId="4ECC3619" w14:textId="77777777">
        <w:trPr>
          <w:trHeight w:val="222"/>
        </w:trPr>
        <w:tc>
          <w:tcPr>
            <w:tcW w:w="1550" w:type="dxa"/>
            <w:shd w:val="clear" w:color="auto" w:fill="auto"/>
            <w:vAlign w:val="bottom"/>
          </w:tcPr>
          <w:p w14:paraId="7C2ACC4A"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Málaga</w:t>
            </w:r>
          </w:p>
        </w:tc>
        <w:tc>
          <w:tcPr>
            <w:tcW w:w="2976" w:type="dxa"/>
            <w:vAlign w:val="bottom"/>
          </w:tcPr>
          <w:p w14:paraId="10EC27B3"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Málaga capital</w:t>
            </w:r>
          </w:p>
        </w:tc>
        <w:tc>
          <w:tcPr>
            <w:tcW w:w="2204" w:type="dxa"/>
            <w:vAlign w:val="bottom"/>
          </w:tcPr>
          <w:p w14:paraId="4EBBB865"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77,18 €</w:t>
            </w:r>
          </w:p>
        </w:tc>
        <w:tc>
          <w:tcPr>
            <w:tcW w:w="2199" w:type="dxa"/>
            <w:shd w:val="clear" w:color="auto" w:fill="auto"/>
            <w:vAlign w:val="bottom"/>
          </w:tcPr>
          <w:p w14:paraId="129DE7A4"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0,3%</w:t>
            </w:r>
          </w:p>
        </w:tc>
      </w:tr>
      <w:tr w:rsidR="00E255F8" w14:paraId="1E3EB0EB" w14:textId="77777777">
        <w:trPr>
          <w:trHeight w:val="222"/>
        </w:trPr>
        <w:tc>
          <w:tcPr>
            <w:tcW w:w="1550" w:type="dxa"/>
            <w:shd w:val="clear" w:color="auto" w:fill="auto"/>
            <w:vAlign w:val="bottom"/>
          </w:tcPr>
          <w:p w14:paraId="0B444DC7"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Córdoba</w:t>
            </w:r>
          </w:p>
        </w:tc>
        <w:tc>
          <w:tcPr>
            <w:tcW w:w="2976" w:type="dxa"/>
            <w:vAlign w:val="bottom"/>
          </w:tcPr>
          <w:p w14:paraId="566885F6"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Córdoba capital</w:t>
            </w:r>
          </w:p>
        </w:tc>
        <w:tc>
          <w:tcPr>
            <w:tcW w:w="2204" w:type="dxa"/>
            <w:vAlign w:val="bottom"/>
          </w:tcPr>
          <w:p w14:paraId="02E810D4"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75,14 €</w:t>
            </w:r>
          </w:p>
        </w:tc>
        <w:tc>
          <w:tcPr>
            <w:tcW w:w="2199" w:type="dxa"/>
            <w:shd w:val="clear" w:color="auto" w:fill="auto"/>
            <w:vAlign w:val="bottom"/>
          </w:tcPr>
          <w:p w14:paraId="1BDA3C0E"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0,1%</w:t>
            </w:r>
          </w:p>
        </w:tc>
      </w:tr>
      <w:tr w:rsidR="00E255F8" w14:paraId="73EE2930" w14:textId="77777777">
        <w:trPr>
          <w:trHeight w:val="222"/>
        </w:trPr>
        <w:tc>
          <w:tcPr>
            <w:tcW w:w="1550" w:type="dxa"/>
            <w:shd w:val="clear" w:color="auto" w:fill="auto"/>
            <w:vAlign w:val="bottom"/>
          </w:tcPr>
          <w:p w14:paraId="6615EAF4"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Pontevedra</w:t>
            </w:r>
          </w:p>
        </w:tc>
        <w:tc>
          <w:tcPr>
            <w:tcW w:w="2976" w:type="dxa"/>
            <w:vAlign w:val="bottom"/>
          </w:tcPr>
          <w:p w14:paraId="71E38CB2"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Vigo</w:t>
            </w:r>
          </w:p>
        </w:tc>
        <w:tc>
          <w:tcPr>
            <w:tcW w:w="2204" w:type="dxa"/>
            <w:vAlign w:val="bottom"/>
          </w:tcPr>
          <w:p w14:paraId="419984BF"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68,88 €</w:t>
            </w:r>
          </w:p>
        </w:tc>
        <w:tc>
          <w:tcPr>
            <w:tcW w:w="2199" w:type="dxa"/>
            <w:shd w:val="clear" w:color="auto" w:fill="auto"/>
            <w:vAlign w:val="bottom"/>
          </w:tcPr>
          <w:p w14:paraId="3986656F"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-0,1%</w:t>
            </w:r>
          </w:p>
        </w:tc>
      </w:tr>
      <w:tr w:rsidR="00E255F8" w14:paraId="7CB3130C" w14:textId="77777777">
        <w:trPr>
          <w:trHeight w:val="222"/>
        </w:trPr>
        <w:tc>
          <w:tcPr>
            <w:tcW w:w="1550" w:type="dxa"/>
            <w:shd w:val="clear" w:color="auto" w:fill="auto"/>
            <w:vAlign w:val="bottom"/>
          </w:tcPr>
          <w:p w14:paraId="12AF1CC9"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2976" w:type="dxa"/>
            <w:vAlign w:val="bottom"/>
          </w:tcPr>
          <w:p w14:paraId="62F018B8"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Getafe</w:t>
            </w:r>
          </w:p>
        </w:tc>
        <w:tc>
          <w:tcPr>
            <w:tcW w:w="2204" w:type="dxa"/>
            <w:vAlign w:val="bottom"/>
          </w:tcPr>
          <w:p w14:paraId="2FF1328C"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57,07 €</w:t>
            </w:r>
          </w:p>
        </w:tc>
        <w:tc>
          <w:tcPr>
            <w:tcW w:w="2199" w:type="dxa"/>
            <w:shd w:val="clear" w:color="auto" w:fill="auto"/>
            <w:vAlign w:val="bottom"/>
          </w:tcPr>
          <w:p w14:paraId="532CE752"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-0,2%</w:t>
            </w:r>
          </w:p>
        </w:tc>
      </w:tr>
      <w:tr w:rsidR="00E255F8" w14:paraId="4170E1A1" w14:textId="77777777">
        <w:trPr>
          <w:trHeight w:val="222"/>
        </w:trPr>
        <w:tc>
          <w:tcPr>
            <w:tcW w:w="1550" w:type="dxa"/>
            <w:shd w:val="clear" w:color="auto" w:fill="auto"/>
            <w:vAlign w:val="bottom"/>
          </w:tcPr>
          <w:p w14:paraId="7CEEA087"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2976" w:type="dxa"/>
            <w:vAlign w:val="bottom"/>
          </w:tcPr>
          <w:p w14:paraId="69914DE8"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Alcalá de Henares</w:t>
            </w:r>
          </w:p>
        </w:tc>
        <w:tc>
          <w:tcPr>
            <w:tcW w:w="2204" w:type="dxa"/>
            <w:vAlign w:val="bottom"/>
          </w:tcPr>
          <w:p w14:paraId="0666A8A8"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73,81 €</w:t>
            </w:r>
          </w:p>
        </w:tc>
        <w:tc>
          <w:tcPr>
            <w:tcW w:w="2199" w:type="dxa"/>
            <w:shd w:val="clear" w:color="auto" w:fill="auto"/>
            <w:vAlign w:val="bottom"/>
          </w:tcPr>
          <w:p w14:paraId="2B60F3AC"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-1,3%</w:t>
            </w:r>
          </w:p>
        </w:tc>
      </w:tr>
      <w:tr w:rsidR="00E255F8" w14:paraId="2BD133F5" w14:textId="77777777">
        <w:trPr>
          <w:trHeight w:val="222"/>
        </w:trPr>
        <w:tc>
          <w:tcPr>
            <w:tcW w:w="1550" w:type="dxa"/>
            <w:shd w:val="clear" w:color="auto" w:fill="auto"/>
            <w:vAlign w:val="bottom"/>
          </w:tcPr>
          <w:p w14:paraId="228CB6A8"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Salamanca</w:t>
            </w:r>
          </w:p>
        </w:tc>
        <w:tc>
          <w:tcPr>
            <w:tcW w:w="2976" w:type="dxa"/>
            <w:vAlign w:val="bottom"/>
          </w:tcPr>
          <w:p w14:paraId="0B48045B"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Salamanca capital</w:t>
            </w:r>
          </w:p>
        </w:tc>
        <w:tc>
          <w:tcPr>
            <w:tcW w:w="2204" w:type="dxa"/>
            <w:vAlign w:val="bottom"/>
          </w:tcPr>
          <w:p w14:paraId="64DBC8CF"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64,09 €</w:t>
            </w:r>
          </w:p>
        </w:tc>
        <w:tc>
          <w:tcPr>
            <w:tcW w:w="2199" w:type="dxa"/>
            <w:shd w:val="clear" w:color="auto" w:fill="auto"/>
            <w:vAlign w:val="bottom"/>
          </w:tcPr>
          <w:p w14:paraId="5EB39E6A"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-1,6%</w:t>
            </w:r>
          </w:p>
        </w:tc>
      </w:tr>
      <w:tr w:rsidR="00E255F8" w14:paraId="6A8F8869" w14:textId="77777777">
        <w:trPr>
          <w:trHeight w:val="222"/>
        </w:trPr>
        <w:tc>
          <w:tcPr>
            <w:tcW w:w="1550" w:type="dxa"/>
            <w:shd w:val="clear" w:color="auto" w:fill="auto"/>
            <w:vAlign w:val="bottom"/>
          </w:tcPr>
          <w:p w14:paraId="13C3039E"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Castellón</w:t>
            </w:r>
          </w:p>
        </w:tc>
        <w:tc>
          <w:tcPr>
            <w:tcW w:w="2976" w:type="dxa"/>
            <w:vAlign w:val="bottom"/>
          </w:tcPr>
          <w:p w14:paraId="3B6E6E0F"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Castellón de la Plana </w:t>
            </w:r>
          </w:p>
        </w:tc>
        <w:tc>
          <w:tcPr>
            <w:tcW w:w="2204" w:type="dxa"/>
            <w:vAlign w:val="bottom"/>
          </w:tcPr>
          <w:p w14:paraId="16810EFE"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56,87 €</w:t>
            </w:r>
          </w:p>
        </w:tc>
        <w:tc>
          <w:tcPr>
            <w:tcW w:w="2199" w:type="dxa"/>
            <w:shd w:val="clear" w:color="auto" w:fill="auto"/>
            <w:vAlign w:val="bottom"/>
          </w:tcPr>
          <w:p w14:paraId="7028DC12"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-1,9%</w:t>
            </w:r>
          </w:p>
        </w:tc>
      </w:tr>
      <w:tr w:rsidR="00E255F8" w14:paraId="5FA0684D" w14:textId="77777777">
        <w:trPr>
          <w:trHeight w:val="222"/>
        </w:trPr>
        <w:tc>
          <w:tcPr>
            <w:tcW w:w="1550" w:type="dxa"/>
            <w:shd w:val="clear" w:color="auto" w:fill="auto"/>
            <w:vAlign w:val="bottom"/>
          </w:tcPr>
          <w:p w14:paraId="1F711750"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Bizkaia</w:t>
            </w:r>
          </w:p>
        </w:tc>
        <w:tc>
          <w:tcPr>
            <w:tcW w:w="2976" w:type="dxa"/>
            <w:vAlign w:val="bottom"/>
          </w:tcPr>
          <w:p w14:paraId="50981282"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Bilbao</w:t>
            </w:r>
          </w:p>
        </w:tc>
        <w:tc>
          <w:tcPr>
            <w:tcW w:w="2204" w:type="dxa"/>
            <w:vAlign w:val="bottom"/>
          </w:tcPr>
          <w:p w14:paraId="750AD2C6"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99,37 €</w:t>
            </w:r>
          </w:p>
        </w:tc>
        <w:tc>
          <w:tcPr>
            <w:tcW w:w="2199" w:type="dxa"/>
            <w:shd w:val="clear" w:color="auto" w:fill="auto"/>
            <w:vAlign w:val="bottom"/>
          </w:tcPr>
          <w:p w14:paraId="3B44F60F"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-1,9%</w:t>
            </w:r>
          </w:p>
        </w:tc>
      </w:tr>
      <w:tr w:rsidR="00E255F8" w14:paraId="0AEC773A" w14:textId="77777777">
        <w:trPr>
          <w:trHeight w:val="222"/>
        </w:trPr>
        <w:tc>
          <w:tcPr>
            <w:tcW w:w="1550" w:type="dxa"/>
            <w:shd w:val="clear" w:color="auto" w:fill="auto"/>
            <w:vAlign w:val="bottom"/>
          </w:tcPr>
          <w:p w14:paraId="27CE3D6C"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2976" w:type="dxa"/>
            <w:vAlign w:val="bottom"/>
          </w:tcPr>
          <w:p w14:paraId="2E171DD8"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Mataró</w:t>
            </w:r>
          </w:p>
        </w:tc>
        <w:tc>
          <w:tcPr>
            <w:tcW w:w="2204" w:type="dxa"/>
            <w:vAlign w:val="bottom"/>
          </w:tcPr>
          <w:p w14:paraId="47E0B77E"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71,20 €</w:t>
            </w:r>
          </w:p>
        </w:tc>
        <w:tc>
          <w:tcPr>
            <w:tcW w:w="2199" w:type="dxa"/>
            <w:shd w:val="clear" w:color="auto" w:fill="auto"/>
            <w:vAlign w:val="bottom"/>
          </w:tcPr>
          <w:p w14:paraId="12EC3651"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-2,3%</w:t>
            </w:r>
          </w:p>
        </w:tc>
      </w:tr>
      <w:tr w:rsidR="00E255F8" w14:paraId="0081ECF7" w14:textId="77777777">
        <w:trPr>
          <w:trHeight w:val="222"/>
        </w:trPr>
        <w:tc>
          <w:tcPr>
            <w:tcW w:w="1550" w:type="dxa"/>
            <w:shd w:val="clear" w:color="auto" w:fill="auto"/>
            <w:vAlign w:val="bottom"/>
          </w:tcPr>
          <w:p w14:paraId="2CA6AF95"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2976" w:type="dxa"/>
            <w:vAlign w:val="bottom"/>
          </w:tcPr>
          <w:p w14:paraId="11AAB3DC"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 Cugat del Vallès</w:t>
            </w:r>
          </w:p>
        </w:tc>
        <w:tc>
          <w:tcPr>
            <w:tcW w:w="2204" w:type="dxa"/>
            <w:vAlign w:val="bottom"/>
          </w:tcPr>
          <w:p w14:paraId="5CC2B265"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76,76 €</w:t>
            </w:r>
          </w:p>
        </w:tc>
        <w:tc>
          <w:tcPr>
            <w:tcW w:w="2199" w:type="dxa"/>
            <w:shd w:val="clear" w:color="auto" w:fill="auto"/>
            <w:vAlign w:val="bottom"/>
          </w:tcPr>
          <w:p w14:paraId="3442C4BA"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-2,8%</w:t>
            </w:r>
          </w:p>
        </w:tc>
      </w:tr>
      <w:tr w:rsidR="00E255F8" w14:paraId="332D580E" w14:textId="77777777">
        <w:trPr>
          <w:trHeight w:val="222"/>
        </w:trPr>
        <w:tc>
          <w:tcPr>
            <w:tcW w:w="1550" w:type="dxa"/>
            <w:shd w:val="clear" w:color="auto" w:fill="auto"/>
            <w:vAlign w:val="bottom"/>
          </w:tcPr>
          <w:p w14:paraId="136C6798"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Burgos</w:t>
            </w:r>
          </w:p>
        </w:tc>
        <w:tc>
          <w:tcPr>
            <w:tcW w:w="2976" w:type="dxa"/>
            <w:vAlign w:val="bottom"/>
          </w:tcPr>
          <w:p w14:paraId="40CEFDF9"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Burgos capital</w:t>
            </w:r>
          </w:p>
        </w:tc>
        <w:tc>
          <w:tcPr>
            <w:tcW w:w="2204" w:type="dxa"/>
            <w:vAlign w:val="bottom"/>
          </w:tcPr>
          <w:p w14:paraId="5FF210EF"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50,09 €</w:t>
            </w:r>
          </w:p>
        </w:tc>
        <w:tc>
          <w:tcPr>
            <w:tcW w:w="2199" w:type="dxa"/>
            <w:shd w:val="clear" w:color="auto" w:fill="auto"/>
            <w:vAlign w:val="bottom"/>
          </w:tcPr>
          <w:p w14:paraId="64809051"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-5,1%</w:t>
            </w:r>
          </w:p>
        </w:tc>
      </w:tr>
      <w:tr w:rsidR="00E255F8" w14:paraId="73115952" w14:textId="77777777">
        <w:trPr>
          <w:trHeight w:val="222"/>
        </w:trPr>
        <w:tc>
          <w:tcPr>
            <w:tcW w:w="1550" w:type="dxa"/>
            <w:shd w:val="clear" w:color="auto" w:fill="auto"/>
            <w:vAlign w:val="bottom"/>
          </w:tcPr>
          <w:p w14:paraId="6D97E8C0"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Sevilla</w:t>
            </w:r>
          </w:p>
        </w:tc>
        <w:tc>
          <w:tcPr>
            <w:tcW w:w="2976" w:type="dxa"/>
            <w:vAlign w:val="bottom"/>
          </w:tcPr>
          <w:p w14:paraId="77C8FB84"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Sevilla capital</w:t>
            </w:r>
          </w:p>
        </w:tc>
        <w:tc>
          <w:tcPr>
            <w:tcW w:w="2204" w:type="dxa"/>
            <w:vAlign w:val="bottom"/>
          </w:tcPr>
          <w:p w14:paraId="7465FB33"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81,35 €</w:t>
            </w:r>
          </w:p>
        </w:tc>
        <w:tc>
          <w:tcPr>
            <w:tcW w:w="2199" w:type="dxa"/>
            <w:shd w:val="clear" w:color="auto" w:fill="auto"/>
            <w:vAlign w:val="bottom"/>
          </w:tcPr>
          <w:p w14:paraId="0762C44C"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-5,2%</w:t>
            </w:r>
          </w:p>
        </w:tc>
      </w:tr>
      <w:tr w:rsidR="00E255F8" w14:paraId="60A2B2A2" w14:textId="77777777">
        <w:trPr>
          <w:trHeight w:val="222"/>
        </w:trPr>
        <w:tc>
          <w:tcPr>
            <w:tcW w:w="1550" w:type="dxa"/>
            <w:shd w:val="clear" w:color="auto" w:fill="auto"/>
            <w:vAlign w:val="bottom"/>
          </w:tcPr>
          <w:p w14:paraId="7B9C8417"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2976" w:type="dxa"/>
            <w:vAlign w:val="bottom"/>
          </w:tcPr>
          <w:p w14:paraId="3E845660"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Gijón</w:t>
            </w:r>
          </w:p>
        </w:tc>
        <w:tc>
          <w:tcPr>
            <w:tcW w:w="2204" w:type="dxa"/>
            <w:vAlign w:val="bottom"/>
          </w:tcPr>
          <w:p w14:paraId="75F269A1"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85,81 €</w:t>
            </w:r>
          </w:p>
        </w:tc>
        <w:tc>
          <w:tcPr>
            <w:tcW w:w="2199" w:type="dxa"/>
            <w:shd w:val="clear" w:color="auto" w:fill="auto"/>
            <w:vAlign w:val="bottom"/>
          </w:tcPr>
          <w:p w14:paraId="6FCB2DA3"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-7,4%</w:t>
            </w:r>
          </w:p>
        </w:tc>
      </w:tr>
    </w:tbl>
    <w:p w14:paraId="5CABEAC2" w14:textId="77777777" w:rsidR="00E255F8"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t xml:space="preserve">Por distritos de Madrid </w:t>
      </w:r>
    </w:p>
    <w:p w14:paraId="4A5A029F" w14:textId="77777777" w:rsidR="00E255F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2023, en nueve de los doce distritos analizados con variación de </w:t>
      </w:r>
      <w:r>
        <w:rPr>
          <w:rFonts w:ascii="Open Sans" w:eastAsia="Open Sans" w:hAnsi="Open Sans" w:cs="Open Sans"/>
          <w:b/>
          <w:color w:val="000000"/>
          <w:sz w:val="22"/>
          <w:szCs w:val="22"/>
        </w:rPr>
        <w:t>Madrid</w:t>
      </w:r>
      <w:r>
        <w:rPr>
          <w:rFonts w:ascii="Open Sans" w:eastAsia="Open Sans" w:hAnsi="Open Sans" w:cs="Open Sans"/>
          <w:color w:val="000000"/>
          <w:sz w:val="22"/>
          <w:szCs w:val="22"/>
        </w:rPr>
        <w:t xml:space="preserve"> el precio del alquiler de los garajes bajó respecto al año anterior. Los distritos con caídas son Tetuán con -16%, Arganzuela con -14%, Chamberí con -13%, Centro con -12%, Chamartín con -10%, Barrio de Salamanca con -10%, Retiro con -5%, Ciudad Lineal con -4% y San Blas con -3%. Por otro lado, tan solo en tres distritos se incrementa el precio del alquiler y son: Moncloa - Aravaca con 9,2%, Fuencarral - El Pardo con 5,7% y Hortaleza con 2,2%.</w:t>
      </w:r>
    </w:p>
    <w:p w14:paraId="7A23680C" w14:textId="77777777" w:rsidR="00E255F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orden de los distritos con los precios del alquiler mensual de mayor a menor es Centro con 114,81 euros/mes, Chamberí con 107,14 euros/mes, Barrio de Salamanca con 105,91 euros/mes, Moncloa - Aravaca con 90,68 euros/mes, Chamartín con 90,52 euros/mes, Retiro con 90,15 euros/mes, Usera con 83,68 euros/mes, Fuencarral - El Pardo con 78,11 euros/mes, Arganzuela con 77,44 euros/mes, San Blas con 76,96 euros/mes, Ciudad Lineal con 76,71 euros/mes, Tetuán con 75,26 euros/mes, Hortaleza con 64,38 euros/mes, Carabanchel con 62,81 euros/mes, Latina con 59,92 euros/mes, Puente de Vallecas con 55,44 euros/mes y Villa de Vallecas con 48,03 euros/mes.</w:t>
      </w:r>
    </w:p>
    <w:p w14:paraId="3B5B8FD8" w14:textId="77777777" w:rsidR="00E255F8"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Precio medio de los garajes por distritos de Madrid</w:t>
      </w:r>
    </w:p>
    <w:p w14:paraId="42AA1222" w14:textId="77777777" w:rsidR="00E255F8" w:rsidRDefault="00E255F8">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tbl>
      <w:tblPr>
        <w:tblStyle w:val="a1"/>
        <w:tblW w:w="8953"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3534"/>
        <w:gridCol w:w="2835"/>
        <w:gridCol w:w="2584"/>
      </w:tblGrid>
      <w:tr w:rsidR="00E255F8" w14:paraId="052E4095" w14:textId="77777777">
        <w:trPr>
          <w:trHeight w:val="735"/>
        </w:trPr>
        <w:tc>
          <w:tcPr>
            <w:tcW w:w="3534" w:type="dxa"/>
            <w:shd w:val="clear" w:color="auto" w:fill="ACB9CA"/>
            <w:vAlign w:val="center"/>
          </w:tcPr>
          <w:p w14:paraId="118672D4" w14:textId="77777777" w:rsidR="00E255F8" w:rsidRDefault="00000000">
            <w:pPr>
              <w:rPr>
                <w:rFonts w:ascii="Open Sans" w:eastAsia="Open Sans" w:hAnsi="Open Sans" w:cs="Open Sans"/>
                <w:color w:val="0D0D0D"/>
                <w:sz w:val="22"/>
                <w:szCs w:val="22"/>
              </w:rPr>
            </w:pPr>
            <w:r>
              <w:rPr>
                <w:rFonts w:ascii="Open Sans" w:eastAsia="Open Sans" w:hAnsi="Open Sans" w:cs="Open Sans"/>
                <w:color w:val="000000"/>
                <w:sz w:val="22"/>
                <w:szCs w:val="22"/>
              </w:rPr>
              <w:t>Distrito</w:t>
            </w:r>
          </w:p>
        </w:tc>
        <w:tc>
          <w:tcPr>
            <w:tcW w:w="2835" w:type="dxa"/>
            <w:shd w:val="clear" w:color="auto" w:fill="ACB9CA"/>
            <w:vAlign w:val="center"/>
          </w:tcPr>
          <w:p w14:paraId="6DEFE5A3" w14:textId="77777777" w:rsidR="00E255F8" w:rsidRDefault="00000000">
            <w:pPr>
              <w:jc w:val="center"/>
              <w:rPr>
                <w:rFonts w:ascii="Open Sans" w:eastAsia="Open Sans" w:hAnsi="Open Sans" w:cs="Open Sans"/>
                <w:color w:val="0D0D0D"/>
                <w:sz w:val="22"/>
                <w:szCs w:val="22"/>
              </w:rPr>
            </w:pPr>
            <w:r>
              <w:rPr>
                <w:rFonts w:ascii="Open Sans" w:eastAsia="Open Sans" w:hAnsi="Open Sans" w:cs="Open Sans"/>
                <w:color w:val="0D0D0D"/>
                <w:sz w:val="22"/>
                <w:szCs w:val="22"/>
              </w:rPr>
              <w:t>Alquileres (€) de los garajes en 2023</w:t>
            </w:r>
          </w:p>
        </w:tc>
        <w:tc>
          <w:tcPr>
            <w:tcW w:w="2584" w:type="dxa"/>
            <w:shd w:val="clear" w:color="auto" w:fill="ACB9CA"/>
            <w:vAlign w:val="center"/>
          </w:tcPr>
          <w:p w14:paraId="27498804"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Variación (%) </w:t>
            </w:r>
          </w:p>
          <w:p w14:paraId="4AF3C736" w14:textId="77777777" w:rsidR="00E255F8" w:rsidRDefault="00000000">
            <w:pPr>
              <w:jc w:val="center"/>
              <w:rPr>
                <w:rFonts w:ascii="Open Sans" w:eastAsia="Open Sans" w:hAnsi="Open Sans" w:cs="Open Sans"/>
                <w:b/>
                <w:color w:val="0D0D0D"/>
                <w:sz w:val="22"/>
                <w:szCs w:val="22"/>
              </w:rPr>
            </w:pPr>
            <w:r>
              <w:rPr>
                <w:rFonts w:ascii="Open Sans" w:eastAsia="Open Sans" w:hAnsi="Open Sans" w:cs="Open Sans"/>
                <w:b/>
                <w:color w:val="000000"/>
                <w:sz w:val="22"/>
                <w:szCs w:val="22"/>
              </w:rPr>
              <w:t xml:space="preserve"> (2023 vs 2022)  </w:t>
            </w:r>
          </w:p>
        </w:tc>
      </w:tr>
      <w:tr w:rsidR="00E255F8" w14:paraId="23150284" w14:textId="77777777">
        <w:trPr>
          <w:trHeight w:val="214"/>
        </w:trPr>
        <w:tc>
          <w:tcPr>
            <w:tcW w:w="3534" w:type="dxa"/>
            <w:vAlign w:val="bottom"/>
          </w:tcPr>
          <w:p w14:paraId="5A703F10"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Tetuán</w:t>
            </w:r>
          </w:p>
        </w:tc>
        <w:tc>
          <w:tcPr>
            <w:tcW w:w="2835" w:type="dxa"/>
            <w:vAlign w:val="bottom"/>
          </w:tcPr>
          <w:p w14:paraId="1F3025BA"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75,26 €</w:t>
            </w:r>
          </w:p>
        </w:tc>
        <w:tc>
          <w:tcPr>
            <w:tcW w:w="2584" w:type="dxa"/>
            <w:shd w:val="clear" w:color="auto" w:fill="auto"/>
            <w:vAlign w:val="bottom"/>
          </w:tcPr>
          <w:p w14:paraId="15240D0A"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-15,9%</w:t>
            </w:r>
          </w:p>
        </w:tc>
      </w:tr>
      <w:tr w:rsidR="00E255F8" w14:paraId="1EC3E0E4" w14:textId="77777777">
        <w:trPr>
          <w:trHeight w:val="214"/>
        </w:trPr>
        <w:tc>
          <w:tcPr>
            <w:tcW w:w="3534" w:type="dxa"/>
            <w:vAlign w:val="bottom"/>
          </w:tcPr>
          <w:p w14:paraId="780E392C"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Arganzuela</w:t>
            </w:r>
          </w:p>
        </w:tc>
        <w:tc>
          <w:tcPr>
            <w:tcW w:w="2835" w:type="dxa"/>
            <w:vAlign w:val="bottom"/>
          </w:tcPr>
          <w:p w14:paraId="54B4482A"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77,44 €</w:t>
            </w:r>
          </w:p>
        </w:tc>
        <w:tc>
          <w:tcPr>
            <w:tcW w:w="2584" w:type="dxa"/>
            <w:shd w:val="clear" w:color="auto" w:fill="auto"/>
            <w:vAlign w:val="bottom"/>
          </w:tcPr>
          <w:p w14:paraId="234164C7"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-14,0%</w:t>
            </w:r>
          </w:p>
        </w:tc>
      </w:tr>
      <w:tr w:rsidR="00E255F8" w14:paraId="13A74796" w14:textId="77777777">
        <w:trPr>
          <w:trHeight w:val="214"/>
        </w:trPr>
        <w:tc>
          <w:tcPr>
            <w:tcW w:w="3534" w:type="dxa"/>
            <w:vAlign w:val="bottom"/>
          </w:tcPr>
          <w:p w14:paraId="5B973FF3"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Chamberí</w:t>
            </w:r>
          </w:p>
        </w:tc>
        <w:tc>
          <w:tcPr>
            <w:tcW w:w="2835" w:type="dxa"/>
            <w:vAlign w:val="bottom"/>
          </w:tcPr>
          <w:p w14:paraId="547D4529"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107,14 €</w:t>
            </w:r>
          </w:p>
        </w:tc>
        <w:tc>
          <w:tcPr>
            <w:tcW w:w="2584" w:type="dxa"/>
            <w:shd w:val="clear" w:color="auto" w:fill="auto"/>
            <w:vAlign w:val="bottom"/>
          </w:tcPr>
          <w:p w14:paraId="64D327B5"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-12,6%</w:t>
            </w:r>
          </w:p>
        </w:tc>
      </w:tr>
      <w:tr w:rsidR="00E255F8" w14:paraId="21EB381D" w14:textId="77777777">
        <w:trPr>
          <w:trHeight w:val="214"/>
        </w:trPr>
        <w:tc>
          <w:tcPr>
            <w:tcW w:w="3534" w:type="dxa"/>
            <w:vAlign w:val="bottom"/>
          </w:tcPr>
          <w:p w14:paraId="13721080"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Centro</w:t>
            </w:r>
          </w:p>
        </w:tc>
        <w:tc>
          <w:tcPr>
            <w:tcW w:w="2835" w:type="dxa"/>
            <w:vAlign w:val="bottom"/>
          </w:tcPr>
          <w:p w14:paraId="19EFAB29"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114,81 €</w:t>
            </w:r>
          </w:p>
        </w:tc>
        <w:tc>
          <w:tcPr>
            <w:tcW w:w="2584" w:type="dxa"/>
            <w:shd w:val="clear" w:color="auto" w:fill="auto"/>
            <w:vAlign w:val="bottom"/>
          </w:tcPr>
          <w:p w14:paraId="1A860143"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-11,6%</w:t>
            </w:r>
          </w:p>
        </w:tc>
      </w:tr>
      <w:tr w:rsidR="00E255F8" w14:paraId="63583B9A" w14:textId="77777777">
        <w:trPr>
          <w:trHeight w:val="214"/>
        </w:trPr>
        <w:tc>
          <w:tcPr>
            <w:tcW w:w="3534" w:type="dxa"/>
            <w:vAlign w:val="bottom"/>
          </w:tcPr>
          <w:p w14:paraId="57D48308"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Chamartín</w:t>
            </w:r>
          </w:p>
        </w:tc>
        <w:tc>
          <w:tcPr>
            <w:tcW w:w="2835" w:type="dxa"/>
            <w:vAlign w:val="bottom"/>
          </w:tcPr>
          <w:p w14:paraId="0EB3A339"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90,52 €</w:t>
            </w:r>
          </w:p>
        </w:tc>
        <w:tc>
          <w:tcPr>
            <w:tcW w:w="2584" w:type="dxa"/>
            <w:shd w:val="clear" w:color="auto" w:fill="auto"/>
            <w:vAlign w:val="bottom"/>
          </w:tcPr>
          <w:p w14:paraId="1C8988F7"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-10,3%</w:t>
            </w:r>
          </w:p>
        </w:tc>
      </w:tr>
      <w:tr w:rsidR="00E255F8" w14:paraId="7912F4E3" w14:textId="77777777">
        <w:trPr>
          <w:trHeight w:val="214"/>
        </w:trPr>
        <w:tc>
          <w:tcPr>
            <w:tcW w:w="3534" w:type="dxa"/>
            <w:vAlign w:val="bottom"/>
          </w:tcPr>
          <w:p w14:paraId="4AF374E9"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Barrio de Salamanca</w:t>
            </w:r>
          </w:p>
        </w:tc>
        <w:tc>
          <w:tcPr>
            <w:tcW w:w="2835" w:type="dxa"/>
            <w:vAlign w:val="bottom"/>
          </w:tcPr>
          <w:p w14:paraId="78D8F30C"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105,91 €</w:t>
            </w:r>
          </w:p>
        </w:tc>
        <w:tc>
          <w:tcPr>
            <w:tcW w:w="2584" w:type="dxa"/>
            <w:shd w:val="clear" w:color="auto" w:fill="auto"/>
            <w:vAlign w:val="bottom"/>
          </w:tcPr>
          <w:p w14:paraId="35F0FC7C"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-9,6%</w:t>
            </w:r>
          </w:p>
        </w:tc>
      </w:tr>
      <w:tr w:rsidR="00E255F8" w14:paraId="7BEDFD48" w14:textId="77777777">
        <w:trPr>
          <w:trHeight w:val="214"/>
        </w:trPr>
        <w:tc>
          <w:tcPr>
            <w:tcW w:w="3534" w:type="dxa"/>
            <w:vAlign w:val="bottom"/>
          </w:tcPr>
          <w:p w14:paraId="6749B27B"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Retiro</w:t>
            </w:r>
          </w:p>
        </w:tc>
        <w:tc>
          <w:tcPr>
            <w:tcW w:w="2835" w:type="dxa"/>
            <w:vAlign w:val="bottom"/>
          </w:tcPr>
          <w:p w14:paraId="11510901"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90,15 €</w:t>
            </w:r>
          </w:p>
        </w:tc>
        <w:tc>
          <w:tcPr>
            <w:tcW w:w="2584" w:type="dxa"/>
            <w:shd w:val="clear" w:color="auto" w:fill="auto"/>
            <w:vAlign w:val="bottom"/>
          </w:tcPr>
          <w:p w14:paraId="6CD3298D"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-5,1%</w:t>
            </w:r>
          </w:p>
        </w:tc>
      </w:tr>
      <w:tr w:rsidR="00E255F8" w14:paraId="174C5FA3" w14:textId="77777777">
        <w:trPr>
          <w:trHeight w:val="214"/>
        </w:trPr>
        <w:tc>
          <w:tcPr>
            <w:tcW w:w="3534" w:type="dxa"/>
            <w:vAlign w:val="bottom"/>
          </w:tcPr>
          <w:p w14:paraId="741AA51F"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Ciudad Lineal</w:t>
            </w:r>
          </w:p>
        </w:tc>
        <w:tc>
          <w:tcPr>
            <w:tcW w:w="2835" w:type="dxa"/>
            <w:vAlign w:val="bottom"/>
          </w:tcPr>
          <w:p w14:paraId="3D3D7ABE"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76,71 €</w:t>
            </w:r>
          </w:p>
        </w:tc>
        <w:tc>
          <w:tcPr>
            <w:tcW w:w="2584" w:type="dxa"/>
            <w:shd w:val="clear" w:color="auto" w:fill="auto"/>
            <w:vAlign w:val="bottom"/>
          </w:tcPr>
          <w:p w14:paraId="7A9A94D3" w14:textId="77777777" w:rsidR="00E255F8" w:rsidRDefault="00000000">
            <w:pPr>
              <w:jc w:val="center"/>
              <w:rPr>
                <w:rFonts w:ascii="Open Sans" w:eastAsia="Open Sans" w:hAnsi="Open Sans" w:cs="Open Sans"/>
                <w:b/>
                <w:color w:val="9C0006"/>
                <w:sz w:val="22"/>
                <w:szCs w:val="22"/>
              </w:rPr>
            </w:pPr>
            <w:r>
              <w:rPr>
                <w:rFonts w:ascii="Open Sans" w:eastAsia="Open Sans" w:hAnsi="Open Sans" w:cs="Open Sans"/>
                <w:b/>
                <w:color w:val="9C0006"/>
                <w:sz w:val="22"/>
                <w:szCs w:val="22"/>
              </w:rPr>
              <w:t>-3,7%</w:t>
            </w:r>
          </w:p>
        </w:tc>
      </w:tr>
      <w:tr w:rsidR="00E255F8" w14:paraId="1552F3A0" w14:textId="77777777">
        <w:trPr>
          <w:trHeight w:val="214"/>
        </w:trPr>
        <w:tc>
          <w:tcPr>
            <w:tcW w:w="3534" w:type="dxa"/>
            <w:vAlign w:val="bottom"/>
          </w:tcPr>
          <w:p w14:paraId="67FDA2CA"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 Blas</w:t>
            </w:r>
          </w:p>
        </w:tc>
        <w:tc>
          <w:tcPr>
            <w:tcW w:w="2835" w:type="dxa"/>
            <w:vAlign w:val="bottom"/>
          </w:tcPr>
          <w:p w14:paraId="085B1087"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76,96 €</w:t>
            </w:r>
          </w:p>
        </w:tc>
        <w:tc>
          <w:tcPr>
            <w:tcW w:w="2584" w:type="dxa"/>
            <w:shd w:val="clear" w:color="auto" w:fill="auto"/>
            <w:vAlign w:val="bottom"/>
          </w:tcPr>
          <w:p w14:paraId="2895C929" w14:textId="77777777" w:rsidR="00E255F8" w:rsidRDefault="00000000">
            <w:pPr>
              <w:jc w:val="center"/>
              <w:rPr>
                <w:rFonts w:ascii="Open Sans" w:eastAsia="Open Sans" w:hAnsi="Open Sans" w:cs="Open Sans"/>
                <w:b/>
                <w:color w:val="9C0006"/>
                <w:sz w:val="22"/>
                <w:szCs w:val="22"/>
              </w:rPr>
            </w:pPr>
            <w:r>
              <w:rPr>
                <w:rFonts w:ascii="Open Sans" w:eastAsia="Open Sans" w:hAnsi="Open Sans" w:cs="Open Sans"/>
                <w:b/>
                <w:color w:val="9C0006"/>
                <w:sz w:val="22"/>
                <w:szCs w:val="22"/>
              </w:rPr>
              <w:t>-3,4%</w:t>
            </w:r>
          </w:p>
        </w:tc>
      </w:tr>
      <w:tr w:rsidR="00E255F8" w14:paraId="54061ED9" w14:textId="77777777">
        <w:trPr>
          <w:trHeight w:val="214"/>
        </w:trPr>
        <w:tc>
          <w:tcPr>
            <w:tcW w:w="3534" w:type="dxa"/>
            <w:vAlign w:val="bottom"/>
          </w:tcPr>
          <w:p w14:paraId="2A5910C7"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Hortaleza</w:t>
            </w:r>
          </w:p>
        </w:tc>
        <w:tc>
          <w:tcPr>
            <w:tcW w:w="2835" w:type="dxa"/>
            <w:vAlign w:val="bottom"/>
          </w:tcPr>
          <w:p w14:paraId="35E558FE"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64,38 €</w:t>
            </w:r>
          </w:p>
        </w:tc>
        <w:tc>
          <w:tcPr>
            <w:tcW w:w="2584" w:type="dxa"/>
            <w:shd w:val="clear" w:color="auto" w:fill="auto"/>
            <w:vAlign w:val="bottom"/>
          </w:tcPr>
          <w:p w14:paraId="3A93D2AE" w14:textId="77777777" w:rsidR="00E255F8" w:rsidRDefault="00000000">
            <w:pPr>
              <w:jc w:val="center"/>
              <w:rPr>
                <w:rFonts w:ascii="Open Sans" w:eastAsia="Open Sans" w:hAnsi="Open Sans" w:cs="Open Sans"/>
                <w:b/>
                <w:color w:val="9C0006"/>
                <w:sz w:val="22"/>
                <w:szCs w:val="22"/>
              </w:rPr>
            </w:pPr>
            <w:r>
              <w:rPr>
                <w:rFonts w:ascii="Open Sans" w:eastAsia="Open Sans" w:hAnsi="Open Sans" w:cs="Open Sans"/>
                <w:b/>
                <w:color w:val="000000"/>
                <w:sz w:val="22"/>
                <w:szCs w:val="22"/>
              </w:rPr>
              <w:t>2,2%</w:t>
            </w:r>
          </w:p>
        </w:tc>
      </w:tr>
      <w:tr w:rsidR="00E255F8" w14:paraId="7CBDBF1F" w14:textId="77777777">
        <w:trPr>
          <w:trHeight w:val="214"/>
        </w:trPr>
        <w:tc>
          <w:tcPr>
            <w:tcW w:w="3534" w:type="dxa"/>
            <w:vAlign w:val="bottom"/>
          </w:tcPr>
          <w:p w14:paraId="09DA492C"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Fuencarral - El Pardo</w:t>
            </w:r>
          </w:p>
        </w:tc>
        <w:tc>
          <w:tcPr>
            <w:tcW w:w="2835" w:type="dxa"/>
            <w:vAlign w:val="bottom"/>
          </w:tcPr>
          <w:p w14:paraId="1635C466"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78,11 €</w:t>
            </w:r>
          </w:p>
        </w:tc>
        <w:tc>
          <w:tcPr>
            <w:tcW w:w="2584" w:type="dxa"/>
            <w:shd w:val="clear" w:color="auto" w:fill="auto"/>
            <w:vAlign w:val="bottom"/>
          </w:tcPr>
          <w:p w14:paraId="27BC455D" w14:textId="77777777" w:rsidR="00E255F8" w:rsidRDefault="00000000">
            <w:pPr>
              <w:jc w:val="center"/>
              <w:rPr>
                <w:rFonts w:ascii="Open Sans" w:eastAsia="Open Sans" w:hAnsi="Open Sans" w:cs="Open Sans"/>
                <w:b/>
                <w:color w:val="9C0006"/>
                <w:sz w:val="22"/>
                <w:szCs w:val="22"/>
              </w:rPr>
            </w:pPr>
            <w:r>
              <w:rPr>
                <w:rFonts w:ascii="Open Sans" w:eastAsia="Open Sans" w:hAnsi="Open Sans" w:cs="Open Sans"/>
                <w:b/>
                <w:color w:val="000000"/>
                <w:sz w:val="22"/>
                <w:szCs w:val="22"/>
              </w:rPr>
              <w:t>5,7%</w:t>
            </w:r>
          </w:p>
        </w:tc>
      </w:tr>
      <w:tr w:rsidR="00E255F8" w14:paraId="6BFBD4CA" w14:textId="77777777">
        <w:trPr>
          <w:trHeight w:val="214"/>
        </w:trPr>
        <w:tc>
          <w:tcPr>
            <w:tcW w:w="3534" w:type="dxa"/>
            <w:vAlign w:val="bottom"/>
          </w:tcPr>
          <w:p w14:paraId="165A0D43"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Moncloa - Aravaca</w:t>
            </w:r>
          </w:p>
        </w:tc>
        <w:tc>
          <w:tcPr>
            <w:tcW w:w="2835" w:type="dxa"/>
            <w:vAlign w:val="bottom"/>
          </w:tcPr>
          <w:p w14:paraId="17BB86B4"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90,68 €</w:t>
            </w:r>
          </w:p>
        </w:tc>
        <w:tc>
          <w:tcPr>
            <w:tcW w:w="2584" w:type="dxa"/>
            <w:shd w:val="clear" w:color="auto" w:fill="auto"/>
            <w:vAlign w:val="bottom"/>
          </w:tcPr>
          <w:p w14:paraId="102B662F" w14:textId="77777777" w:rsidR="00E255F8" w:rsidRDefault="00000000">
            <w:pPr>
              <w:jc w:val="center"/>
              <w:rPr>
                <w:rFonts w:ascii="Open Sans" w:eastAsia="Open Sans" w:hAnsi="Open Sans" w:cs="Open Sans"/>
                <w:b/>
                <w:color w:val="9C0006"/>
                <w:sz w:val="22"/>
                <w:szCs w:val="22"/>
              </w:rPr>
            </w:pPr>
            <w:r>
              <w:rPr>
                <w:rFonts w:ascii="Open Sans" w:eastAsia="Open Sans" w:hAnsi="Open Sans" w:cs="Open Sans"/>
                <w:b/>
                <w:color w:val="000000"/>
                <w:sz w:val="22"/>
                <w:szCs w:val="22"/>
              </w:rPr>
              <w:t>9,2%</w:t>
            </w:r>
          </w:p>
        </w:tc>
      </w:tr>
      <w:tr w:rsidR="00E255F8" w14:paraId="016F9368" w14:textId="77777777">
        <w:trPr>
          <w:trHeight w:val="214"/>
        </w:trPr>
        <w:tc>
          <w:tcPr>
            <w:tcW w:w="3534" w:type="dxa"/>
            <w:vAlign w:val="bottom"/>
          </w:tcPr>
          <w:p w14:paraId="371F40AB"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Usera</w:t>
            </w:r>
          </w:p>
        </w:tc>
        <w:tc>
          <w:tcPr>
            <w:tcW w:w="2835" w:type="dxa"/>
            <w:vAlign w:val="bottom"/>
          </w:tcPr>
          <w:p w14:paraId="4500C08E"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83,68 €</w:t>
            </w:r>
          </w:p>
        </w:tc>
        <w:tc>
          <w:tcPr>
            <w:tcW w:w="2584" w:type="dxa"/>
            <w:shd w:val="clear" w:color="auto" w:fill="auto"/>
            <w:vAlign w:val="bottom"/>
          </w:tcPr>
          <w:p w14:paraId="48E7D8A8"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E255F8" w14:paraId="75A65AF8" w14:textId="77777777">
        <w:trPr>
          <w:trHeight w:val="214"/>
        </w:trPr>
        <w:tc>
          <w:tcPr>
            <w:tcW w:w="3534" w:type="dxa"/>
            <w:vAlign w:val="bottom"/>
          </w:tcPr>
          <w:p w14:paraId="30769F40"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Carabanchel</w:t>
            </w:r>
          </w:p>
        </w:tc>
        <w:tc>
          <w:tcPr>
            <w:tcW w:w="2835" w:type="dxa"/>
            <w:vAlign w:val="bottom"/>
          </w:tcPr>
          <w:p w14:paraId="51C82301"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62,81 €</w:t>
            </w:r>
          </w:p>
        </w:tc>
        <w:tc>
          <w:tcPr>
            <w:tcW w:w="2584" w:type="dxa"/>
            <w:shd w:val="clear" w:color="auto" w:fill="auto"/>
          </w:tcPr>
          <w:p w14:paraId="05F3D105"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E255F8" w14:paraId="6C71C79E" w14:textId="77777777">
        <w:trPr>
          <w:trHeight w:val="214"/>
        </w:trPr>
        <w:tc>
          <w:tcPr>
            <w:tcW w:w="3534" w:type="dxa"/>
            <w:vAlign w:val="bottom"/>
          </w:tcPr>
          <w:p w14:paraId="09FCD81B"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Latina</w:t>
            </w:r>
          </w:p>
        </w:tc>
        <w:tc>
          <w:tcPr>
            <w:tcW w:w="2835" w:type="dxa"/>
            <w:vAlign w:val="bottom"/>
          </w:tcPr>
          <w:p w14:paraId="43FB2899"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59,92 €</w:t>
            </w:r>
          </w:p>
        </w:tc>
        <w:tc>
          <w:tcPr>
            <w:tcW w:w="2584" w:type="dxa"/>
            <w:shd w:val="clear" w:color="auto" w:fill="auto"/>
          </w:tcPr>
          <w:p w14:paraId="1551568B"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E255F8" w14:paraId="1550A01B" w14:textId="77777777">
        <w:trPr>
          <w:trHeight w:val="214"/>
        </w:trPr>
        <w:tc>
          <w:tcPr>
            <w:tcW w:w="3534" w:type="dxa"/>
            <w:vAlign w:val="bottom"/>
          </w:tcPr>
          <w:p w14:paraId="6403F048"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Puente de Vallecas</w:t>
            </w:r>
          </w:p>
        </w:tc>
        <w:tc>
          <w:tcPr>
            <w:tcW w:w="2835" w:type="dxa"/>
            <w:vAlign w:val="bottom"/>
          </w:tcPr>
          <w:p w14:paraId="0625EBFA"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55,44 €</w:t>
            </w:r>
          </w:p>
        </w:tc>
        <w:tc>
          <w:tcPr>
            <w:tcW w:w="2584" w:type="dxa"/>
            <w:shd w:val="clear" w:color="auto" w:fill="auto"/>
          </w:tcPr>
          <w:p w14:paraId="77DA85EC"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E255F8" w14:paraId="367B6DC7" w14:textId="77777777">
        <w:trPr>
          <w:trHeight w:val="214"/>
        </w:trPr>
        <w:tc>
          <w:tcPr>
            <w:tcW w:w="3534" w:type="dxa"/>
            <w:vAlign w:val="bottom"/>
          </w:tcPr>
          <w:p w14:paraId="511AD88A"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Villa de Vallecas</w:t>
            </w:r>
          </w:p>
        </w:tc>
        <w:tc>
          <w:tcPr>
            <w:tcW w:w="2835" w:type="dxa"/>
            <w:vAlign w:val="bottom"/>
          </w:tcPr>
          <w:p w14:paraId="0DF210D6"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48,03 €</w:t>
            </w:r>
          </w:p>
        </w:tc>
        <w:tc>
          <w:tcPr>
            <w:tcW w:w="2584" w:type="dxa"/>
            <w:shd w:val="clear" w:color="auto" w:fill="auto"/>
          </w:tcPr>
          <w:p w14:paraId="1A7C8808"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r>
    </w:tbl>
    <w:p w14:paraId="382F4116" w14:textId="77777777" w:rsidR="00E255F8"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t xml:space="preserve">Por distritos de Barcelona </w:t>
      </w:r>
    </w:p>
    <w:p w14:paraId="07E0C203" w14:textId="77777777" w:rsidR="00E255F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2023, en nueve de los diez distritos analizados con variación de </w:t>
      </w:r>
      <w:r>
        <w:rPr>
          <w:rFonts w:ascii="Open Sans" w:eastAsia="Open Sans" w:hAnsi="Open Sans" w:cs="Open Sans"/>
          <w:b/>
          <w:color w:val="000000"/>
          <w:sz w:val="22"/>
          <w:szCs w:val="22"/>
        </w:rPr>
        <w:t>Barcelona</w:t>
      </w:r>
      <w:r>
        <w:rPr>
          <w:rFonts w:ascii="Open Sans" w:eastAsia="Open Sans" w:hAnsi="Open Sans" w:cs="Open Sans"/>
          <w:color w:val="000000"/>
          <w:sz w:val="22"/>
          <w:szCs w:val="22"/>
        </w:rPr>
        <w:t xml:space="preserve"> el precio del alquiler de los garajes bajó respecto al año anterior. Los distritos con caídas son Sant Andreu con -39,4%, Sants - Montjuïc con -19,3%, Gràcia con -15,7%, Sant Martí con -13,3%, Eixample con -11,5%, Sarrià - Sant Gervasi con -7,8%, Horta - Guinardó con -5,1%, Nou Barris con -4,8% y Les Corts con -2,1%. Por otro lado, en tan solo el distrito de Ciutat Vella se incrementa el precio del alquiler con un 6,7%.</w:t>
      </w:r>
    </w:p>
    <w:p w14:paraId="547F9879" w14:textId="77777777" w:rsidR="00E255F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orden de los distritos con los precios del alquiler mensual de mayor a menor es Ciutat Vella con 105,48 euros/mes, Sarrià - Sant Gervasi con 93,40 euros/mes, Les Corts con 92,50 euros/mes, Horta - Guinardó con 86,37 euros/mes, Eixample con 84,95 euros/mes, Sant Martí con 81,89 euros/mes, Gràcia con 81,15 euros/mes, Nou Barris con 80,46 euros/mes, Sants - Montjuïc con 72,82 euros/mes y Sant Andreu con 48,69 euros/mes.</w:t>
      </w:r>
    </w:p>
    <w:p w14:paraId="3E093A51" w14:textId="77777777" w:rsidR="00E255F8" w:rsidRDefault="00000000">
      <w:pPr>
        <w:rPr>
          <w:rFonts w:ascii="National" w:eastAsia="National" w:hAnsi="National" w:cs="National"/>
          <w:b/>
          <w:color w:val="303AB2"/>
          <w:sz w:val="28"/>
          <w:szCs w:val="28"/>
        </w:rPr>
      </w:pPr>
      <w:r>
        <w:rPr>
          <w:rFonts w:ascii="National" w:eastAsia="National" w:hAnsi="National" w:cs="National"/>
          <w:b/>
          <w:color w:val="303AB2"/>
          <w:sz w:val="28"/>
          <w:szCs w:val="28"/>
        </w:rPr>
        <w:t>Precio medio de los garajes por distritos de Barcelona</w:t>
      </w:r>
    </w:p>
    <w:p w14:paraId="030EFF89" w14:textId="77777777" w:rsidR="00E255F8" w:rsidRDefault="00E255F8">
      <w:pPr>
        <w:rPr>
          <w:rFonts w:ascii="National" w:eastAsia="National" w:hAnsi="National" w:cs="National"/>
          <w:b/>
          <w:color w:val="303AB2"/>
          <w:sz w:val="28"/>
          <w:szCs w:val="28"/>
        </w:rPr>
      </w:pPr>
    </w:p>
    <w:tbl>
      <w:tblPr>
        <w:tblStyle w:val="a2"/>
        <w:tblW w:w="8937"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3534"/>
        <w:gridCol w:w="2835"/>
        <w:gridCol w:w="2568"/>
      </w:tblGrid>
      <w:tr w:rsidR="00E255F8" w14:paraId="4049210A" w14:textId="77777777">
        <w:trPr>
          <w:trHeight w:val="744"/>
        </w:trPr>
        <w:tc>
          <w:tcPr>
            <w:tcW w:w="3534" w:type="dxa"/>
            <w:shd w:val="clear" w:color="auto" w:fill="ACB9CA"/>
            <w:vAlign w:val="center"/>
          </w:tcPr>
          <w:p w14:paraId="716DD088" w14:textId="77777777" w:rsidR="00E255F8" w:rsidRDefault="00000000">
            <w:pPr>
              <w:rPr>
                <w:rFonts w:ascii="Open Sans" w:eastAsia="Open Sans" w:hAnsi="Open Sans" w:cs="Open Sans"/>
                <w:color w:val="0D0D0D"/>
                <w:sz w:val="22"/>
                <w:szCs w:val="22"/>
              </w:rPr>
            </w:pPr>
            <w:r>
              <w:rPr>
                <w:rFonts w:ascii="Open Sans" w:eastAsia="Open Sans" w:hAnsi="Open Sans" w:cs="Open Sans"/>
                <w:color w:val="000000"/>
                <w:sz w:val="22"/>
                <w:szCs w:val="22"/>
              </w:rPr>
              <w:t>Distrito</w:t>
            </w:r>
          </w:p>
        </w:tc>
        <w:tc>
          <w:tcPr>
            <w:tcW w:w="2835" w:type="dxa"/>
            <w:shd w:val="clear" w:color="auto" w:fill="ACB9CA"/>
            <w:vAlign w:val="center"/>
          </w:tcPr>
          <w:p w14:paraId="1CE5E03B" w14:textId="77777777" w:rsidR="00E255F8" w:rsidRDefault="00000000">
            <w:pPr>
              <w:jc w:val="center"/>
              <w:rPr>
                <w:rFonts w:ascii="Open Sans" w:eastAsia="Open Sans" w:hAnsi="Open Sans" w:cs="Open Sans"/>
                <w:color w:val="0D0D0D"/>
                <w:sz w:val="22"/>
                <w:szCs w:val="22"/>
              </w:rPr>
            </w:pPr>
            <w:r>
              <w:rPr>
                <w:rFonts w:ascii="Open Sans" w:eastAsia="Open Sans" w:hAnsi="Open Sans" w:cs="Open Sans"/>
                <w:color w:val="0D0D0D"/>
                <w:sz w:val="22"/>
                <w:szCs w:val="22"/>
              </w:rPr>
              <w:t>Alquileres (€) de los garajes en 2023</w:t>
            </w:r>
          </w:p>
        </w:tc>
        <w:tc>
          <w:tcPr>
            <w:tcW w:w="2568" w:type="dxa"/>
            <w:shd w:val="clear" w:color="auto" w:fill="ACB9CA"/>
            <w:vAlign w:val="center"/>
          </w:tcPr>
          <w:p w14:paraId="39D7F45A"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Variación (%) </w:t>
            </w:r>
          </w:p>
          <w:p w14:paraId="2CC5EE06" w14:textId="77777777" w:rsidR="00E255F8" w:rsidRDefault="00000000">
            <w:pPr>
              <w:jc w:val="center"/>
              <w:rPr>
                <w:rFonts w:ascii="Open Sans" w:eastAsia="Open Sans" w:hAnsi="Open Sans" w:cs="Open Sans"/>
                <w:b/>
                <w:color w:val="0D0D0D"/>
                <w:sz w:val="22"/>
                <w:szCs w:val="22"/>
              </w:rPr>
            </w:pPr>
            <w:r>
              <w:rPr>
                <w:rFonts w:ascii="Open Sans" w:eastAsia="Open Sans" w:hAnsi="Open Sans" w:cs="Open Sans"/>
                <w:b/>
                <w:color w:val="000000"/>
                <w:sz w:val="22"/>
                <w:szCs w:val="22"/>
              </w:rPr>
              <w:t xml:space="preserve"> (2023 vs 2022)  </w:t>
            </w:r>
          </w:p>
        </w:tc>
      </w:tr>
      <w:tr w:rsidR="00E255F8" w14:paraId="0C09DC77" w14:textId="77777777">
        <w:trPr>
          <w:trHeight w:val="312"/>
        </w:trPr>
        <w:tc>
          <w:tcPr>
            <w:tcW w:w="3534" w:type="dxa"/>
            <w:vAlign w:val="bottom"/>
          </w:tcPr>
          <w:p w14:paraId="508553B3"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 Andreu</w:t>
            </w:r>
          </w:p>
        </w:tc>
        <w:tc>
          <w:tcPr>
            <w:tcW w:w="2835" w:type="dxa"/>
            <w:shd w:val="clear" w:color="auto" w:fill="auto"/>
            <w:vAlign w:val="bottom"/>
          </w:tcPr>
          <w:p w14:paraId="25E8D66A"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48,69 €</w:t>
            </w:r>
          </w:p>
        </w:tc>
        <w:tc>
          <w:tcPr>
            <w:tcW w:w="2568" w:type="dxa"/>
            <w:vAlign w:val="bottom"/>
          </w:tcPr>
          <w:p w14:paraId="707678EC" w14:textId="77777777" w:rsidR="00E255F8" w:rsidRDefault="00000000">
            <w:pPr>
              <w:jc w:val="center"/>
              <w:rPr>
                <w:rFonts w:ascii="Open Sans" w:eastAsia="Open Sans" w:hAnsi="Open Sans" w:cs="Open Sans"/>
                <w:b/>
                <w:color w:val="2E75B5"/>
                <w:sz w:val="22"/>
                <w:szCs w:val="22"/>
              </w:rPr>
            </w:pPr>
            <w:r>
              <w:rPr>
                <w:rFonts w:ascii="Open Sans" w:eastAsia="Open Sans" w:hAnsi="Open Sans" w:cs="Open Sans"/>
                <w:b/>
                <w:color w:val="9C0006"/>
                <w:sz w:val="22"/>
                <w:szCs w:val="22"/>
              </w:rPr>
              <w:t>-39,4%</w:t>
            </w:r>
          </w:p>
        </w:tc>
      </w:tr>
      <w:tr w:rsidR="00E255F8" w14:paraId="621DAE1F" w14:textId="77777777">
        <w:trPr>
          <w:trHeight w:val="246"/>
        </w:trPr>
        <w:tc>
          <w:tcPr>
            <w:tcW w:w="3534" w:type="dxa"/>
            <w:vAlign w:val="bottom"/>
          </w:tcPr>
          <w:p w14:paraId="715B75E7"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Sants - Montjuïc</w:t>
            </w:r>
          </w:p>
        </w:tc>
        <w:tc>
          <w:tcPr>
            <w:tcW w:w="2835" w:type="dxa"/>
            <w:shd w:val="clear" w:color="auto" w:fill="auto"/>
            <w:vAlign w:val="bottom"/>
          </w:tcPr>
          <w:p w14:paraId="5CC7135B"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72,82 €</w:t>
            </w:r>
          </w:p>
        </w:tc>
        <w:tc>
          <w:tcPr>
            <w:tcW w:w="2568" w:type="dxa"/>
            <w:vAlign w:val="bottom"/>
          </w:tcPr>
          <w:p w14:paraId="5C3E6E63" w14:textId="77777777" w:rsidR="00E255F8" w:rsidRDefault="00000000">
            <w:pPr>
              <w:jc w:val="center"/>
              <w:rPr>
                <w:rFonts w:ascii="Open Sans" w:eastAsia="Open Sans" w:hAnsi="Open Sans" w:cs="Open Sans"/>
                <w:b/>
                <w:color w:val="2E75B5"/>
                <w:sz w:val="22"/>
                <w:szCs w:val="22"/>
              </w:rPr>
            </w:pPr>
            <w:r>
              <w:rPr>
                <w:rFonts w:ascii="Open Sans" w:eastAsia="Open Sans" w:hAnsi="Open Sans" w:cs="Open Sans"/>
                <w:b/>
                <w:color w:val="9C0006"/>
                <w:sz w:val="22"/>
                <w:szCs w:val="22"/>
              </w:rPr>
              <w:t>-19,3%</w:t>
            </w:r>
          </w:p>
        </w:tc>
      </w:tr>
      <w:tr w:rsidR="00E255F8" w14:paraId="78BBEFD5" w14:textId="77777777">
        <w:trPr>
          <w:trHeight w:val="350"/>
        </w:trPr>
        <w:tc>
          <w:tcPr>
            <w:tcW w:w="3534" w:type="dxa"/>
            <w:vAlign w:val="bottom"/>
          </w:tcPr>
          <w:p w14:paraId="27ADB328"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Gràcia</w:t>
            </w:r>
          </w:p>
        </w:tc>
        <w:tc>
          <w:tcPr>
            <w:tcW w:w="2835" w:type="dxa"/>
            <w:shd w:val="clear" w:color="auto" w:fill="auto"/>
            <w:vAlign w:val="bottom"/>
          </w:tcPr>
          <w:p w14:paraId="4DBEBB7B"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81,15 €</w:t>
            </w:r>
          </w:p>
        </w:tc>
        <w:tc>
          <w:tcPr>
            <w:tcW w:w="2568" w:type="dxa"/>
            <w:vAlign w:val="bottom"/>
          </w:tcPr>
          <w:p w14:paraId="292B2F22" w14:textId="77777777" w:rsidR="00E255F8" w:rsidRDefault="00000000">
            <w:pPr>
              <w:jc w:val="center"/>
              <w:rPr>
                <w:rFonts w:ascii="Open Sans" w:eastAsia="Open Sans" w:hAnsi="Open Sans" w:cs="Open Sans"/>
                <w:b/>
                <w:color w:val="2E75B5"/>
                <w:sz w:val="22"/>
                <w:szCs w:val="22"/>
              </w:rPr>
            </w:pPr>
            <w:r>
              <w:rPr>
                <w:rFonts w:ascii="Open Sans" w:eastAsia="Open Sans" w:hAnsi="Open Sans" w:cs="Open Sans"/>
                <w:b/>
                <w:color w:val="9C0006"/>
                <w:sz w:val="22"/>
                <w:szCs w:val="22"/>
              </w:rPr>
              <w:t>-15,7%</w:t>
            </w:r>
          </w:p>
        </w:tc>
      </w:tr>
      <w:tr w:rsidR="00E255F8" w14:paraId="3BC1E86E" w14:textId="77777777">
        <w:trPr>
          <w:trHeight w:val="256"/>
        </w:trPr>
        <w:tc>
          <w:tcPr>
            <w:tcW w:w="3534" w:type="dxa"/>
            <w:vAlign w:val="bottom"/>
          </w:tcPr>
          <w:p w14:paraId="5CECBF54"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 Martí</w:t>
            </w:r>
          </w:p>
        </w:tc>
        <w:tc>
          <w:tcPr>
            <w:tcW w:w="2835" w:type="dxa"/>
            <w:shd w:val="clear" w:color="auto" w:fill="auto"/>
            <w:vAlign w:val="bottom"/>
          </w:tcPr>
          <w:p w14:paraId="0174EA96"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81,89 €</w:t>
            </w:r>
          </w:p>
        </w:tc>
        <w:tc>
          <w:tcPr>
            <w:tcW w:w="2568" w:type="dxa"/>
            <w:vAlign w:val="bottom"/>
          </w:tcPr>
          <w:p w14:paraId="7D5833A3" w14:textId="77777777" w:rsidR="00E255F8" w:rsidRDefault="00000000">
            <w:pPr>
              <w:jc w:val="center"/>
              <w:rPr>
                <w:rFonts w:ascii="Open Sans" w:eastAsia="Open Sans" w:hAnsi="Open Sans" w:cs="Open Sans"/>
                <w:b/>
                <w:color w:val="2E75B5"/>
                <w:sz w:val="22"/>
                <w:szCs w:val="22"/>
              </w:rPr>
            </w:pPr>
            <w:r>
              <w:rPr>
                <w:rFonts w:ascii="Open Sans" w:eastAsia="Open Sans" w:hAnsi="Open Sans" w:cs="Open Sans"/>
                <w:b/>
                <w:color w:val="9C0006"/>
                <w:sz w:val="22"/>
                <w:szCs w:val="22"/>
              </w:rPr>
              <w:t>-13,3%</w:t>
            </w:r>
          </w:p>
        </w:tc>
      </w:tr>
      <w:tr w:rsidR="00E255F8" w14:paraId="1891DB85" w14:textId="77777777">
        <w:trPr>
          <w:trHeight w:val="336"/>
        </w:trPr>
        <w:tc>
          <w:tcPr>
            <w:tcW w:w="3534" w:type="dxa"/>
            <w:vAlign w:val="bottom"/>
          </w:tcPr>
          <w:p w14:paraId="18FE9EDA"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Eixample</w:t>
            </w:r>
          </w:p>
        </w:tc>
        <w:tc>
          <w:tcPr>
            <w:tcW w:w="2835" w:type="dxa"/>
            <w:shd w:val="clear" w:color="auto" w:fill="auto"/>
            <w:vAlign w:val="bottom"/>
          </w:tcPr>
          <w:p w14:paraId="7B20D155"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84,95 €</w:t>
            </w:r>
          </w:p>
        </w:tc>
        <w:tc>
          <w:tcPr>
            <w:tcW w:w="2568" w:type="dxa"/>
            <w:vAlign w:val="bottom"/>
          </w:tcPr>
          <w:p w14:paraId="350B964D" w14:textId="77777777" w:rsidR="00E255F8" w:rsidRDefault="00000000">
            <w:pPr>
              <w:jc w:val="center"/>
              <w:rPr>
                <w:rFonts w:ascii="Open Sans" w:eastAsia="Open Sans" w:hAnsi="Open Sans" w:cs="Open Sans"/>
                <w:b/>
                <w:color w:val="2E75B5"/>
                <w:sz w:val="22"/>
                <w:szCs w:val="22"/>
              </w:rPr>
            </w:pPr>
            <w:r>
              <w:rPr>
                <w:rFonts w:ascii="Open Sans" w:eastAsia="Open Sans" w:hAnsi="Open Sans" w:cs="Open Sans"/>
                <w:b/>
                <w:color w:val="9C0006"/>
                <w:sz w:val="22"/>
                <w:szCs w:val="22"/>
              </w:rPr>
              <w:t>-11,5%</w:t>
            </w:r>
          </w:p>
        </w:tc>
      </w:tr>
      <w:tr w:rsidR="00E255F8" w14:paraId="5681AE83" w14:textId="77777777">
        <w:trPr>
          <w:trHeight w:val="314"/>
        </w:trPr>
        <w:tc>
          <w:tcPr>
            <w:tcW w:w="3534" w:type="dxa"/>
            <w:vAlign w:val="bottom"/>
          </w:tcPr>
          <w:p w14:paraId="2E9F4519"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Sarrià - Sant Gervasi</w:t>
            </w:r>
          </w:p>
        </w:tc>
        <w:tc>
          <w:tcPr>
            <w:tcW w:w="2835" w:type="dxa"/>
            <w:shd w:val="clear" w:color="auto" w:fill="auto"/>
            <w:vAlign w:val="bottom"/>
          </w:tcPr>
          <w:p w14:paraId="2F2AAA5F"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93,40 €</w:t>
            </w:r>
          </w:p>
        </w:tc>
        <w:tc>
          <w:tcPr>
            <w:tcW w:w="2568" w:type="dxa"/>
            <w:vAlign w:val="bottom"/>
          </w:tcPr>
          <w:p w14:paraId="12D6D3A2" w14:textId="77777777" w:rsidR="00E255F8" w:rsidRDefault="00000000">
            <w:pPr>
              <w:jc w:val="center"/>
              <w:rPr>
                <w:rFonts w:ascii="Open Sans" w:eastAsia="Open Sans" w:hAnsi="Open Sans" w:cs="Open Sans"/>
                <w:b/>
                <w:color w:val="2E75B5"/>
                <w:sz w:val="22"/>
                <w:szCs w:val="22"/>
              </w:rPr>
            </w:pPr>
            <w:r>
              <w:rPr>
                <w:rFonts w:ascii="Open Sans" w:eastAsia="Open Sans" w:hAnsi="Open Sans" w:cs="Open Sans"/>
                <w:b/>
                <w:color w:val="9C0006"/>
                <w:sz w:val="22"/>
                <w:szCs w:val="22"/>
              </w:rPr>
              <w:t>-7,8%</w:t>
            </w:r>
          </w:p>
        </w:tc>
      </w:tr>
      <w:tr w:rsidR="00E255F8" w14:paraId="2B25E139" w14:textId="77777777">
        <w:trPr>
          <w:trHeight w:val="281"/>
        </w:trPr>
        <w:tc>
          <w:tcPr>
            <w:tcW w:w="3534" w:type="dxa"/>
            <w:vAlign w:val="bottom"/>
          </w:tcPr>
          <w:p w14:paraId="4810CE6D"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Horta - Guinardó</w:t>
            </w:r>
          </w:p>
        </w:tc>
        <w:tc>
          <w:tcPr>
            <w:tcW w:w="2835" w:type="dxa"/>
            <w:shd w:val="clear" w:color="auto" w:fill="auto"/>
            <w:vAlign w:val="bottom"/>
          </w:tcPr>
          <w:p w14:paraId="47CC0895"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86,37 €</w:t>
            </w:r>
          </w:p>
        </w:tc>
        <w:tc>
          <w:tcPr>
            <w:tcW w:w="2568" w:type="dxa"/>
            <w:vAlign w:val="bottom"/>
          </w:tcPr>
          <w:p w14:paraId="797225ED" w14:textId="77777777" w:rsidR="00E255F8" w:rsidRDefault="00000000">
            <w:pPr>
              <w:jc w:val="center"/>
              <w:rPr>
                <w:rFonts w:ascii="Open Sans" w:eastAsia="Open Sans" w:hAnsi="Open Sans" w:cs="Open Sans"/>
                <w:b/>
                <w:color w:val="2E75B5"/>
                <w:sz w:val="22"/>
                <w:szCs w:val="22"/>
              </w:rPr>
            </w:pPr>
            <w:r>
              <w:rPr>
                <w:rFonts w:ascii="Open Sans" w:eastAsia="Open Sans" w:hAnsi="Open Sans" w:cs="Open Sans"/>
                <w:b/>
                <w:color w:val="9C0006"/>
                <w:sz w:val="22"/>
                <w:szCs w:val="22"/>
              </w:rPr>
              <w:t>-5,1%</w:t>
            </w:r>
          </w:p>
        </w:tc>
      </w:tr>
      <w:tr w:rsidR="00E255F8" w14:paraId="3B0E66E0" w14:textId="77777777">
        <w:trPr>
          <w:trHeight w:val="338"/>
        </w:trPr>
        <w:tc>
          <w:tcPr>
            <w:tcW w:w="3534" w:type="dxa"/>
            <w:vAlign w:val="bottom"/>
          </w:tcPr>
          <w:p w14:paraId="673DFF60"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Nou Barris</w:t>
            </w:r>
          </w:p>
        </w:tc>
        <w:tc>
          <w:tcPr>
            <w:tcW w:w="2835" w:type="dxa"/>
            <w:shd w:val="clear" w:color="auto" w:fill="auto"/>
            <w:vAlign w:val="bottom"/>
          </w:tcPr>
          <w:p w14:paraId="507B0481"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80,46 €</w:t>
            </w:r>
          </w:p>
        </w:tc>
        <w:tc>
          <w:tcPr>
            <w:tcW w:w="2568" w:type="dxa"/>
            <w:vAlign w:val="bottom"/>
          </w:tcPr>
          <w:p w14:paraId="1A68A1A8" w14:textId="77777777" w:rsidR="00E255F8" w:rsidRDefault="00000000">
            <w:pPr>
              <w:jc w:val="center"/>
              <w:rPr>
                <w:rFonts w:ascii="Open Sans" w:eastAsia="Open Sans" w:hAnsi="Open Sans" w:cs="Open Sans"/>
                <w:b/>
                <w:color w:val="2E75B5"/>
                <w:sz w:val="22"/>
                <w:szCs w:val="22"/>
              </w:rPr>
            </w:pPr>
            <w:r>
              <w:rPr>
                <w:rFonts w:ascii="Open Sans" w:eastAsia="Open Sans" w:hAnsi="Open Sans" w:cs="Open Sans"/>
                <w:b/>
                <w:color w:val="9C0006"/>
                <w:sz w:val="22"/>
                <w:szCs w:val="22"/>
              </w:rPr>
              <w:t>-4,8%</w:t>
            </w:r>
          </w:p>
        </w:tc>
      </w:tr>
      <w:tr w:rsidR="00E255F8" w14:paraId="7C771D07" w14:textId="77777777">
        <w:trPr>
          <w:trHeight w:val="258"/>
        </w:trPr>
        <w:tc>
          <w:tcPr>
            <w:tcW w:w="3534" w:type="dxa"/>
            <w:vAlign w:val="bottom"/>
          </w:tcPr>
          <w:p w14:paraId="328D65BC"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Les Corts</w:t>
            </w:r>
          </w:p>
        </w:tc>
        <w:tc>
          <w:tcPr>
            <w:tcW w:w="2835" w:type="dxa"/>
            <w:shd w:val="clear" w:color="auto" w:fill="auto"/>
            <w:vAlign w:val="bottom"/>
          </w:tcPr>
          <w:p w14:paraId="7584A646"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92,50 €</w:t>
            </w:r>
          </w:p>
        </w:tc>
        <w:tc>
          <w:tcPr>
            <w:tcW w:w="2568" w:type="dxa"/>
            <w:vAlign w:val="bottom"/>
          </w:tcPr>
          <w:p w14:paraId="7CEBC87B"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-2,1%</w:t>
            </w:r>
          </w:p>
        </w:tc>
      </w:tr>
      <w:tr w:rsidR="00E255F8" w14:paraId="4EBB14D6" w14:textId="77777777">
        <w:trPr>
          <w:trHeight w:val="94"/>
        </w:trPr>
        <w:tc>
          <w:tcPr>
            <w:tcW w:w="3534" w:type="dxa"/>
            <w:vAlign w:val="bottom"/>
          </w:tcPr>
          <w:p w14:paraId="00A1899C" w14:textId="77777777" w:rsidR="00E255F8"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Ciutat Vella</w:t>
            </w:r>
          </w:p>
        </w:tc>
        <w:tc>
          <w:tcPr>
            <w:tcW w:w="2835" w:type="dxa"/>
            <w:shd w:val="clear" w:color="auto" w:fill="auto"/>
            <w:vAlign w:val="bottom"/>
          </w:tcPr>
          <w:p w14:paraId="5028E715" w14:textId="77777777" w:rsidR="00E255F8"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105,48 €</w:t>
            </w:r>
          </w:p>
        </w:tc>
        <w:tc>
          <w:tcPr>
            <w:tcW w:w="2568" w:type="dxa"/>
            <w:vAlign w:val="bottom"/>
          </w:tcPr>
          <w:p w14:paraId="4C36006C" w14:textId="77777777" w:rsidR="00E255F8"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6,7%</w:t>
            </w:r>
          </w:p>
        </w:tc>
      </w:tr>
    </w:tbl>
    <w:p w14:paraId="7A1B3B44" w14:textId="77777777" w:rsidR="00E255F8" w:rsidRDefault="00E255F8">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01BDA4A1" w14:textId="77777777" w:rsidR="00E255F8"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636170F4" w14:textId="77777777" w:rsidR="00E255F8"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5">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2" w:name="_heading=h.2s8eyo1" w:colFirst="0" w:colLast="0"/>
    <w:bookmarkEnd w:id="2"/>
    <w:p w14:paraId="2C3730E3" w14:textId="77777777" w:rsidR="00E255F8"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6">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14:paraId="5C5B42B0" w14:textId="77777777" w:rsidR="00E255F8" w:rsidRDefault="00000000">
      <w:pPr>
        <w:shd w:val="clear" w:color="auto" w:fill="FFFFFF"/>
        <w:spacing w:before="280" w:after="280" w:line="276" w:lineRule="auto"/>
        <w:ind w:right="-574"/>
        <w:jc w:val="both"/>
        <w:rPr>
          <w:rFonts w:ascii="Open Sans" w:eastAsia="Open Sans" w:hAnsi="Open Sans" w:cs="Open Sans"/>
          <w:color w:val="000000"/>
          <w:sz w:val="22"/>
          <w:szCs w:val="22"/>
        </w:rPr>
      </w:pP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341A4C0E" w14:textId="77777777" w:rsidR="00E255F8" w:rsidRDefault="00E255F8">
      <w:pPr>
        <w:spacing w:line="276" w:lineRule="auto"/>
        <w:ind w:right="-574"/>
        <w:jc w:val="right"/>
        <w:rPr>
          <w:rFonts w:ascii="Open Sans Light" w:eastAsia="Open Sans Light" w:hAnsi="Open Sans Light" w:cs="Open Sans Light"/>
          <w:b/>
          <w:color w:val="303AB2"/>
        </w:rPr>
      </w:pPr>
    </w:p>
    <w:p w14:paraId="6FE48110" w14:textId="77777777" w:rsidR="00E255F8"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2C3823B2" w14:textId="77777777" w:rsidR="00E255F8" w:rsidRDefault="00000000">
      <w:pPr>
        <w:spacing w:before="143" w:after="200"/>
        <w:ind w:right="-574"/>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3">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00BE3843" w14:textId="77777777" w:rsidR="00E255F8" w:rsidRDefault="00000000">
      <w:pPr>
        <w:spacing w:before="143" w:after="200"/>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1C811897" w14:textId="77777777" w:rsidR="00E255F8" w:rsidRDefault="00000000">
      <w:pPr>
        <w:spacing w:before="143" w:after="200"/>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10 países. El conjunto de sus plataformas locales recibe un promedio de 3.000 millones de visitas cada mes. </w:t>
      </w:r>
    </w:p>
    <w:p w14:paraId="1F991FD1" w14:textId="77777777" w:rsidR="00E255F8" w:rsidRDefault="00000000">
      <w:pPr>
        <w:spacing w:after="160"/>
        <w:ind w:right="-574"/>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4">
        <w:r>
          <w:rPr>
            <w:rFonts w:ascii="Open Sans" w:eastAsia="Open Sans" w:hAnsi="Open Sans" w:cs="Open Sans"/>
            <w:color w:val="1155CC"/>
            <w:sz w:val="22"/>
            <w:szCs w:val="22"/>
            <w:u w:val="single"/>
          </w:rPr>
          <w:t>adevinta.es</w:t>
        </w:r>
      </w:hyperlink>
    </w:p>
    <w:p w14:paraId="5066546D" w14:textId="77777777" w:rsidR="00E255F8" w:rsidRDefault="00E255F8">
      <w:pPr>
        <w:spacing w:after="160"/>
        <w:ind w:right="-574"/>
        <w:jc w:val="both"/>
        <w:rPr>
          <w:rFonts w:ascii="Open Sans" w:eastAsia="Open Sans" w:hAnsi="Open Sans" w:cs="Open Sans"/>
        </w:rPr>
      </w:pPr>
    </w:p>
    <w:p w14:paraId="00C1C456" w14:textId="77777777" w:rsidR="00E255F8" w:rsidRDefault="00000000">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2495D43C" w14:textId="77777777" w:rsidR="00E255F8" w:rsidRDefault="00000000">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22FBD618" w14:textId="77777777" w:rsidR="00E255F8" w:rsidRDefault="00000000">
      <w:pPr>
        <w:shd w:val="clear" w:color="auto" w:fill="FFFFFF"/>
        <w:spacing w:line="276" w:lineRule="auto"/>
        <w:ind w:right="-574"/>
        <w:rPr>
          <w:rFonts w:ascii="Open Sans" w:eastAsia="Open Sans" w:hAnsi="Open Sans" w:cs="Open Sans"/>
          <w:color w:val="0000FF"/>
          <w:sz w:val="22"/>
          <w:szCs w:val="22"/>
          <w:u w:val="single"/>
        </w:rPr>
      </w:pPr>
      <w:hyperlink r:id="rId25">
        <w:r>
          <w:rPr>
            <w:rFonts w:ascii="Open Sans" w:eastAsia="Open Sans" w:hAnsi="Open Sans" w:cs="Open Sans"/>
            <w:color w:val="0000FF"/>
            <w:sz w:val="22"/>
            <w:szCs w:val="22"/>
            <w:u w:val="single"/>
          </w:rPr>
          <w:t>comunicacion@fotocasa.es</w:t>
        </w:r>
      </w:hyperlink>
    </w:p>
    <w:p w14:paraId="325122F6" w14:textId="77777777" w:rsidR="00E255F8" w:rsidRDefault="00000000">
      <w:pPr>
        <w:shd w:val="clear" w:color="auto" w:fill="FFFFFF"/>
        <w:spacing w:line="276" w:lineRule="auto"/>
        <w:ind w:right="-574"/>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6DB6F717" w14:textId="77777777" w:rsidR="00E255F8" w:rsidRDefault="00E255F8">
      <w:pPr>
        <w:spacing w:line="276" w:lineRule="auto"/>
        <w:ind w:right="-574"/>
        <w:rPr>
          <w:rFonts w:ascii="Open Sans Light" w:eastAsia="Open Sans Light" w:hAnsi="Open Sans Light" w:cs="Open Sans Light"/>
          <w:b/>
          <w:color w:val="303AB2"/>
          <w:sz w:val="22"/>
          <w:szCs w:val="22"/>
        </w:rPr>
      </w:pPr>
    </w:p>
    <w:p w14:paraId="5824F561" w14:textId="77777777" w:rsidR="008417A3" w:rsidRDefault="008417A3">
      <w:pPr>
        <w:spacing w:line="276" w:lineRule="auto"/>
        <w:ind w:right="-574"/>
        <w:rPr>
          <w:rFonts w:ascii="Open Sans Light" w:eastAsia="Open Sans Light" w:hAnsi="Open Sans Light" w:cs="Open Sans Light"/>
          <w:b/>
          <w:color w:val="303AB2"/>
          <w:sz w:val="22"/>
          <w:szCs w:val="22"/>
        </w:rPr>
      </w:pPr>
    </w:p>
    <w:p w14:paraId="4F85AED2" w14:textId="77777777" w:rsidR="008417A3" w:rsidRDefault="008417A3">
      <w:pPr>
        <w:spacing w:line="276" w:lineRule="auto"/>
        <w:ind w:right="-574"/>
        <w:rPr>
          <w:rFonts w:ascii="Open Sans Light" w:eastAsia="Open Sans Light" w:hAnsi="Open Sans Light" w:cs="Open Sans Light"/>
          <w:b/>
          <w:color w:val="303AB2"/>
          <w:sz w:val="22"/>
          <w:szCs w:val="22"/>
        </w:rPr>
      </w:pPr>
    </w:p>
    <w:p w14:paraId="055262AB" w14:textId="77777777" w:rsidR="008417A3" w:rsidRDefault="008417A3">
      <w:pPr>
        <w:spacing w:line="276" w:lineRule="auto"/>
        <w:ind w:right="-574"/>
        <w:rPr>
          <w:rFonts w:ascii="Open Sans Light" w:eastAsia="Open Sans Light" w:hAnsi="Open Sans Light" w:cs="Open Sans Light"/>
          <w:b/>
          <w:color w:val="303AB2"/>
          <w:sz w:val="22"/>
          <w:szCs w:val="22"/>
        </w:rPr>
      </w:pPr>
    </w:p>
    <w:p w14:paraId="1F322D00" w14:textId="77777777" w:rsidR="00E255F8" w:rsidRDefault="00E255F8">
      <w:pPr>
        <w:spacing w:line="276" w:lineRule="auto"/>
        <w:ind w:right="-574"/>
        <w:rPr>
          <w:rFonts w:ascii="Open Sans Light" w:eastAsia="Open Sans Light" w:hAnsi="Open Sans Light" w:cs="Open Sans Light"/>
          <w:b/>
          <w:color w:val="303AB2"/>
          <w:sz w:val="22"/>
          <w:szCs w:val="22"/>
        </w:rPr>
      </w:pPr>
    </w:p>
    <w:p w14:paraId="62F509A0" w14:textId="77777777" w:rsidR="00E255F8" w:rsidRDefault="00000000">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6D7F3AE7" w14:textId="77777777" w:rsidR="00E255F8" w:rsidRDefault="00000000">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4503B2D1" w14:textId="77777777" w:rsidR="00E255F8" w:rsidRPr="00F527DA" w:rsidRDefault="00000000">
      <w:pPr>
        <w:shd w:val="clear" w:color="auto" w:fill="FFFFFF"/>
        <w:spacing w:line="276" w:lineRule="auto"/>
        <w:ind w:right="-574"/>
        <w:rPr>
          <w:rFonts w:ascii="Open Sans" w:eastAsia="Open Sans" w:hAnsi="Open Sans" w:cs="Open Sans"/>
          <w:color w:val="0000FF"/>
          <w:sz w:val="22"/>
          <w:szCs w:val="22"/>
          <w:u w:val="single"/>
          <w:lang w:val="en-US"/>
        </w:rPr>
      </w:pPr>
      <w:hyperlink r:id="rId26">
        <w:r w:rsidRPr="00F527DA">
          <w:rPr>
            <w:rFonts w:ascii="Open Sans" w:eastAsia="Open Sans" w:hAnsi="Open Sans" w:cs="Open Sans"/>
            <w:color w:val="0000FF"/>
            <w:sz w:val="22"/>
            <w:szCs w:val="22"/>
            <w:u w:val="single"/>
            <w:lang w:val="en-US"/>
          </w:rPr>
          <w:t>rtorne@llorenteycuenca.com</w:t>
        </w:r>
      </w:hyperlink>
      <w:r w:rsidRPr="00F527DA">
        <w:rPr>
          <w:rFonts w:ascii="Open Sans" w:eastAsia="Open Sans" w:hAnsi="Open Sans" w:cs="Open Sans"/>
          <w:color w:val="0000FF"/>
          <w:sz w:val="22"/>
          <w:szCs w:val="22"/>
          <w:lang w:val="en-US"/>
        </w:rPr>
        <w:tab/>
      </w:r>
      <w:r w:rsidRPr="00F527DA">
        <w:rPr>
          <w:rFonts w:ascii="Open Sans" w:eastAsia="Open Sans" w:hAnsi="Open Sans" w:cs="Open Sans"/>
          <w:color w:val="0000FF"/>
          <w:sz w:val="22"/>
          <w:szCs w:val="22"/>
          <w:lang w:val="en-US"/>
        </w:rPr>
        <w:tab/>
      </w:r>
      <w:r w:rsidRPr="00F527DA">
        <w:rPr>
          <w:rFonts w:ascii="Open Sans" w:eastAsia="Open Sans" w:hAnsi="Open Sans" w:cs="Open Sans"/>
          <w:color w:val="0000FF"/>
          <w:sz w:val="22"/>
          <w:szCs w:val="22"/>
          <w:lang w:val="en-US"/>
        </w:rPr>
        <w:tab/>
      </w:r>
    </w:p>
    <w:p w14:paraId="39EFE25A" w14:textId="77777777" w:rsidR="00E255F8" w:rsidRPr="00F527DA" w:rsidRDefault="00000000">
      <w:pPr>
        <w:shd w:val="clear" w:color="auto" w:fill="FFFFFF"/>
        <w:spacing w:line="276" w:lineRule="auto"/>
        <w:ind w:right="-574"/>
        <w:rPr>
          <w:rFonts w:ascii="Open Sans" w:eastAsia="Open Sans" w:hAnsi="Open Sans" w:cs="Open Sans"/>
          <w:color w:val="000000"/>
          <w:sz w:val="22"/>
          <w:szCs w:val="22"/>
          <w:lang w:val="en-US"/>
        </w:rPr>
      </w:pPr>
      <w:r w:rsidRPr="00F527DA">
        <w:rPr>
          <w:rFonts w:ascii="Open Sans" w:eastAsia="Open Sans" w:hAnsi="Open Sans" w:cs="Open Sans"/>
          <w:color w:val="000000"/>
          <w:sz w:val="22"/>
          <w:szCs w:val="22"/>
          <w:lang w:val="en-US"/>
        </w:rPr>
        <w:t xml:space="preserve">638 68 19 85      </w:t>
      </w:r>
      <w:r w:rsidRPr="00F527DA">
        <w:rPr>
          <w:rFonts w:ascii="Open Sans" w:eastAsia="Open Sans" w:hAnsi="Open Sans" w:cs="Open Sans"/>
          <w:color w:val="000000"/>
          <w:sz w:val="22"/>
          <w:szCs w:val="22"/>
          <w:lang w:val="en-US"/>
        </w:rPr>
        <w:tab/>
      </w:r>
      <w:r w:rsidRPr="00F527DA">
        <w:rPr>
          <w:rFonts w:ascii="Open Sans" w:eastAsia="Open Sans" w:hAnsi="Open Sans" w:cs="Open Sans"/>
          <w:color w:val="000000"/>
          <w:sz w:val="22"/>
          <w:szCs w:val="22"/>
          <w:lang w:val="en-US"/>
        </w:rPr>
        <w:tab/>
      </w:r>
      <w:r w:rsidRPr="00F527DA">
        <w:rPr>
          <w:rFonts w:ascii="Open Sans" w:eastAsia="Open Sans" w:hAnsi="Open Sans" w:cs="Open Sans"/>
          <w:color w:val="000000"/>
          <w:sz w:val="22"/>
          <w:szCs w:val="22"/>
          <w:lang w:val="en-US"/>
        </w:rPr>
        <w:tab/>
      </w:r>
      <w:r w:rsidRPr="00F527DA">
        <w:rPr>
          <w:rFonts w:ascii="Open Sans" w:eastAsia="Open Sans" w:hAnsi="Open Sans" w:cs="Open Sans"/>
          <w:color w:val="000000"/>
          <w:sz w:val="22"/>
          <w:szCs w:val="22"/>
          <w:lang w:val="en-US"/>
        </w:rPr>
        <w:tab/>
      </w:r>
      <w:r w:rsidRPr="00F527DA">
        <w:rPr>
          <w:rFonts w:ascii="Open Sans" w:eastAsia="Open Sans" w:hAnsi="Open Sans" w:cs="Open Sans"/>
          <w:color w:val="000000"/>
          <w:sz w:val="22"/>
          <w:szCs w:val="22"/>
          <w:lang w:val="en-US"/>
        </w:rPr>
        <w:tab/>
      </w:r>
      <w:r w:rsidRPr="00F527DA">
        <w:rPr>
          <w:rFonts w:ascii="Open Sans" w:eastAsia="Open Sans" w:hAnsi="Open Sans" w:cs="Open Sans"/>
          <w:color w:val="000000"/>
          <w:sz w:val="22"/>
          <w:szCs w:val="22"/>
          <w:lang w:val="en-US"/>
        </w:rPr>
        <w:tab/>
      </w:r>
      <w:r w:rsidRPr="00F527DA">
        <w:rPr>
          <w:rFonts w:ascii="Open Sans" w:eastAsia="Open Sans" w:hAnsi="Open Sans" w:cs="Open Sans"/>
          <w:color w:val="000000"/>
          <w:sz w:val="22"/>
          <w:szCs w:val="22"/>
          <w:lang w:val="en-US"/>
        </w:rPr>
        <w:tab/>
      </w:r>
      <w:r w:rsidRPr="00F527DA">
        <w:rPr>
          <w:rFonts w:ascii="Open Sans" w:eastAsia="Open Sans" w:hAnsi="Open Sans" w:cs="Open Sans"/>
          <w:color w:val="000000"/>
          <w:sz w:val="22"/>
          <w:szCs w:val="22"/>
          <w:lang w:val="en-US"/>
        </w:rPr>
        <w:tab/>
      </w:r>
    </w:p>
    <w:p w14:paraId="42CB7C26" w14:textId="77777777" w:rsidR="00E255F8" w:rsidRPr="00F527DA" w:rsidRDefault="00000000">
      <w:pPr>
        <w:shd w:val="clear" w:color="auto" w:fill="FFFFFF"/>
        <w:ind w:right="-574"/>
        <w:rPr>
          <w:rFonts w:ascii="Arial" w:eastAsia="Arial" w:hAnsi="Arial" w:cs="Arial"/>
          <w:color w:val="222222"/>
          <w:sz w:val="22"/>
          <w:szCs w:val="22"/>
          <w:lang w:val="en-US"/>
        </w:rPr>
      </w:pPr>
      <w:r w:rsidRPr="00F527DA">
        <w:rPr>
          <w:rFonts w:ascii="Arial" w:eastAsia="Arial" w:hAnsi="Arial" w:cs="Arial"/>
          <w:color w:val="222222"/>
          <w:sz w:val="22"/>
          <w:szCs w:val="22"/>
          <w:lang w:val="en-US"/>
        </w:rPr>
        <w:tab/>
      </w:r>
    </w:p>
    <w:p w14:paraId="13669566" w14:textId="77777777" w:rsidR="00E255F8" w:rsidRPr="00F527DA" w:rsidRDefault="00000000">
      <w:pPr>
        <w:shd w:val="clear" w:color="auto" w:fill="FFFFFF"/>
        <w:ind w:right="-574"/>
        <w:rPr>
          <w:rFonts w:ascii="Arial" w:eastAsia="Arial" w:hAnsi="Arial" w:cs="Arial"/>
          <w:color w:val="222222"/>
          <w:sz w:val="22"/>
          <w:szCs w:val="22"/>
          <w:lang w:val="en-US"/>
        </w:rPr>
      </w:pPr>
      <w:r w:rsidRPr="00F527DA">
        <w:rPr>
          <w:rFonts w:ascii="Arial" w:eastAsia="Arial" w:hAnsi="Arial" w:cs="Arial"/>
          <w:color w:val="222222"/>
          <w:sz w:val="22"/>
          <w:szCs w:val="22"/>
          <w:lang w:val="en-US"/>
        </w:rPr>
        <w:tab/>
      </w:r>
      <w:r w:rsidRPr="00F527DA">
        <w:rPr>
          <w:rFonts w:ascii="Arial" w:eastAsia="Arial" w:hAnsi="Arial" w:cs="Arial"/>
          <w:color w:val="222222"/>
          <w:sz w:val="22"/>
          <w:szCs w:val="22"/>
          <w:lang w:val="en-US"/>
        </w:rPr>
        <w:tab/>
      </w:r>
      <w:r w:rsidRPr="00F527DA">
        <w:rPr>
          <w:rFonts w:ascii="Arial" w:eastAsia="Arial" w:hAnsi="Arial" w:cs="Arial"/>
          <w:color w:val="222222"/>
          <w:sz w:val="22"/>
          <w:szCs w:val="22"/>
          <w:lang w:val="en-US"/>
        </w:rPr>
        <w:tab/>
      </w:r>
      <w:r w:rsidRPr="00F527DA">
        <w:rPr>
          <w:rFonts w:ascii="Arial" w:eastAsia="Arial" w:hAnsi="Arial" w:cs="Arial"/>
          <w:color w:val="222222"/>
          <w:sz w:val="22"/>
          <w:szCs w:val="22"/>
          <w:lang w:val="en-US"/>
        </w:rPr>
        <w:tab/>
      </w:r>
      <w:r w:rsidRPr="00F527DA">
        <w:rPr>
          <w:rFonts w:ascii="Arial" w:eastAsia="Arial" w:hAnsi="Arial" w:cs="Arial"/>
          <w:color w:val="222222"/>
          <w:sz w:val="22"/>
          <w:szCs w:val="22"/>
          <w:lang w:val="en-US"/>
        </w:rPr>
        <w:tab/>
      </w:r>
      <w:r w:rsidRPr="00F527DA">
        <w:rPr>
          <w:rFonts w:ascii="Arial" w:eastAsia="Arial" w:hAnsi="Arial" w:cs="Arial"/>
          <w:color w:val="222222"/>
          <w:sz w:val="22"/>
          <w:szCs w:val="22"/>
          <w:lang w:val="en-US"/>
        </w:rPr>
        <w:tab/>
        <w:t xml:space="preserve">     </w:t>
      </w:r>
    </w:p>
    <w:p w14:paraId="617E2A7E" w14:textId="77777777" w:rsidR="00E255F8" w:rsidRPr="00F527DA" w:rsidRDefault="00000000">
      <w:pPr>
        <w:shd w:val="clear" w:color="auto" w:fill="FFFFFF"/>
        <w:ind w:right="-574"/>
        <w:rPr>
          <w:rFonts w:ascii="Open Sans" w:eastAsia="Open Sans" w:hAnsi="Open Sans" w:cs="Open Sans"/>
          <w:b/>
          <w:color w:val="000000"/>
          <w:sz w:val="22"/>
          <w:szCs w:val="22"/>
          <w:lang w:val="en-US"/>
        </w:rPr>
      </w:pPr>
      <w:r w:rsidRPr="00F527DA">
        <w:rPr>
          <w:rFonts w:ascii="Open Sans" w:eastAsia="Open Sans" w:hAnsi="Open Sans" w:cs="Open Sans"/>
          <w:b/>
          <w:color w:val="000000"/>
          <w:sz w:val="22"/>
          <w:szCs w:val="22"/>
          <w:lang w:val="en-US"/>
        </w:rPr>
        <w:t>Fanny Merino</w:t>
      </w:r>
    </w:p>
    <w:p w14:paraId="403105B4" w14:textId="77777777" w:rsidR="00E255F8" w:rsidRPr="00F527DA" w:rsidRDefault="00000000">
      <w:pPr>
        <w:shd w:val="clear" w:color="auto" w:fill="FFFFFF"/>
        <w:ind w:right="-574"/>
        <w:rPr>
          <w:rFonts w:ascii="Open Sans" w:eastAsia="Open Sans" w:hAnsi="Open Sans" w:cs="Open Sans"/>
          <w:b/>
          <w:color w:val="000000"/>
          <w:sz w:val="22"/>
          <w:szCs w:val="22"/>
          <w:lang w:val="en-US"/>
        </w:rPr>
      </w:pPr>
      <w:hyperlink r:id="rId27">
        <w:r w:rsidRPr="00F527DA">
          <w:rPr>
            <w:rFonts w:ascii="Open Sans" w:eastAsia="Open Sans" w:hAnsi="Open Sans" w:cs="Open Sans"/>
            <w:color w:val="0000FF"/>
            <w:sz w:val="22"/>
            <w:szCs w:val="22"/>
            <w:u w:val="single"/>
            <w:lang w:val="en-US"/>
          </w:rPr>
          <w:t>emerino@llorenteycuenca.com</w:t>
        </w:r>
      </w:hyperlink>
      <w:r w:rsidRPr="00F527DA">
        <w:rPr>
          <w:rFonts w:ascii="Open Sans" w:eastAsia="Open Sans" w:hAnsi="Open Sans" w:cs="Open Sans"/>
          <w:color w:val="0000FF"/>
          <w:sz w:val="22"/>
          <w:szCs w:val="22"/>
          <w:lang w:val="en-US"/>
        </w:rPr>
        <w:tab/>
      </w:r>
      <w:r w:rsidRPr="00F527DA">
        <w:rPr>
          <w:rFonts w:ascii="Open Sans" w:eastAsia="Open Sans" w:hAnsi="Open Sans" w:cs="Open Sans"/>
          <w:color w:val="0000FF"/>
          <w:sz w:val="22"/>
          <w:szCs w:val="22"/>
          <w:lang w:val="en-US"/>
        </w:rPr>
        <w:tab/>
      </w:r>
    </w:p>
    <w:p w14:paraId="33B4B3BE" w14:textId="77777777" w:rsidR="00E255F8" w:rsidRDefault="00000000">
      <w:pPr>
        <w:shd w:val="clear" w:color="auto" w:fill="FFFFFF"/>
        <w:ind w:right="-574"/>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36604256" w14:textId="77777777" w:rsidR="00E255F8" w:rsidRDefault="00E255F8">
      <w:pPr>
        <w:shd w:val="clear" w:color="auto" w:fill="FFFFFF"/>
        <w:ind w:right="-574"/>
        <w:rPr>
          <w:rFonts w:ascii="Open Sans" w:eastAsia="Open Sans" w:hAnsi="Open Sans" w:cs="Open Sans"/>
          <w:color w:val="000000"/>
          <w:sz w:val="22"/>
          <w:szCs w:val="22"/>
        </w:rPr>
      </w:pPr>
    </w:p>
    <w:p w14:paraId="25DDAD91" w14:textId="77777777" w:rsidR="00E255F8" w:rsidRDefault="00E255F8">
      <w:pPr>
        <w:shd w:val="clear" w:color="auto" w:fill="FFFFFF"/>
        <w:ind w:right="-574"/>
        <w:rPr>
          <w:rFonts w:ascii="Open Sans" w:eastAsia="Open Sans" w:hAnsi="Open Sans" w:cs="Open Sans"/>
          <w:color w:val="000000"/>
          <w:sz w:val="22"/>
          <w:szCs w:val="22"/>
        </w:rPr>
      </w:pPr>
    </w:p>
    <w:p w14:paraId="445862BA" w14:textId="77777777" w:rsidR="00E255F8" w:rsidRDefault="00E255F8">
      <w:pPr>
        <w:spacing w:line="276" w:lineRule="auto"/>
        <w:ind w:right="-574"/>
        <w:jc w:val="right"/>
        <w:rPr>
          <w:rFonts w:ascii="Open Sans" w:eastAsia="Open Sans" w:hAnsi="Open Sans" w:cs="Open Sans"/>
          <w:color w:val="000000"/>
          <w:sz w:val="21"/>
          <w:szCs w:val="21"/>
        </w:rPr>
      </w:pPr>
    </w:p>
    <w:sectPr w:rsidR="00E255F8">
      <w:footerReference w:type="default" r:id="rId2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D3BA" w14:textId="77777777" w:rsidR="00E8530E" w:rsidRDefault="00E8530E">
      <w:r>
        <w:separator/>
      </w:r>
    </w:p>
  </w:endnote>
  <w:endnote w:type="continuationSeparator" w:id="0">
    <w:p w14:paraId="78AEE3EE" w14:textId="77777777" w:rsidR="00E8530E" w:rsidRDefault="00E8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8092" w14:textId="77777777" w:rsidR="00E255F8"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24AD66DA" wp14:editId="2B4F748A">
          <wp:simplePos x="0" y="0"/>
          <wp:positionH relativeFrom="column">
            <wp:posOffset>-1068069</wp:posOffset>
          </wp:positionH>
          <wp:positionV relativeFrom="paragraph">
            <wp:posOffset>174608</wp:posOffset>
          </wp:positionV>
          <wp:extent cx="7670550" cy="451315"/>
          <wp:effectExtent l="0" t="0" r="0" b="0"/>
          <wp:wrapNone/>
          <wp:docPr id="1551929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D39F" w14:textId="77777777" w:rsidR="00E8530E" w:rsidRDefault="00E8530E">
      <w:r>
        <w:separator/>
      </w:r>
    </w:p>
  </w:footnote>
  <w:footnote w:type="continuationSeparator" w:id="0">
    <w:p w14:paraId="05F99DA7" w14:textId="77777777" w:rsidR="00E8530E" w:rsidRDefault="00E8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C0087"/>
    <w:multiLevelType w:val="multilevel"/>
    <w:tmpl w:val="D6AE92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06785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F8"/>
    <w:rsid w:val="00322E7B"/>
    <w:rsid w:val="004D75DD"/>
    <w:rsid w:val="008417A3"/>
    <w:rsid w:val="00E255F8"/>
    <w:rsid w:val="00E8530E"/>
    <w:rsid w:val="00F527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90DE"/>
  <w15:docId w15:val="{0710F59D-A7F9-4EC4-8D44-238D9246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DB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s://www.fotocasa.es/e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fotocasa.es/es/quienes-somo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s://www.adevinta.com/" TargetMode="External"/><Relationship Id="rId20" Type="http://schemas.openxmlformats.org/officeDocument/2006/relationships/hyperlink" Target="https://www.infojob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adevinta.es"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https://www.milanuncios.com/" TargetMode="External"/><Relationship Id="rId28"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https://www.habitacli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otocasa.es/indice/" TargetMode="External"/><Relationship Id="rId22" Type="http://schemas.openxmlformats.org/officeDocument/2006/relationships/hyperlink" Target="https://motos.coches.net/" TargetMode="External"/><Relationship Id="rId27" Type="http://schemas.openxmlformats.org/officeDocument/2006/relationships/hyperlink" Target="mailto:emerino@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H:\Mi%20unidad\01-SCHIBSTED\04-ESTUDIO%20NdP\GARAJES\NdP%202023\GARAJE%20ALQUILER\PRENSA%20GARAJES%20ACUMULATIVO%202023.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3.5698288570738444E-2"/>
          <c:y val="6.1570820726075455E-2"/>
          <c:w val="0.94542171629736538"/>
          <c:h val="0.70874313408423306"/>
        </c:manualLayout>
      </c:layout>
      <c:barChart>
        <c:barDir val="col"/>
        <c:grouping val="clustered"/>
        <c:varyColors val="0"/>
        <c:ser>
          <c:idx val="0"/>
          <c:order val="0"/>
          <c:spPr>
            <a:solidFill>
              <a:sysClr val="window" lastClr="FFFFFF">
                <a:lumMod val="50000"/>
              </a:sysClr>
            </a:solidFill>
            <a:ln>
              <a:noFill/>
            </a:ln>
            <a:effectLst/>
          </c:spPr>
          <c:invertIfNegative val="0"/>
          <c:dLbls>
            <c:dLbl>
              <c:idx val="5"/>
              <c:layout>
                <c:manualLayout>
                  <c:x val="7.8113001906897273E-17"/>
                  <c:y val="2.51639594371288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DB-4613-843D-2BFDD8A7CDF4}"/>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Hoja1!$A$14:$A$21</c:f>
              <c:strCache>
                <c:ptCount val="8"/>
                <c:pt idx="0">
                  <c:v> Acumulativo          8 años              (2023 vs 2015)  </c:v>
                </c:pt>
                <c:pt idx="1">
                  <c:v> Acumulativo         7 años              (2023 vs 2016)  </c:v>
                </c:pt>
                <c:pt idx="2">
                  <c:v> Acumulativo        6 años               (2023 vs 2017)  </c:v>
                </c:pt>
                <c:pt idx="3">
                  <c:v>Acumulativo         5 años                  (2023 vs 2018)  </c:v>
                </c:pt>
                <c:pt idx="4">
                  <c:v>Acumulativo             4 años               (2023 vs 2019)  </c:v>
                </c:pt>
                <c:pt idx="5">
                  <c:v> Acumulativo        3 años              (2023 vs 2020)  </c:v>
                </c:pt>
                <c:pt idx="6">
                  <c:v>Acumulativo          2 añoS               (2023 vs 2021)  </c:v>
                </c:pt>
                <c:pt idx="7">
                  <c:v>Acumulativo         1 año               (2023 vs 2022)  </c:v>
                </c:pt>
              </c:strCache>
            </c:strRef>
          </c:cat>
          <c:val>
            <c:numRef>
              <c:f>Hoja1!$B$14:$B$21</c:f>
              <c:numCache>
                <c:formatCode>0.0%</c:formatCode>
                <c:ptCount val="8"/>
                <c:pt idx="0">
                  <c:v>0.11584533737680061</c:v>
                </c:pt>
                <c:pt idx="1">
                  <c:v>0.12677997243913644</c:v>
                </c:pt>
                <c:pt idx="2">
                  <c:v>1.1407366684991729E-2</c:v>
                </c:pt>
                <c:pt idx="3">
                  <c:v>1.3078193832599158E-2</c:v>
                </c:pt>
                <c:pt idx="4">
                  <c:v>-1.0355029585798764E-2</c:v>
                </c:pt>
                <c:pt idx="5">
                  <c:v>-3.1583103039873557E-2</c:v>
                </c:pt>
                <c:pt idx="6">
                  <c:v>3.8526672311600396E-2</c:v>
                </c:pt>
                <c:pt idx="7">
                  <c:v>9.4650205761316556E-3</c:v>
                </c:pt>
              </c:numCache>
            </c:numRef>
          </c:val>
          <c:extLst>
            <c:ext xmlns:c16="http://schemas.microsoft.com/office/drawing/2014/chart" uri="{C3380CC4-5D6E-409C-BE32-E72D297353CC}">
              <c16:uniqueId val="{00000000-62DB-4613-843D-2BFDD8A7CDF4}"/>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low"/>
        <c:spPr>
          <a:noFill/>
          <a:ln w="15875" cap="flat" cmpd="sng" algn="ctr">
            <a:solidFill>
              <a:schemeClr val="tx1"/>
            </a:solidFill>
            <a:round/>
          </a:ln>
          <a:effectLst/>
        </c:spPr>
        <c:txPr>
          <a:bodyPr rot="-60000000" spcFirstLastPara="1" vertOverflow="ellipsis" vert="horz" wrap="square" anchor="ctr" anchorCtr="1"/>
          <a:lstStyle/>
          <a:p>
            <a:pPr>
              <a:defRPr sz="700" b="0"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BSPMLcusq0pwXJtigqBc1u73wQ==">CgMxLjAyCGguZ2pkZ3hzMgloLjMwajB6bGwyCWguMnM4ZXlvMTgAciExeHZjdnVDT0lHOEpDWkZZVFNKenlOZzlQN0RjUTAxeHc=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2015</Words>
  <Characters>11083</Characters>
  <Application>Microsoft Office Word</Application>
  <DocSecurity>0</DocSecurity>
  <Lines>92</Lines>
  <Paragraphs>26</Paragraphs>
  <ScaleCrop>false</ScaleCrop>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2021-02-21T18:54:00Z</dcterms:created>
  <dcterms:modified xsi:type="dcterms:W3CDTF">2024-03-01T08:06:00Z</dcterms:modified>
</cp:coreProperties>
</file>